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D83D" w14:textId="1219B360" w:rsidR="006B02A3" w:rsidRPr="00693122" w:rsidRDefault="00693122" w:rsidP="00693122">
      <w:pPr>
        <w:pStyle w:val="Balk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upplementary-tables"/>
      <w:r w:rsidRPr="00693122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7EC05ADF" w14:textId="77777777" w:rsidR="006B02A3" w:rsidRPr="00693122" w:rsidRDefault="00000000">
      <w:pPr>
        <w:pStyle w:val="Balk2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X3a200152c6f4ba9d6d9197747d599256ff72ecb"/>
      <w:r w:rsidRPr="00693122">
        <w:rPr>
          <w:rFonts w:ascii="Times New Roman" w:hAnsi="Times New Roman" w:cs="Times New Roman"/>
          <w:b/>
          <w:bCs/>
          <w:sz w:val="24"/>
          <w:szCs w:val="24"/>
        </w:rPr>
        <w:t>Table S1. Monte-Carlo validation of the estimator implementations</w:t>
      </w:r>
    </w:p>
    <w:p w14:paraId="346B1E7D" w14:textId="77777777" w:rsidR="006B02A3" w:rsidRPr="00693122" w:rsidRDefault="00000000">
      <w:pPr>
        <w:pStyle w:val="FirstParagraph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</w:rPr>
        <w:t>Simulated cointegrated panel (N=30, T=30) with a common factor entering both the regressor and the outcome (i.e., cross-sectional dependence) and a known true long-run coefficient of −0.50. Each routine was implemented from primary-source formulae and run on the same simulated data.</w:t>
      </w:r>
    </w:p>
    <w:tbl>
      <w:tblPr>
        <w:tblStyle w:val="Table"/>
        <w:tblW w:w="5105" w:type="pct"/>
        <w:tblLayout w:type="fixed"/>
        <w:tblLook w:val="0020" w:firstRow="1" w:lastRow="0" w:firstColumn="0" w:lastColumn="0" w:noHBand="0" w:noVBand="0"/>
      </w:tblPr>
      <w:tblGrid>
        <w:gridCol w:w="3794"/>
        <w:gridCol w:w="1276"/>
        <w:gridCol w:w="2692"/>
        <w:gridCol w:w="2062"/>
      </w:tblGrid>
      <w:tr w:rsidR="006B02A3" w:rsidRPr="00693122" w14:paraId="2F26D655" w14:textId="77777777" w:rsidTr="00DF0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5" w:type="dxa"/>
            <w:tcBorders>
              <w:top w:val="single" w:sz="4" w:space="0" w:color="auto"/>
              <w:bottom w:val="single" w:sz="2" w:space="0" w:color="auto"/>
            </w:tcBorders>
          </w:tcPr>
          <w:p w14:paraId="0C7D7675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Estimator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</w:tcPr>
          <w:p w14:paraId="44362033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CSD-robust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2" w:space="0" w:color="auto"/>
            </w:tcBorders>
          </w:tcPr>
          <w:p w14:paraId="6B7E191E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Recovered long-run coefficient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2" w:space="0" w:color="auto"/>
            </w:tcBorders>
          </w:tcPr>
          <w:p w14:paraId="5F9696DF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Verdict</w:t>
            </w:r>
          </w:p>
        </w:tc>
      </w:tr>
      <w:tr w:rsidR="006B02A3" w:rsidRPr="00693122" w14:paraId="3BA4CE64" w14:textId="77777777" w:rsidTr="00DF00E9">
        <w:tc>
          <w:tcPr>
            <w:tcW w:w="3795" w:type="dxa"/>
            <w:tcBorders>
              <w:top w:val="single" w:sz="2" w:space="0" w:color="auto"/>
            </w:tcBorders>
          </w:tcPr>
          <w:p w14:paraId="7FF9553D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CCEMG (Pesaran 2006)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14:paraId="1B48079D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692" w:type="dxa"/>
            <w:tcBorders>
              <w:top w:val="single" w:sz="2" w:space="0" w:color="auto"/>
            </w:tcBorders>
          </w:tcPr>
          <w:p w14:paraId="3558CEA7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−0.500</w:t>
            </w:r>
          </w:p>
        </w:tc>
        <w:tc>
          <w:tcPr>
            <w:tcW w:w="2062" w:type="dxa"/>
            <w:tcBorders>
              <w:top w:val="single" w:sz="2" w:space="0" w:color="auto"/>
            </w:tcBorders>
          </w:tcPr>
          <w:p w14:paraId="2AFCB47C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recovers truth</w:t>
            </w:r>
          </w:p>
        </w:tc>
      </w:tr>
      <w:tr w:rsidR="006B02A3" w:rsidRPr="00693122" w14:paraId="212436D9" w14:textId="77777777" w:rsidTr="00693122">
        <w:tc>
          <w:tcPr>
            <w:tcW w:w="3795" w:type="dxa"/>
          </w:tcPr>
          <w:p w14:paraId="3C8EA7E6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CS-ARDL (Chudik–Pesaran 2015)</w:t>
            </w:r>
          </w:p>
        </w:tc>
        <w:tc>
          <w:tcPr>
            <w:tcW w:w="1276" w:type="dxa"/>
          </w:tcPr>
          <w:p w14:paraId="47CBE6AA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692" w:type="dxa"/>
          </w:tcPr>
          <w:p w14:paraId="745CE5DD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−0.510 (ECT −0.92)</w:t>
            </w:r>
          </w:p>
        </w:tc>
        <w:tc>
          <w:tcPr>
            <w:tcW w:w="2062" w:type="dxa"/>
          </w:tcPr>
          <w:p w14:paraId="2AEB54E2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recovers truth</w:t>
            </w:r>
          </w:p>
        </w:tc>
      </w:tr>
      <w:tr w:rsidR="006B02A3" w:rsidRPr="00693122" w14:paraId="5B90A97B" w14:textId="77777777" w:rsidTr="00693122">
        <w:tc>
          <w:tcPr>
            <w:tcW w:w="3795" w:type="dxa"/>
          </w:tcPr>
          <w:p w14:paraId="0558E705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AMG (Eberhardt–Bond)</w:t>
            </w:r>
          </w:p>
        </w:tc>
        <w:tc>
          <w:tcPr>
            <w:tcW w:w="1276" w:type="dxa"/>
          </w:tcPr>
          <w:p w14:paraId="3EA36988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692" w:type="dxa"/>
          </w:tcPr>
          <w:p w14:paraId="1E146185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−0.500</w:t>
            </w:r>
          </w:p>
        </w:tc>
        <w:tc>
          <w:tcPr>
            <w:tcW w:w="2062" w:type="dxa"/>
          </w:tcPr>
          <w:p w14:paraId="0EEE005D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recovers truth</w:t>
            </w:r>
          </w:p>
        </w:tc>
      </w:tr>
      <w:tr w:rsidR="006B02A3" w:rsidRPr="00693122" w14:paraId="4DD9FF44" w14:textId="77777777" w:rsidTr="00693122">
        <w:tc>
          <w:tcPr>
            <w:tcW w:w="3795" w:type="dxa"/>
          </w:tcPr>
          <w:p w14:paraId="57C2A847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Mean Group (Pesaran–Smith 1995)</w:t>
            </w:r>
          </w:p>
        </w:tc>
        <w:tc>
          <w:tcPr>
            <w:tcW w:w="1276" w:type="dxa"/>
          </w:tcPr>
          <w:p w14:paraId="61BE8867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692" w:type="dxa"/>
          </w:tcPr>
          <w:p w14:paraId="6583C4BD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−0.102</w:t>
            </w:r>
          </w:p>
        </w:tc>
        <w:tc>
          <w:tcPr>
            <w:tcW w:w="2062" w:type="dxa"/>
          </w:tcPr>
          <w:p w14:paraId="0B1F6107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biased</w:t>
            </w:r>
          </w:p>
        </w:tc>
      </w:tr>
      <w:tr w:rsidR="006B02A3" w:rsidRPr="00693122" w14:paraId="405CB5D4" w14:textId="77777777" w:rsidTr="00693122">
        <w:tc>
          <w:tcPr>
            <w:tcW w:w="3795" w:type="dxa"/>
          </w:tcPr>
          <w:p w14:paraId="3F22B69C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Pooled Mean Group (Pesaran–Shin–Smith 1999)</w:t>
            </w:r>
          </w:p>
        </w:tc>
        <w:tc>
          <w:tcPr>
            <w:tcW w:w="1276" w:type="dxa"/>
          </w:tcPr>
          <w:p w14:paraId="31C44F85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692" w:type="dxa"/>
          </w:tcPr>
          <w:p w14:paraId="532B7AC8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+0.088</w:t>
            </w:r>
          </w:p>
        </w:tc>
        <w:tc>
          <w:tcPr>
            <w:tcW w:w="2062" w:type="dxa"/>
          </w:tcPr>
          <w:p w14:paraId="46121FDA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biased</w:t>
            </w:r>
          </w:p>
        </w:tc>
      </w:tr>
      <w:tr w:rsidR="006B02A3" w:rsidRPr="00693122" w14:paraId="1C343F13" w14:textId="77777777" w:rsidTr="00693122">
        <w:tc>
          <w:tcPr>
            <w:tcW w:w="3795" w:type="dxa"/>
            <w:tcBorders>
              <w:bottom w:val="single" w:sz="4" w:space="0" w:color="auto"/>
            </w:tcBorders>
          </w:tcPr>
          <w:p w14:paraId="3FB8525E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Dynamic fixed effects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3CBD83" w14:textId="77777777" w:rsidR="006B02A3" w:rsidRPr="00693122" w:rsidRDefault="00000000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3E3F0A81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+0.029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1382CE62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biased</w:t>
            </w:r>
          </w:p>
        </w:tc>
      </w:tr>
    </w:tbl>
    <w:p w14:paraId="1B647B98" w14:textId="66104B24" w:rsidR="006B02A3" w:rsidRPr="00693122" w:rsidRDefault="00000000">
      <w:pPr>
        <w:pStyle w:val="GvdeMetni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</w:rPr>
        <w:t xml:space="preserve">The diagnostic tests were validated analogously: the CD test returned a non-significant statistic on independent data (CD = −0.73, p = 0.46) and a highly significant one on common-factor data (CD = 93.5, p &lt; 0.001); </w:t>
      </w:r>
      <w:r w:rsidR="00693122">
        <w:rPr>
          <w:rFonts w:ascii="Times New Roman" w:hAnsi="Times New Roman" w:cs="Times New Roman"/>
        </w:rPr>
        <w:br/>
      </w:r>
      <w:r w:rsidRPr="00693122">
        <w:rPr>
          <w:rFonts w:ascii="Times New Roman" w:hAnsi="Times New Roman" w:cs="Times New Roman"/>
        </w:rPr>
        <w:t xml:space="preserve">CIPS classified a simulated random walk as I(1), a stationary AR process as I(0), and the first difference of a random walk as I(0); </w:t>
      </w:r>
      <w:r w:rsidR="00693122">
        <w:rPr>
          <w:rFonts w:ascii="Times New Roman" w:hAnsi="Times New Roman" w:cs="Times New Roman"/>
        </w:rPr>
        <w:br/>
      </w:r>
      <w:r w:rsidRPr="00693122">
        <w:rPr>
          <w:rFonts w:ascii="Times New Roman" w:hAnsi="Times New Roman" w:cs="Times New Roman"/>
        </w:rPr>
        <w:t xml:space="preserve">the </w:t>
      </w:r>
      <w:proofErr w:type="spellStart"/>
      <w:r w:rsidRPr="00693122">
        <w:rPr>
          <w:rFonts w:ascii="Times New Roman" w:hAnsi="Times New Roman" w:cs="Times New Roman"/>
        </w:rPr>
        <w:t>Pesaran</w:t>
      </w:r>
      <w:proofErr w:type="spellEnd"/>
      <w:r w:rsidRPr="00693122">
        <w:rPr>
          <w:rFonts w:ascii="Times New Roman" w:hAnsi="Times New Roman" w:cs="Times New Roman"/>
        </w:rPr>
        <w:t>–Yamagata test returned Δ = −1.5 (p = 0.13) for homogeneous slopes and Δ = 241 (p &lt; 0.001) for heterogeneous slopes.</w:t>
      </w:r>
    </w:p>
    <w:p w14:paraId="213189CA" w14:textId="77777777" w:rsidR="00166DA1" w:rsidRDefault="00166DA1">
      <w:pPr>
        <w:pStyle w:val="Balk2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Xa8350a76e090ebeed15c42d995a9cc47c0aa7c1"/>
      <w:bookmarkEnd w:id="1"/>
    </w:p>
    <w:p w14:paraId="78E638D4" w14:textId="76C93CE1" w:rsidR="006B02A3" w:rsidRPr="00693122" w:rsidRDefault="00000000">
      <w:pPr>
        <w:pStyle w:val="Balk2"/>
        <w:rPr>
          <w:rFonts w:ascii="Times New Roman" w:hAnsi="Times New Roman" w:cs="Times New Roman"/>
          <w:b/>
          <w:bCs/>
          <w:sz w:val="24"/>
          <w:szCs w:val="24"/>
        </w:rPr>
      </w:pPr>
      <w:r w:rsidRPr="00693122">
        <w:rPr>
          <w:rFonts w:ascii="Times New Roman" w:hAnsi="Times New Roman" w:cs="Times New Roman"/>
          <w:b/>
          <w:bCs/>
          <w:sz w:val="24"/>
          <w:szCs w:val="24"/>
        </w:rPr>
        <w:t>Table S2. Digital health infrastructure index — principal component analysis</w:t>
      </w:r>
    </w:p>
    <w:tbl>
      <w:tblPr>
        <w:tblStyle w:val="Table"/>
        <w:tblW w:w="0" w:type="auto"/>
        <w:jc w:val="center"/>
        <w:tblLook w:val="0020" w:firstRow="1" w:lastRow="0" w:firstColumn="0" w:lastColumn="0" w:noHBand="0" w:noVBand="0"/>
      </w:tblPr>
      <w:tblGrid>
        <w:gridCol w:w="4129"/>
        <w:gridCol w:w="1790"/>
      </w:tblGrid>
      <w:tr w:rsidR="006B02A3" w:rsidRPr="00693122" w14:paraId="532C6509" w14:textId="77777777" w:rsidTr="00DF0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331F0937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Component 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48B1418C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Loading on PC1</w:t>
            </w:r>
          </w:p>
        </w:tc>
      </w:tr>
      <w:tr w:rsidR="006B02A3" w:rsidRPr="00693122" w14:paraId="1C0759D5" w14:textId="77777777" w:rsidTr="00DF00E9">
        <w:trPr>
          <w:jc w:val="center"/>
        </w:trPr>
        <w:tc>
          <w:tcPr>
            <w:tcW w:w="0" w:type="auto"/>
            <w:tcBorders>
              <w:top w:val="single" w:sz="2" w:space="0" w:color="auto"/>
            </w:tcBorders>
          </w:tcPr>
          <w:p w14:paraId="692CE78E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Internet users (% population)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7ABC11E4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0.604</w:t>
            </w:r>
          </w:p>
        </w:tc>
      </w:tr>
      <w:tr w:rsidR="006B02A3" w:rsidRPr="00693122" w14:paraId="4B1E2283" w14:textId="77777777" w:rsidTr="00693122">
        <w:trPr>
          <w:jc w:val="center"/>
        </w:trPr>
        <w:tc>
          <w:tcPr>
            <w:tcW w:w="0" w:type="auto"/>
          </w:tcPr>
          <w:p w14:paraId="610DF98C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Fixed-broadband subscriptions (per 100)</w:t>
            </w:r>
          </w:p>
        </w:tc>
        <w:tc>
          <w:tcPr>
            <w:tcW w:w="0" w:type="auto"/>
          </w:tcPr>
          <w:p w14:paraId="702B6066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0.599</w:t>
            </w:r>
          </w:p>
        </w:tc>
      </w:tr>
      <w:tr w:rsidR="006B02A3" w:rsidRPr="00693122" w14:paraId="3CD7D188" w14:textId="77777777" w:rsidTr="00693122">
        <w:trPr>
          <w:jc w:val="center"/>
        </w:trPr>
        <w:tc>
          <w:tcPr>
            <w:tcW w:w="0" w:type="auto"/>
          </w:tcPr>
          <w:p w14:paraId="5E1EE65C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Mobile-cellular subscriptions (per 100)</w:t>
            </w:r>
          </w:p>
        </w:tc>
        <w:tc>
          <w:tcPr>
            <w:tcW w:w="0" w:type="auto"/>
          </w:tcPr>
          <w:p w14:paraId="62785167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0.526</w:t>
            </w:r>
          </w:p>
        </w:tc>
      </w:tr>
      <w:tr w:rsidR="006B02A3" w:rsidRPr="00693122" w14:paraId="0DAF64B3" w14:textId="77777777" w:rsidTr="0069312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E8E2493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Variance explained by PC1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1DF0E5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81.2%</w:t>
            </w:r>
          </w:p>
        </w:tc>
      </w:tr>
    </w:tbl>
    <w:p w14:paraId="0CCBB502" w14:textId="7DEBD667" w:rsidR="00693122" w:rsidRDefault="00000000" w:rsidP="00693122">
      <w:pPr>
        <w:pStyle w:val="GvdeMetni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</w:rPr>
        <w:t>The index (</w:t>
      </w:r>
      <m:oMath>
        <m:r>
          <w:rPr>
            <w:rFonts w:ascii="Cambria Math" w:hAnsi="Cambria Math" w:cs="Times New Roman"/>
          </w:rPr>
          <m:t>DII</m:t>
        </m:r>
      </m:oMath>
      <w:r w:rsidRPr="00693122">
        <w:rPr>
          <w:rFonts w:ascii="Times New Roman" w:hAnsi="Times New Roman" w:cs="Times New Roman"/>
        </w:rPr>
        <w:t>) is the standardised first principal component, oriented so higher = greater penetration.</w:t>
      </w:r>
      <w:bookmarkStart w:id="3" w:name="Xfc1d316cc6eae5f955871753b5603f0f3f00c98"/>
      <w:bookmarkEnd w:id="2"/>
    </w:p>
    <w:p w14:paraId="5335B1D5" w14:textId="77777777" w:rsidR="00693122" w:rsidRDefault="00693122" w:rsidP="00693122">
      <w:pPr>
        <w:pStyle w:val="GvdeMetni"/>
        <w:rPr>
          <w:rFonts w:ascii="Times New Roman" w:hAnsi="Times New Roman" w:cs="Times New Roman"/>
        </w:rPr>
      </w:pPr>
    </w:p>
    <w:p w14:paraId="30BC659D" w14:textId="77777777" w:rsidR="00DF00E9" w:rsidRDefault="00DF00E9">
      <w:pPr>
        <w:rPr>
          <w:rFonts w:ascii="Times New Roman" w:eastAsiaTheme="majorEastAsia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F2B4A0D" w14:textId="6C2A6047" w:rsidR="006B02A3" w:rsidRPr="00693122" w:rsidRDefault="00000000">
      <w:pPr>
        <w:pStyle w:val="Balk2"/>
        <w:rPr>
          <w:rFonts w:ascii="Times New Roman" w:hAnsi="Times New Roman" w:cs="Times New Roman"/>
          <w:b/>
          <w:bCs/>
          <w:sz w:val="24"/>
          <w:szCs w:val="24"/>
        </w:rPr>
      </w:pPr>
      <w:r w:rsidRPr="0069312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 Sub-period stability of the fixed-broadband coefficient (CCEMG, outcome = ln rehabilitation-relevant burden)</w:t>
      </w:r>
    </w:p>
    <w:tbl>
      <w:tblPr>
        <w:tblStyle w:val="Table"/>
        <w:tblW w:w="0" w:type="auto"/>
        <w:jc w:val="center"/>
        <w:tblLook w:val="0020" w:firstRow="1" w:lastRow="0" w:firstColumn="0" w:lastColumn="0" w:noHBand="0" w:noVBand="0"/>
      </w:tblPr>
      <w:tblGrid>
        <w:gridCol w:w="1296"/>
        <w:gridCol w:w="2356"/>
        <w:gridCol w:w="756"/>
        <w:gridCol w:w="1876"/>
      </w:tblGrid>
      <w:tr w:rsidR="006B02A3" w:rsidRPr="00693122" w14:paraId="35504025" w14:textId="77777777" w:rsidTr="00DF0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C4ACEA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Period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2A5ED4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Broadband 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84D258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863FF4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n (country-years)</w:t>
            </w:r>
          </w:p>
        </w:tc>
      </w:tr>
      <w:tr w:rsidR="006B02A3" w:rsidRPr="00693122" w14:paraId="3F197E9B" w14:textId="77777777" w:rsidTr="00DF00E9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2B99060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2000–2021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E490EA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−0.00137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9812E8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1A4D6F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800</w:t>
            </w:r>
          </w:p>
        </w:tc>
      </w:tr>
      <w:tr w:rsidR="006B02A3" w:rsidRPr="00693122" w14:paraId="68D93319" w14:textId="77777777" w:rsidTr="00DF00E9">
        <w:trPr>
          <w:jc w:val="center"/>
        </w:trPr>
        <w:tc>
          <w:tcPr>
            <w:tcW w:w="0" w:type="auto"/>
          </w:tcPr>
          <w:p w14:paraId="501ACDA2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2005–2021</w:t>
            </w:r>
          </w:p>
        </w:tc>
        <w:tc>
          <w:tcPr>
            <w:tcW w:w="0" w:type="auto"/>
          </w:tcPr>
          <w:p w14:paraId="2F4FAB13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+0.00064</w:t>
            </w:r>
          </w:p>
        </w:tc>
        <w:tc>
          <w:tcPr>
            <w:tcW w:w="0" w:type="auto"/>
          </w:tcPr>
          <w:p w14:paraId="1E62CEF9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0.360</w:t>
            </w:r>
          </w:p>
        </w:tc>
        <w:tc>
          <w:tcPr>
            <w:tcW w:w="0" w:type="auto"/>
          </w:tcPr>
          <w:p w14:paraId="4FAADC7B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646</w:t>
            </w:r>
          </w:p>
        </w:tc>
      </w:tr>
      <w:tr w:rsidR="006B02A3" w:rsidRPr="00693122" w14:paraId="270DD99F" w14:textId="77777777" w:rsidTr="00DF00E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F8A2CCE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2010–2021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E5DC2A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−0.00151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3BFE83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0.384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9FDDD5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456</w:t>
            </w:r>
          </w:p>
        </w:tc>
      </w:tr>
    </w:tbl>
    <w:p w14:paraId="596266CD" w14:textId="77777777" w:rsidR="006B02A3" w:rsidRDefault="00000000">
      <w:pPr>
        <w:pStyle w:val="GvdeMetni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</w:rPr>
        <w:t>The nominally significant baseline broadband coefficient reverses sign and loses significance in later windows, indicating it is not a stable association (it is driven by the very low broadband base of the early 2000s).</w:t>
      </w:r>
    </w:p>
    <w:p w14:paraId="1105285D" w14:textId="77777777" w:rsidR="00DF00E9" w:rsidRDefault="00DF00E9">
      <w:pPr>
        <w:pStyle w:val="GvdeMetni"/>
        <w:rPr>
          <w:rFonts w:ascii="Times New Roman" w:hAnsi="Times New Roman" w:cs="Times New Roman"/>
        </w:rPr>
      </w:pPr>
    </w:p>
    <w:p w14:paraId="655C616F" w14:textId="77777777" w:rsidR="00DF00E9" w:rsidRPr="00693122" w:rsidRDefault="00DF00E9">
      <w:pPr>
        <w:pStyle w:val="GvdeMetni"/>
        <w:rPr>
          <w:rFonts w:ascii="Times New Roman" w:hAnsi="Times New Roman" w:cs="Times New Roman"/>
        </w:rPr>
      </w:pPr>
    </w:p>
    <w:p w14:paraId="2F0EAF99" w14:textId="77777777" w:rsidR="006B02A3" w:rsidRPr="00DF00E9" w:rsidRDefault="00000000">
      <w:pPr>
        <w:pStyle w:val="Balk2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Xb93e052881bc56a5d2b0726bf497408449a2700"/>
      <w:bookmarkEnd w:id="3"/>
      <w:r w:rsidRPr="00DF00E9">
        <w:rPr>
          <w:rFonts w:ascii="Times New Roman" w:hAnsi="Times New Roman" w:cs="Times New Roman"/>
          <w:b/>
          <w:bCs/>
          <w:sz w:val="24"/>
          <w:szCs w:val="24"/>
        </w:rPr>
        <w:t>Table S4. Telehealth-era interaction (CCEMG, outcome = ln rehabilitation-relevant burden)</w:t>
      </w:r>
    </w:p>
    <w:tbl>
      <w:tblPr>
        <w:tblStyle w:val="Table"/>
        <w:tblW w:w="0" w:type="auto"/>
        <w:jc w:val="center"/>
        <w:tblLook w:val="0020" w:firstRow="1" w:lastRow="0" w:firstColumn="0" w:lastColumn="0" w:noHBand="0" w:noVBand="0"/>
      </w:tblPr>
      <w:tblGrid>
        <w:gridCol w:w="4442"/>
        <w:gridCol w:w="1296"/>
        <w:gridCol w:w="636"/>
      </w:tblGrid>
      <w:tr w:rsidR="006B02A3" w:rsidRPr="00693122" w14:paraId="67F0FF49" w14:textId="77777777" w:rsidTr="00DF0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6173545A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Term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2077DD62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14:paraId="3174C687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p</w:t>
            </w:r>
          </w:p>
        </w:tc>
      </w:tr>
      <w:tr w:rsidR="006B02A3" w:rsidRPr="00693122" w14:paraId="3358357F" w14:textId="77777777" w:rsidTr="00DF00E9">
        <w:trPr>
          <w:jc w:val="center"/>
        </w:trPr>
        <w:tc>
          <w:tcPr>
            <w:tcW w:w="0" w:type="auto"/>
            <w:tcBorders>
              <w:top w:val="single" w:sz="2" w:space="0" w:color="auto"/>
            </w:tcBorders>
          </w:tcPr>
          <w:p w14:paraId="237E6FFC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Digital infrastructure index (pre-2015 level)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49ACF91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−0.0005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219D049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0.93</w:t>
            </w:r>
          </w:p>
        </w:tc>
      </w:tr>
      <w:tr w:rsidR="006B02A3" w:rsidRPr="00693122" w14:paraId="32A42AB2" w14:textId="77777777" w:rsidTr="00DF00E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5A090CB9" w14:textId="77777777" w:rsidR="006B02A3" w:rsidRPr="00693122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Digital index × post-2015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39FFE8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+0.0012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1B33EF" w14:textId="77777777" w:rsidR="006B02A3" w:rsidRPr="00693122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693122">
              <w:rPr>
                <w:rFonts w:ascii="Times New Roman" w:hAnsi="Times New Roman" w:cs="Times New Roman"/>
              </w:rPr>
              <w:t>0.92</w:t>
            </w:r>
          </w:p>
        </w:tc>
      </w:tr>
    </w:tbl>
    <w:p w14:paraId="5F06C475" w14:textId="77777777" w:rsidR="006B02A3" w:rsidRPr="00693122" w:rsidRDefault="00000000">
      <w:pPr>
        <w:pStyle w:val="GvdeMetni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</w:rPr>
        <w:t>No amplification of any digital association in the post-2015 telehealth-scaling era.</w:t>
      </w:r>
    </w:p>
    <w:p w14:paraId="5D017747" w14:textId="77777777" w:rsidR="00DF00E9" w:rsidRDefault="00DF00E9" w:rsidP="00DF00E9">
      <w:pPr>
        <w:pStyle w:val="Abstract"/>
      </w:pPr>
    </w:p>
    <w:p w14:paraId="21AB9585" w14:textId="52DC0039" w:rsidR="006B02A3" w:rsidRPr="00DF00E9" w:rsidRDefault="00000000">
      <w:pPr>
        <w:pStyle w:val="Balk2"/>
        <w:rPr>
          <w:rFonts w:ascii="Times New Roman" w:hAnsi="Times New Roman" w:cs="Times New Roman"/>
          <w:b/>
          <w:bCs/>
          <w:sz w:val="24"/>
          <w:szCs w:val="24"/>
        </w:rPr>
      </w:pPr>
      <w:r w:rsidRPr="00DF00E9">
        <w:rPr>
          <w:rFonts w:ascii="Times New Roman" w:hAnsi="Times New Roman" w:cs="Times New Roman"/>
          <w:b/>
          <w:bCs/>
          <w:sz w:val="24"/>
          <w:szCs w:val="24"/>
        </w:rPr>
        <w:t>Table S5. COVID-era exclusion — long-run digital-infrastructure (DII) coefficient by estimator and period (outcome = ln rehabilitation-relevant burden)</w:t>
      </w:r>
    </w:p>
    <w:tbl>
      <w:tblPr>
        <w:tblStyle w:val="Table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268"/>
        <w:gridCol w:w="2977"/>
      </w:tblGrid>
      <w:tr w:rsidR="006B02A3" w:rsidRPr="00166DA1" w14:paraId="7709E480" w14:textId="77777777" w:rsidTr="00166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93" w:type="dxa"/>
            <w:tcBorders>
              <w:top w:val="single" w:sz="4" w:space="0" w:color="auto"/>
              <w:bottom w:val="single" w:sz="2" w:space="0" w:color="auto"/>
            </w:tcBorders>
          </w:tcPr>
          <w:p w14:paraId="4E93E110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Estimator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</w:tcPr>
          <w:p w14:paraId="1A2E032C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Generation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2" w:space="0" w:color="auto"/>
            </w:tcBorders>
          </w:tcPr>
          <w:p w14:paraId="723C7916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2000–2021 (full, N=800)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2" w:space="0" w:color="auto"/>
            </w:tcBorders>
          </w:tcPr>
          <w:p w14:paraId="14FE337C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2000–2019 (pre-COVID, N=726)</w:t>
            </w:r>
          </w:p>
        </w:tc>
      </w:tr>
      <w:tr w:rsidR="006B02A3" w:rsidRPr="00166DA1" w14:paraId="0F5D4A46" w14:textId="77777777" w:rsidTr="00166DA1">
        <w:tc>
          <w:tcPr>
            <w:tcW w:w="2093" w:type="dxa"/>
            <w:tcBorders>
              <w:top w:val="single" w:sz="2" w:space="0" w:color="auto"/>
            </w:tcBorders>
          </w:tcPr>
          <w:p w14:paraId="518FF524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14:paraId="1ABC3C9F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1st (CSD-naïve)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14:paraId="426E71BC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+0.0353 (p=0.16)</w:t>
            </w:r>
          </w:p>
        </w:tc>
        <w:tc>
          <w:tcPr>
            <w:tcW w:w="2977" w:type="dxa"/>
            <w:tcBorders>
              <w:top w:val="single" w:sz="2" w:space="0" w:color="auto"/>
            </w:tcBorders>
          </w:tcPr>
          <w:p w14:paraId="220E0833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+0.0975 (p=0.23)</w:t>
            </w:r>
          </w:p>
        </w:tc>
      </w:tr>
      <w:tr w:rsidR="006B02A3" w:rsidRPr="00166DA1" w14:paraId="1218C01E" w14:textId="77777777" w:rsidTr="00166DA1">
        <w:tc>
          <w:tcPr>
            <w:tcW w:w="2093" w:type="dxa"/>
          </w:tcPr>
          <w:p w14:paraId="08F70652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PMG</w:t>
            </w:r>
          </w:p>
        </w:tc>
        <w:tc>
          <w:tcPr>
            <w:tcW w:w="1984" w:type="dxa"/>
          </w:tcPr>
          <w:p w14:paraId="07BA35AF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1st (CSD-naïve)</w:t>
            </w:r>
          </w:p>
        </w:tc>
        <w:tc>
          <w:tcPr>
            <w:tcW w:w="2268" w:type="dxa"/>
          </w:tcPr>
          <w:p w14:paraId="0DAA2F67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+0.0440 (p&lt;0.01)</w:t>
            </w:r>
          </w:p>
        </w:tc>
        <w:tc>
          <w:tcPr>
            <w:tcW w:w="2977" w:type="dxa"/>
          </w:tcPr>
          <w:p w14:paraId="54E93811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+0.0099 (p&lt;0.01)</w:t>
            </w:r>
          </w:p>
        </w:tc>
      </w:tr>
      <w:tr w:rsidR="006B02A3" w:rsidRPr="00166DA1" w14:paraId="5FB62016" w14:textId="77777777" w:rsidTr="00166DA1">
        <w:tc>
          <w:tcPr>
            <w:tcW w:w="2093" w:type="dxa"/>
          </w:tcPr>
          <w:p w14:paraId="5A8EED81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DFE (Driscoll–Kraay)</w:t>
            </w:r>
          </w:p>
        </w:tc>
        <w:tc>
          <w:tcPr>
            <w:tcW w:w="1984" w:type="dxa"/>
          </w:tcPr>
          <w:p w14:paraId="383A46F4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1st (CSD-naïve)</w:t>
            </w:r>
          </w:p>
        </w:tc>
        <w:tc>
          <w:tcPr>
            <w:tcW w:w="2268" w:type="dxa"/>
          </w:tcPr>
          <w:p w14:paraId="2EC0D75B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+0.0404</w:t>
            </w:r>
          </w:p>
        </w:tc>
        <w:tc>
          <w:tcPr>
            <w:tcW w:w="2977" w:type="dxa"/>
          </w:tcPr>
          <w:p w14:paraId="37129A4C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+0.0800</w:t>
            </w:r>
          </w:p>
        </w:tc>
      </w:tr>
      <w:tr w:rsidR="006B02A3" w:rsidRPr="00166DA1" w14:paraId="3D24C2A6" w14:textId="77777777" w:rsidTr="00166DA1">
        <w:tc>
          <w:tcPr>
            <w:tcW w:w="2093" w:type="dxa"/>
          </w:tcPr>
          <w:p w14:paraId="68F9DAF5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CCEMG</w:t>
            </w:r>
          </w:p>
        </w:tc>
        <w:tc>
          <w:tcPr>
            <w:tcW w:w="1984" w:type="dxa"/>
          </w:tcPr>
          <w:p w14:paraId="5451E994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2nd (CSD-robust)</w:t>
            </w:r>
          </w:p>
        </w:tc>
        <w:tc>
          <w:tcPr>
            <w:tcW w:w="2268" w:type="dxa"/>
          </w:tcPr>
          <w:p w14:paraId="657AC747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+0.0014 (p=0.81)</w:t>
            </w:r>
          </w:p>
        </w:tc>
        <w:tc>
          <w:tcPr>
            <w:tcW w:w="2977" w:type="dxa"/>
          </w:tcPr>
          <w:p w14:paraId="323BD9F1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−0.0021 (p=0.66)</w:t>
            </w:r>
          </w:p>
        </w:tc>
      </w:tr>
      <w:tr w:rsidR="006B02A3" w:rsidRPr="00166DA1" w14:paraId="0A96637E" w14:textId="77777777" w:rsidTr="00166DA1">
        <w:tc>
          <w:tcPr>
            <w:tcW w:w="2093" w:type="dxa"/>
          </w:tcPr>
          <w:p w14:paraId="464C3AD0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CS-ARDL</w:t>
            </w:r>
          </w:p>
        </w:tc>
        <w:tc>
          <w:tcPr>
            <w:tcW w:w="1984" w:type="dxa"/>
          </w:tcPr>
          <w:p w14:paraId="7579159A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2nd (CSD-robust)</w:t>
            </w:r>
          </w:p>
        </w:tc>
        <w:tc>
          <w:tcPr>
            <w:tcW w:w="2268" w:type="dxa"/>
          </w:tcPr>
          <w:p w14:paraId="413E9F32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−0.0273 (p=0.49)</w:t>
            </w:r>
          </w:p>
        </w:tc>
        <w:tc>
          <w:tcPr>
            <w:tcW w:w="2977" w:type="dxa"/>
          </w:tcPr>
          <w:p w14:paraId="1A6E0A85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+0.0196 (p=0.65)</w:t>
            </w:r>
          </w:p>
        </w:tc>
      </w:tr>
      <w:tr w:rsidR="006B02A3" w:rsidRPr="00166DA1" w14:paraId="4434595D" w14:textId="77777777" w:rsidTr="00166DA1">
        <w:tc>
          <w:tcPr>
            <w:tcW w:w="2093" w:type="dxa"/>
            <w:tcBorders>
              <w:bottom w:val="single" w:sz="4" w:space="0" w:color="auto"/>
            </w:tcBorders>
          </w:tcPr>
          <w:p w14:paraId="46737DB7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AMG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AA9E03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2nd (CSD-robust)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7CAC56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−0.0050 (p=0.25)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4EC3184" w14:textId="77777777" w:rsidR="006B02A3" w:rsidRPr="00166DA1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A1">
              <w:rPr>
                <w:rFonts w:ascii="Times New Roman" w:hAnsi="Times New Roman" w:cs="Times New Roman"/>
                <w:sz w:val="20"/>
                <w:szCs w:val="20"/>
              </w:rPr>
              <w:t>−0.0057 (p=0.23)</w:t>
            </w:r>
          </w:p>
        </w:tc>
      </w:tr>
    </w:tbl>
    <w:p w14:paraId="27551868" w14:textId="05CA89BD" w:rsidR="006B02A3" w:rsidRPr="00693122" w:rsidRDefault="00000000" w:rsidP="00166DA1">
      <w:pPr>
        <w:pStyle w:val="GvdeMetni"/>
        <w:jc w:val="both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  <w:color w:val="000000"/>
        </w:rPr>
        <w:t xml:space="preserve">Excluding the pandemic years leaves the null unchanged in every CSD-robust estimator. The PMG coefficient, nominally significant in both windows, shifts more than four-fold (0.044 </w:t>
      </w:r>
      <w:r w:rsidR="00166DA1">
        <w:rPr>
          <w:rFonts w:ascii="Times New Roman" w:hAnsi="Times New Roman" w:cs="Times New Roman"/>
          <w:color w:val="000000"/>
        </w:rPr>
        <w:t>&gt;</w:t>
      </w:r>
      <w:r w:rsidRPr="00693122">
        <w:rPr>
          <w:rFonts w:ascii="Times New Roman" w:hAnsi="Times New Roman" w:cs="Times New Roman"/>
          <w:color w:val="000000"/>
        </w:rPr>
        <w:t xml:space="preserve"> 0.010), illustrating the instability of first-generation estimates under cross-sectional dependence. (DFE long-run coefficients are derived quantities without mean-group standard errors.)</w:t>
      </w:r>
    </w:p>
    <w:p w14:paraId="06961C89" w14:textId="77777777" w:rsidR="006B02A3" w:rsidRPr="006931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693122">
        <w:rPr>
          <w:rFonts w:ascii="Times New Roman" w:hAnsi="Times New Roman" w:cs="Times New Roman"/>
          <w:sz w:val="24"/>
          <w:szCs w:val="24"/>
        </w:rPr>
        <w:lastRenderedPageBreak/>
        <w:t>Figure S1. COVID-era exclusion sensitivity of the long-run digital-infrastructure coefficient</w:t>
      </w:r>
    </w:p>
    <w:p w14:paraId="47D16393" w14:textId="77777777" w:rsidR="006B02A3" w:rsidRPr="00693122" w:rsidRDefault="00000000">
      <w:pPr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  <w:noProof/>
        </w:rPr>
        <w:drawing>
          <wp:inline distT="0" distB="0" distL="0" distR="0" wp14:anchorId="33708947" wp14:editId="7F4F2BB3">
            <wp:extent cx="5760720" cy="37899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_covid_sensitivity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5D3E5" w14:textId="77777777" w:rsidR="006B02A3" w:rsidRPr="00693122" w:rsidRDefault="00000000">
      <w:pPr>
        <w:pStyle w:val="GvdeMetni"/>
        <w:rPr>
          <w:rFonts w:ascii="Times New Roman" w:hAnsi="Times New Roman" w:cs="Times New Roman"/>
        </w:rPr>
      </w:pPr>
      <w:r w:rsidRPr="00693122">
        <w:rPr>
          <w:rFonts w:ascii="Times New Roman" w:hAnsi="Times New Roman" w:cs="Times New Roman"/>
          <w:color w:val="000000"/>
        </w:rPr>
        <w:t>Figure S1. Long-run digital infrastructure index (DII) coefficients with 95% confidence intervals from the core model, estimated on the full panel (2000–2021, filled markers) and the pre-COVID panel (2000–2019, open markers), for first-generation (red) and second-generation, cross-sectional-dependence-robust (blue) estimators. All CSD-robust estimates remain centred on zero in both periods.</w:t>
      </w:r>
    </w:p>
    <w:p w14:paraId="79FEDBB1" w14:textId="777460F7" w:rsidR="006B02A3" w:rsidRPr="00693122" w:rsidRDefault="006B02A3">
      <w:pPr>
        <w:rPr>
          <w:rFonts w:ascii="Times New Roman" w:hAnsi="Times New Roman" w:cs="Times New Roman"/>
        </w:rPr>
      </w:pPr>
    </w:p>
    <w:p w14:paraId="3A194718" w14:textId="627FCDA7" w:rsidR="00166DA1" w:rsidRDefault="00166DA1">
      <w:pPr>
        <w:rPr>
          <w:rFonts w:ascii="Times New Roman" w:eastAsiaTheme="majorEastAsia" w:hAnsi="Times New Roman" w:cs="Times New Roman"/>
          <w:color w:val="000000"/>
        </w:rPr>
      </w:pPr>
      <w:bookmarkStart w:id="5" w:name="record-reporting-checklist"/>
      <w:bookmarkEnd w:id="0"/>
      <w:bookmarkEnd w:id="4"/>
      <w:bookmarkEnd w:id="5"/>
    </w:p>
    <w:sectPr w:rsidR="00166DA1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50869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99363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2A3"/>
    <w:rsid w:val="00166DA1"/>
    <w:rsid w:val="00693122"/>
    <w:rsid w:val="006B02A3"/>
    <w:rsid w:val="00A9275E"/>
    <w:rsid w:val="00D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A39C"/>
  <w15:docId w15:val="{7D7611B7-0DEA-4DCD-8BEE-3A6D8ECB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00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00000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0000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000000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000000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000000"/>
      <w:spacing w:val="15"/>
      <w:sz w:val="28"/>
      <w:szCs w:val="28"/>
    </w:rPr>
  </w:style>
  <w:style w:type="paragraph" w:customStyle="1" w:styleId="Author">
    <w:name w:val="Author"/>
    <w:basedOn w:val="KonuBal"/>
    <w:next w:val="GvdeMetni"/>
    <w:qFormat/>
    <w:pPr>
      <w:keepNext/>
      <w:keepLines/>
    </w:pPr>
    <w:rPr>
      <w:sz w:val="24"/>
      <w:szCs w:val="24"/>
    </w:rPr>
  </w:style>
  <w:style w:type="paragraph" w:styleId="Tarih">
    <w:name w:val="Date"/>
    <w:basedOn w:val="KonuBal"/>
    <w:next w:val="GvdeMetni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00000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00000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0000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0000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00000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00000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00000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000000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000000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000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000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00000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00000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00000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00000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00000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00000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000000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0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00000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000000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00000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00000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000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000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000000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0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0000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000000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00000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00000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00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00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Asus-Kullanıcı</cp:lastModifiedBy>
  <cp:revision>2</cp:revision>
  <dcterms:created xsi:type="dcterms:W3CDTF">2026-06-04T10:14:00Z</dcterms:created>
  <dcterms:modified xsi:type="dcterms:W3CDTF">2026-06-11T08:30:00Z</dcterms:modified>
</cp:coreProperties>
</file>