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7665E" w14:textId="77777777" w:rsidR="00CA0D32" w:rsidRDefault="00000000">
      <w:pPr>
        <w:spacing w:before="120" w:line="360" w:lineRule="auto"/>
        <w:rPr>
          <w:rFonts w:ascii="Times New Roman" w:eastAsia="Times New Roman" w:hAnsi="Times New Roman" w:cs="Times New Roman"/>
          <w:kern w:val="0"/>
          <w:sz w:val="24"/>
          <w:lang w:eastAsia="en-US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</w:rPr>
        <w:t>Supplementary information</w:t>
      </w:r>
    </w:p>
    <w:p w14:paraId="00EEF9F2" w14:textId="77777777" w:rsidR="00CA0D32" w:rsidRDefault="00000000">
      <w:pPr>
        <w:pStyle w:val="Head1"/>
        <w:widowControl/>
        <w:spacing w:before="120"/>
        <w:jc w:val="left"/>
        <w:rPr>
          <w:rFonts w:ascii="Times New Roman" w:eastAsia="Times New Roman" w:hAnsi="Times New Roman" w:cs="Times New Roman"/>
          <w:b w:val="0"/>
          <w:kern w:val="0"/>
          <w:sz w:val="24"/>
          <w:lang w:eastAsia="en-US"/>
        </w:rPr>
      </w:pPr>
      <w:r>
        <w:rPr>
          <w:rFonts w:ascii="Times New Roman" w:eastAsia="Times New Roman" w:hAnsi="Times New Roman" w:cs="Times New Roman"/>
          <w:b w:val="0"/>
          <w:kern w:val="0"/>
          <w:sz w:val="24"/>
          <w:lang w:eastAsia="en-US"/>
        </w:rPr>
        <w:t xml:space="preserve">A Wearable Closed-Loop Insulin </w:t>
      </w:r>
      <w:r>
        <w:rPr>
          <w:rFonts w:ascii="Times New Roman" w:eastAsia="Times New Roman" w:hAnsi="Times New Roman" w:cs="Times New Roman" w:hint="eastAsia"/>
          <w:b w:val="0"/>
          <w:kern w:val="0"/>
          <w:sz w:val="24"/>
          <w:lang w:eastAsia="en-US"/>
        </w:rPr>
        <w:t>Microp</w:t>
      </w:r>
      <w:r>
        <w:rPr>
          <w:rFonts w:ascii="Times New Roman" w:eastAsia="Times New Roman" w:hAnsi="Times New Roman" w:cs="Times New Roman"/>
          <w:b w:val="0"/>
          <w:kern w:val="0"/>
          <w:sz w:val="24"/>
          <w:lang w:eastAsia="en-US"/>
        </w:rPr>
        <w:t xml:space="preserve">ump toward a Miniaturized Artificial Pancreas </w:t>
      </w:r>
      <w:r>
        <w:rPr>
          <w:rFonts w:ascii="Times New Roman" w:eastAsia="Times New Roman" w:hAnsi="Times New Roman" w:cs="Times New Roman" w:hint="eastAsia"/>
          <w:b w:val="0"/>
          <w:kern w:val="0"/>
          <w:sz w:val="24"/>
          <w:lang w:eastAsia="en-US"/>
        </w:rPr>
        <w:t>for</w:t>
      </w:r>
      <w:r>
        <w:rPr>
          <w:rFonts w:ascii="Times New Roman" w:eastAsia="Times New Roman" w:hAnsi="Times New Roman" w:cs="Times New Roman"/>
          <w:b w:val="0"/>
          <w:kern w:val="0"/>
          <w:sz w:val="24"/>
          <w:lang w:eastAsia="en-US"/>
        </w:rPr>
        <w:t xml:space="preserve"> </w:t>
      </w:r>
      <w:r>
        <w:rPr>
          <w:rFonts w:ascii="Times New Roman" w:eastAsia="Times New Roman" w:hAnsi="Times New Roman" w:cs="Times New Roman" w:hint="eastAsia"/>
          <w:b w:val="0"/>
          <w:kern w:val="0"/>
          <w:sz w:val="24"/>
          <w:lang w:eastAsia="en-US"/>
        </w:rPr>
        <w:t>Diabetes</w:t>
      </w:r>
    </w:p>
    <w:p w14:paraId="6AF76B90" w14:textId="271D40C0" w:rsidR="00CA0D32" w:rsidRDefault="00000000">
      <w:pPr>
        <w:pStyle w:val="Head1"/>
        <w:widowControl/>
        <w:spacing w:before="120"/>
        <w:jc w:val="left"/>
        <w:rPr>
          <w:rFonts w:ascii="Times New Roman" w:eastAsia="宋体" w:hAnsi="Times New Roman" w:cs="Times New Roman"/>
          <w:b w:val="0"/>
          <w:bCs/>
          <w:kern w:val="0"/>
          <w:sz w:val="24"/>
          <w:vertAlign w:val="superscript"/>
        </w:rPr>
      </w:pP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Ziyu Kuang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 Xiangbin Kong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 Tan Cao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 Rui Lin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 Zhihe Long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 Tianyou Jiang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</w:t>
      </w:r>
      <w:r w:rsidR="00562689"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 xml:space="preserve"> </w:t>
      </w:r>
      <w:r w:rsidR="00562689" w:rsidRPr="00F207FB"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Xianchun Jin</w:t>
      </w:r>
      <w:r w:rsidR="00562689" w:rsidRPr="00F207FB"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 w:rsidR="00562689"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 xml:space="preserve">, 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Xinyu Xue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1*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 Zhangzhi Zhao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3*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, Meihua Chen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2*</w:t>
      </w:r>
    </w:p>
    <w:p w14:paraId="30E66B6D" w14:textId="77777777" w:rsidR="00CA0D32" w:rsidRDefault="00000000">
      <w:pPr>
        <w:pStyle w:val="Head1"/>
        <w:widowControl/>
        <w:spacing w:before="120"/>
        <w:jc w:val="left"/>
        <w:rPr>
          <w:rFonts w:ascii="Times New Roman" w:eastAsia="宋体" w:hAnsi="Times New Roman" w:cs="Times New Roman"/>
          <w:b w:val="0"/>
          <w:bCs/>
          <w:kern w:val="0"/>
          <w:sz w:val="24"/>
        </w:rPr>
      </w:pP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School of Physics, University of Electronic Science and Technology of China, Chengdu, 611731, China</w:t>
      </w:r>
    </w:p>
    <w:p w14:paraId="12B3FA36" w14:textId="77777777" w:rsidR="00CA0D32" w:rsidRDefault="00000000">
      <w:pPr>
        <w:pStyle w:val="Head1"/>
        <w:widowControl/>
        <w:spacing w:before="120"/>
        <w:jc w:val="left"/>
        <w:rPr>
          <w:rFonts w:ascii="Times New Roman" w:eastAsia="宋体" w:hAnsi="Times New Roman" w:cs="Times New Roman"/>
          <w:b w:val="0"/>
          <w:bCs/>
          <w:kern w:val="0"/>
          <w:sz w:val="24"/>
        </w:rPr>
      </w:pP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2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Department of Radiation Oncology, Precision Radiation in Oncology Key Laboratory of Sichuan Province, Sichuan Clinical Research Center for Cancer, Sichuan Cancer Hospital &amp; Institute, Sichuan Cancer Center, University of Electronic Science and Technology of China, Chengdu 610041, China</w:t>
      </w:r>
    </w:p>
    <w:p w14:paraId="1D929348" w14:textId="77777777" w:rsidR="00CA0D32" w:rsidRDefault="00000000">
      <w:pPr>
        <w:pStyle w:val="Head1"/>
        <w:widowControl/>
        <w:spacing w:before="120"/>
        <w:jc w:val="left"/>
        <w:rPr>
          <w:rFonts w:ascii="Times New Roman" w:eastAsia="宋体" w:hAnsi="Times New Roman" w:cs="Times New Roman"/>
          <w:b w:val="0"/>
          <w:bCs/>
          <w:kern w:val="0"/>
          <w:sz w:val="24"/>
        </w:rPr>
      </w:pP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3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Sports Department, University of Electronic Science and Technology of China, Chengdu 611731, China</w:t>
      </w:r>
    </w:p>
    <w:p w14:paraId="1B28E456" w14:textId="77777777" w:rsidR="00CA0D32" w:rsidRDefault="00CA0D32">
      <w:pPr>
        <w:pStyle w:val="Head1"/>
        <w:widowControl/>
        <w:spacing w:before="120"/>
        <w:jc w:val="left"/>
        <w:rPr>
          <w:rFonts w:ascii="Times New Roman" w:eastAsia="宋体" w:hAnsi="Times New Roman" w:cs="Times New Roman"/>
          <w:b w:val="0"/>
          <w:bCs/>
          <w:kern w:val="0"/>
          <w:sz w:val="24"/>
        </w:rPr>
      </w:pPr>
    </w:p>
    <w:p w14:paraId="0ACC6D0B" w14:textId="77777777" w:rsidR="00CA0D32" w:rsidRDefault="00000000">
      <w:pPr>
        <w:pStyle w:val="Head1"/>
        <w:widowControl/>
        <w:spacing w:before="120"/>
        <w:jc w:val="left"/>
        <w:rPr>
          <w:rFonts w:ascii="Times New Roman" w:eastAsia="宋体" w:hAnsi="Times New Roman" w:cs="Times New Roman"/>
          <w:b w:val="0"/>
          <w:bCs/>
          <w:kern w:val="0"/>
          <w:sz w:val="24"/>
        </w:rPr>
      </w:pPr>
      <w:r>
        <w:rPr>
          <w:rFonts w:ascii="Times New Roman" w:eastAsia="宋体" w:hAnsi="Times New Roman" w:cs="Times New Roman" w:hint="eastAsia"/>
          <w:b w:val="0"/>
          <w:bCs/>
          <w:kern w:val="0"/>
          <w:sz w:val="24"/>
          <w:vertAlign w:val="superscript"/>
        </w:rPr>
        <w:t>*</w:t>
      </w:r>
      <w:r>
        <w:rPr>
          <w:rFonts w:ascii="Times New Roman" w:eastAsia="宋体" w:hAnsi="Times New Roman" w:cs="Times New Roman" w:hint="eastAsia"/>
          <w:b w:val="0"/>
          <w:bCs/>
          <w:kern w:val="0"/>
          <w:sz w:val="24"/>
        </w:rPr>
        <w:t>Corresponding author Email: xuexinyu@uestc.edu.cn (X. X.); Zhaozz@uestc.edu.cn (Z. Z.); chenmeihua@scszlyy.org.cn (M. C.).</w:t>
      </w:r>
    </w:p>
    <w:p w14:paraId="5F800281" w14:textId="77777777" w:rsidR="00CA0D32" w:rsidRDefault="00000000">
      <w:pPr>
        <w:widowControl/>
        <w:jc w:val="left"/>
      </w:pPr>
      <w:r>
        <w:br w:type="page"/>
      </w:r>
    </w:p>
    <w:p w14:paraId="4CED01F4" w14:textId="77777777" w:rsidR="00CA0D32" w:rsidRDefault="00000000">
      <w:r>
        <w:rPr>
          <w:noProof/>
        </w:rPr>
        <w:lastRenderedPageBreak/>
        <w:drawing>
          <wp:inline distT="0" distB="0" distL="0" distR="0" wp14:anchorId="273CD414" wp14:editId="63A0DDA1">
            <wp:extent cx="5308600" cy="2292350"/>
            <wp:effectExtent l="0" t="0" r="6350" b="0"/>
            <wp:docPr id="4" name="图片 3" descr="SCH_withSensor_1_2026-05-3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SCH_withSensor_1_2026-05-30_01"/>
                    <pic:cNvPicPr>
                      <a:picLocks noChangeAspect="1"/>
                    </pic:cNvPicPr>
                  </pic:nvPicPr>
                  <pic:blipFill>
                    <a:blip r:embed="rId5"/>
                    <a:srcRect l="3196" t="3240" r="16922" b="47997"/>
                    <a:stretch>
                      <a:fillRect/>
                    </a:stretch>
                  </pic:blipFill>
                  <pic:spPr>
                    <a:xfrm>
                      <a:off x="0" y="0"/>
                      <a:ext cx="5336809" cy="23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C77B" w14:textId="77777777" w:rsidR="00CA0D32" w:rsidRDefault="00000000">
      <w:pPr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</w:rPr>
        <w:t xml:space="preserve">Figure S1. </w:t>
      </w:r>
      <w:r>
        <w:rPr>
          <w:rFonts w:ascii="Times New Roman" w:hAnsi="Times New Roman" w:cs="Times New Roman"/>
          <w:kern w:val="0"/>
          <w:sz w:val="24"/>
        </w:rPr>
        <w:t>Schematic diagram of the flexible printed circuit (FPC), detailing the BLE microcontroller, XYZ true-color sensor, power management (LDO), and programmable current source modules.</w:t>
      </w:r>
    </w:p>
    <w:p w14:paraId="70A18B5A" w14:textId="77777777" w:rsidR="00CA0D32" w:rsidRDefault="00CA0D32">
      <w:pPr>
        <w:rPr>
          <w:rFonts w:ascii="Times New Roman" w:hAnsi="Times New Roman" w:cs="Times New Roman"/>
          <w:kern w:val="0"/>
          <w:sz w:val="24"/>
        </w:rPr>
      </w:pPr>
    </w:p>
    <w:p w14:paraId="006BFB74" w14:textId="77777777" w:rsidR="00CA0D32" w:rsidRDefault="00000000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br w:type="page"/>
      </w:r>
    </w:p>
    <w:p w14:paraId="499A3914" w14:textId="77777777" w:rsidR="00CA0D32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D634594" wp14:editId="5470FB4F">
            <wp:extent cx="3599815" cy="2069465"/>
            <wp:effectExtent l="0" t="0" r="635" b="6985"/>
            <wp:docPr id="2" name="图片 2" descr="PCB_PCB7_1_2026-05-3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CB_PCB7_1_2026-05-30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6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86FD" w14:textId="77777777" w:rsidR="00CA0D32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0D65D68D" wp14:editId="16E49254">
            <wp:extent cx="3599815" cy="2069465"/>
            <wp:effectExtent l="0" t="0" r="635" b="6985"/>
            <wp:docPr id="3" name="图片 3" descr="PCB_PCB7_1_2026-05-3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CB_PCB7_1_2026-05-30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6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6B3A" w14:textId="77777777" w:rsidR="00CA0D32" w:rsidRDefault="00000000">
      <w:pPr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</w:rPr>
        <w:t>Figure S2.</w:t>
      </w:r>
      <w:r>
        <w:t xml:space="preserve"> </w:t>
      </w:r>
      <w:r>
        <w:rPr>
          <w:rFonts w:ascii="Times New Roman" w:hAnsi="Times New Roman" w:cs="Times New Roman"/>
          <w:kern w:val="0"/>
          <w:sz w:val="24"/>
        </w:rPr>
        <w:t>Top and bottom layout designs of the integrated flexible printed circuit (FPC).</w:t>
      </w:r>
    </w:p>
    <w:p w14:paraId="5D1A327D" w14:textId="510FD367" w:rsidR="006E3386" w:rsidRDefault="006E3386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br w:type="page"/>
      </w:r>
    </w:p>
    <w:p w14:paraId="6C213AB6" w14:textId="77777777" w:rsidR="006E3386" w:rsidRDefault="006E3386" w:rsidP="006E338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A5A30F5" wp14:editId="011508F0">
            <wp:extent cx="3599815" cy="218059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3E65" w14:textId="77777777" w:rsidR="006E3386" w:rsidRDefault="006E3386" w:rsidP="006E338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</w:rPr>
        <w:t>Figure S3.</w:t>
      </w:r>
      <w:r>
        <w:t xml:space="preserve"> </w:t>
      </w:r>
      <w:r>
        <w:rPr>
          <w:rFonts w:ascii="Times New Roman" w:hAnsi="Times New Roman" w:cs="Times New Roman"/>
          <w:kern w:val="0"/>
          <w:sz w:val="24"/>
        </w:rPr>
        <w:t>Visual size comparison of the developed closed-loop insulin micropump alongside a commercial insulin pump and a commercial continuous glucose monitoring (CGM) device.</w:t>
      </w:r>
    </w:p>
    <w:p w14:paraId="23248049" w14:textId="77777777" w:rsidR="006E3386" w:rsidRDefault="006E3386" w:rsidP="006E3386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C6C875E" w14:textId="77777777" w:rsidR="006E3386" w:rsidRDefault="006E3386" w:rsidP="006E3386">
      <w:pPr>
        <w:widowControl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9B8F73A" wp14:editId="07F135BB">
            <wp:extent cx="3599815" cy="211772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1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E2DD" w14:textId="77777777" w:rsidR="006E3386" w:rsidRDefault="006E3386" w:rsidP="006E338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</w:rPr>
        <w:t>Figure S4.</w:t>
      </w:r>
      <w:r>
        <w:t xml:space="preserve"> </w:t>
      </w:r>
      <w:r>
        <w:rPr>
          <w:rFonts w:ascii="Times New Roman" w:hAnsi="Times New Roman" w:cs="Times New Roman"/>
          <w:kern w:val="0"/>
          <w:sz w:val="24"/>
        </w:rPr>
        <w:t>Optical photographs of the highly elastic latex membrane before and after the polyvinylidene chloride (PVDC) coating process.</w:t>
      </w:r>
    </w:p>
    <w:p w14:paraId="672E0922" w14:textId="4BA6E940" w:rsidR="006E3386" w:rsidRDefault="006E3386">
      <w:pPr>
        <w:widowControl/>
        <w:jc w:val="left"/>
      </w:pPr>
      <w:r>
        <w:br w:type="page"/>
      </w:r>
    </w:p>
    <w:p w14:paraId="1D78947D" w14:textId="77777777" w:rsidR="006E3386" w:rsidRDefault="006E3386" w:rsidP="006E338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6CF49C4" wp14:editId="494DA730">
            <wp:extent cx="3599815" cy="2702560"/>
            <wp:effectExtent l="0" t="0" r="6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3FD9" w14:textId="77777777" w:rsidR="006E3386" w:rsidRDefault="006E3386" w:rsidP="006E338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</w:rPr>
        <w:t>Figure S5.</w:t>
      </w:r>
      <w:r>
        <w:t xml:space="preserve"> </w:t>
      </w:r>
      <w:r>
        <w:rPr>
          <w:rFonts w:ascii="Times New Roman" w:hAnsi="Times New Roman" w:cs="Times New Roman"/>
          <w:kern w:val="0"/>
          <w:sz w:val="24"/>
        </w:rPr>
        <w:t>Cross-sectional microscopic image confirming the uniform deposition of the ultra-thin PVDC coating on the latex membrane.</w:t>
      </w:r>
    </w:p>
    <w:p w14:paraId="5D4F1D6E" w14:textId="77777777" w:rsidR="006E3386" w:rsidRPr="006E3386" w:rsidRDefault="006E3386"/>
    <w:p w14:paraId="47D58FAC" w14:textId="77777777" w:rsidR="00CA0D32" w:rsidRDefault="00000000">
      <w:pPr>
        <w:widowControl/>
        <w:jc w:val="left"/>
      </w:pPr>
      <w:r>
        <w:br w:type="page"/>
      </w:r>
    </w:p>
    <w:p w14:paraId="66F5A036" w14:textId="77777777" w:rsidR="00CA0D3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Note </w:t>
      </w:r>
      <w:r>
        <w:rPr>
          <w:rFonts w:ascii="Times New Roman" w:hAnsi="Times New Roman" w:cs="Times New Roman" w:hint="eastAsia"/>
          <w:b/>
          <w:bCs/>
          <w:sz w:val="24"/>
        </w:rPr>
        <w:t>1</w:t>
      </w:r>
      <w:r>
        <w:rPr>
          <w:rFonts w:ascii="Times New Roman" w:hAnsi="Times New Roman" w:cs="Times New Roman"/>
          <w:b/>
          <w:bCs/>
          <w:sz w:val="24"/>
        </w:rPr>
        <w:t>.</w:t>
      </w:r>
    </w:p>
    <w:tbl>
      <w:tblPr>
        <w:tblW w:w="8176" w:type="dxa"/>
        <w:tblInd w:w="93" w:type="dxa"/>
        <w:tblLook w:val="04A0" w:firstRow="1" w:lastRow="0" w:firstColumn="1" w:lastColumn="0" w:noHBand="0" w:noVBand="1"/>
      </w:tblPr>
      <w:tblGrid>
        <w:gridCol w:w="1563"/>
        <w:gridCol w:w="3130"/>
        <w:gridCol w:w="3483"/>
      </w:tblGrid>
      <w:tr w:rsidR="00CA0D32" w14:paraId="4D0B8DCC" w14:textId="77777777">
        <w:trPr>
          <w:trHeight w:val="366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01294" w14:textId="77777777" w:rsidR="00CA0D32" w:rsidRDefault="00000000">
            <w:pPr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Sample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5A53D" w14:textId="77777777" w:rsidR="00CA0D3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Item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0D72C" w14:textId="77777777" w:rsidR="00CA0D3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Parameter</w:t>
            </w:r>
            <w:r>
              <w:rPr>
                <w:rFonts w:ascii="Times New Roman" w:hAnsi="Times New Roman" w:cs="Times New Roman" w:hint="eastAsia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[cm³/(m²·d·Pa)]</w:t>
            </w:r>
          </w:p>
        </w:tc>
      </w:tr>
      <w:tr w:rsidR="00CA0D32" w14:paraId="4E761BC2" w14:textId="77777777">
        <w:trPr>
          <w:trHeight w:val="174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BAAA4" w14:textId="77777777" w:rsidR="00CA0D3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E461F" w14:textId="77777777" w:rsidR="00CA0D3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Oxygen Transmission Rate</w:t>
            </w: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4E65B" w14:textId="77777777" w:rsidR="00CA0D3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9.033×10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-5</w:t>
            </w:r>
          </w:p>
        </w:tc>
      </w:tr>
    </w:tbl>
    <w:p w14:paraId="2413AE21" w14:textId="77777777" w:rsidR="00CA0D32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Testing Conditions and Equipment</w:t>
      </w:r>
      <w:r>
        <w:rPr>
          <w:rFonts w:ascii="Times New Roman" w:hAnsi="Times New Roman" w:cs="Times New Roman" w:hint="eastAsia"/>
          <w:sz w:val="24"/>
        </w:rPr>
        <w:t xml:space="preserve"> :</w:t>
      </w:r>
    </w:p>
    <w:p w14:paraId="220BFADC" w14:textId="77777777" w:rsidR="00CA0D32" w:rsidRDefault="00000000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Test Temperature: 23°C ± 2°C</w:t>
      </w:r>
    </w:p>
    <w:p w14:paraId="40A39FB7" w14:textId="77777777" w:rsidR="00CA0D32" w:rsidRDefault="00000000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Relative Humidity (RH): 50% ± 2% RH</w:t>
      </w:r>
    </w:p>
    <w:p w14:paraId="6033087E" w14:textId="77777777" w:rsidR="00CA0D32" w:rsidRDefault="00000000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Test Method: GB/T 1038.1-2022 Plastics — Film and sheeting — Determination of gas transmission rate — Part 1: Differential pressure method.</w:t>
      </w:r>
    </w:p>
    <w:p w14:paraId="20D9C1E3" w14:textId="77777777" w:rsidR="00CA0D32" w:rsidRDefault="00000000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Instrument: Labthink VAC-V2 Differential Pressure Gas Permeability Tester.</w:t>
      </w:r>
    </w:p>
    <w:p w14:paraId="5CEFDB75" w14:textId="77777777" w:rsidR="00CA0D32" w:rsidRDefault="00CA0D32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78C307F8" w14:textId="77777777" w:rsidR="00CA0D32" w:rsidRDefault="00000000">
      <w:pPr>
        <w:widowControl/>
        <w:jc w:val="left"/>
      </w:pPr>
      <w:r>
        <w:br w:type="page"/>
      </w:r>
    </w:p>
    <w:p w14:paraId="6D15A795" w14:textId="77777777" w:rsidR="00CA0D3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Note </w:t>
      </w:r>
      <w:r>
        <w:rPr>
          <w:rFonts w:ascii="Times New Roman" w:hAnsi="Times New Roman" w:cs="Times New Roman" w:hint="eastAsia"/>
          <w:b/>
          <w:bCs/>
          <w:sz w:val="24"/>
        </w:rPr>
        <w:t>2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14:paraId="72CAEDF2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Theoretical volume variation of the micro-actuator.</w:t>
      </w:r>
    </w:p>
    <w:p w14:paraId="6E174FA0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quantitatively predict the volume variation in the micro-actuator and drug reservoir, a theoretical model is established for the whole micro-actuator system. Ideal gas law of the pump chamber gives</w:t>
      </w:r>
    </w:p>
    <w:p w14:paraId="0F56B0ED" w14:textId="77777777" w:rsidR="00CA0D32" w:rsidRDefault="00000000">
      <w:pPr>
        <w:spacing w:line="360" w:lineRule="auto"/>
        <w:ind w:firstLineChars="100" w:firstLine="240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P(V+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</w:rPr>
          <m:t>)=nRT</m:t>
        </m:r>
      </m:oMath>
      <w:r>
        <w:rPr>
          <w:rFonts w:hAnsi="Cambria Math" w:cs="Times New Roman" w:hint="eastAsia"/>
          <w:sz w:val="24"/>
        </w:rPr>
        <w:t xml:space="preserve">                    (</w:t>
      </w:r>
      <w:r>
        <w:rPr>
          <w:rFonts w:ascii="Times New Roman" w:hAnsi="Times New Roman" w:cs="Times New Roman"/>
          <w:sz w:val="24"/>
        </w:rPr>
        <w:t>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S1</w:t>
      </w:r>
      <w:r>
        <w:rPr>
          <w:rFonts w:ascii="Times New Roman" w:hAnsi="Times New Roman" w:cs="Times New Roman" w:hint="eastAsia"/>
          <w:sz w:val="24"/>
        </w:rPr>
        <w:t>)</w:t>
      </w:r>
    </w:p>
    <w:p w14:paraId="0BCE3B0F" w14:textId="77777777" w:rsidR="00CA0D32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Where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P </m:t>
        </m:r>
      </m:oMath>
      <w:r>
        <w:rPr>
          <w:rFonts w:ascii="Times New Roman" w:hAnsi="Times New Roman" w:cs="Times New Roman"/>
          <w:sz w:val="24"/>
        </w:rPr>
        <w:t xml:space="preserve">is the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bsolute pressure of the gas inside the micro-actuator,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 xml:space="preserve"> V</m:t>
            </m:r>
          </m:e>
          <m:sub>
            <m:r>
              <w:rPr>
                <w:rFonts w:ascii="Cambria Math" w:hAnsi="Cambria Math" w:cs="Times New Roman"/>
                <w:sz w:val="24"/>
              </w:rPr>
              <m:t xml:space="preserve">0 </m:t>
            </m:r>
          </m:sub>
        </m:sSub>
      </m:oMath>
      <w:r>
        <w:rPr>
          <w:rFonts w:ascii="Times New Roman" w:hAnsi="Times New Roman" w:cs="Times New Roman"/>
          <w:sz w:val="24"/>
        </w:rPr>
        <w:t>and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V </m:t>
        </m:r>
      </m:oMath>
      <w:r>
        <w:rPr>
          <w:rFonts w:ascii="Times New Roman" w:hAnsi="Times New Roman" w:cs="Times New Roman"/>
          <w:sz w:val="24"/>
        </w:rPr>
        <w:t>are the initial volume and volume change of gas inside the micro-actuator, respectively,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n </m:t>
        </m:r>
      </m:oMath>
      <w:r>
        <w:rPr>
          <w:rFonts w:ascii="Times New Roman" w:hAnsi="Times New Roman" w:cs="Times New Roman"/>
          <w:sz w:val="24"/>
        </w:rPr>
        <w:t>is the number of moles of gas,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R </m:t>
        </m:r>
      </m:oMath>
      <w:r>
        <w:rPr>
          <w:rFonts w:ascii="Times New Roman" w:hAnsi="Times New Roman" w:cs="Times New Roman"/>
          <w:sz w:val="24"/>
        </w:rPr>
        <w:t>is the ideal gas constant, and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T </m:t>
        </m:r>
      </m:oMath>
      <w:r>
        <w:rPr>
          <w:rFonts w:hAnsi="Cambria Math" w:cs="Times New Roman" w:hint="eastAsia"/>
          <w:sz w:val="24"/>
        </w:rPr>
        <w:t xml:space="preserve">is </w:t>
      </w:r>
      <w:r>
        <w:rPr>
          <w:rFonts w:ascii="Times New Roman" w:hAnsi="Times New Roman" w:cs="Times New Roman"/>
          <w:sz w:val="24"/>
        </w:rPr>
        <w:t>the temperature.</w:t>
      </w:r>
    </w:p>
    <w:p w14:paraId="01BC6274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From Faraday's laws of electrolysis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the number of moles of gas generated by water electrolysis is related to the input charge:</w:t>
      </w:r>
    </w:p>
    <w:p w14:paraId="3319B1DE" w14:textId="77777777" w:rsidR="00CA0D32" w:rsidRDefault="00000000">
      <w:pPr>
        <w:spacing w:line="360" w:lineRule="auto"/>
        <w:ind w:firstLineChars="100" w:firstLine="240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n=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3it</m:t>
            </m:r>
          </m:num>
          <m:den>
            <m:r>
              <w:rPr>
                <w:rFonts w:ascii="Cambria Math" w:hAnsi="Cambria Math" w:cs="Times New Roman"/>
                <w:sz w:val="24"/>
              </w:rPr>
              <m:t>4F</m:t>
            </m:r>
          </m:den>
        </m:f>
      </m:oMath>
      <w:r>
        <w:rPr>
          <w:rFonts w:ascii="Cambria Math" w:hAnsi="Cambria Math" w:cs="Times New Roman"/>
          <w:i/>
          <w:sz w:val="24"/>
        </w:rPr>
        <w:t xml:space="preserve"> </w:t>
      </w:r>
      <w:r>
        <w:rPr>
          <w:rFonts w:hAnsi="Cambria Math" w:cs="Times New Roman" w:hint="eastAsia"/>
          <w:sz w:val="24"/>
        </w:rPr>
        <w:t xml:space="preserve">                       (</w:t>
      </w:r>
      <w:r>
        <w:rPr>
          <w:rFonts w:ascii="Times New Roman" w:hAnsi="Times New Roman" w:cs="Times New Roman"/>
          <w:sz w:val="24"/>
        </w:rPr>
        <w:t>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2)</w:t>
      </w:r>
    </w:p>
    <w:p w14:paraId="7BC94E31" w14:textId="77777777" w:rsidR="00CA0D32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Where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i </m:t>
        </m:r>
      </m:oMath>
      <w:r>
        <w:rPr>
          <w:rFonts w:ascii="Times New Roman" w:hAnsi="Times New Roman" w:cs="Times New Roman"/>
          <w:sz w:val="24"/>
        </w:rPr>
        <w:t xml:space="preserve">is the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pplied constant driving current,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t </m:t>
        </m:r>
      </m:oMath>
      <w:r>
        <w:rPr>
          <w:rFonts w:ascii="Times New Roman" w:hAnsi="Times New Roman" w:cs="Times New Roman"/>
          <w:sz w:val="24"/>
        </w:rPr>
        <w:t xml:space="preserve">is the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ctuation time, and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F </m:t>
        </m:r>
      </m:oMath>
      <w:r>
        <w:rPr>
          <w:rFonts w:ascii="Times New Roman" w:hAnsi="Times New Roman" w:cs="Times New Roman"/>
          <w:sz w:val="24"/>
        </w:rPr>
        <w:t>is the Faraday constant.</w:t>
      </w:r>
    </w:p>
    <w:p w14:paraId="74C995A6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From 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S1, assuming the initial volume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 xml:space="preserve"> V 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</m:oMath>
      <w:r>
        <w:rPr>
          <w:rFonts w:ascii="Times New Roman" w:hAnsi="Times New Roman" w:cs="Times New Roman"/>
          <w:sz w:val="24"/>
        </w:rPr>
        <w:t>is negligible compared to the expansion volume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V </m:t>
        </m:r>
      </m:oMath>
      <w:r>
        <w:rPr>
          <w:rFonts w:ascii="Times New Roman" w:hAnsi="Times New Roman" w:cs="Times New Roman"/>
          <w:sz w:val="24"/>
        </w:rPr>
        <w:t>, the pressure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P </m:t>
        </m:r>
      </m:oMath>
      <w:r>
        <w:rPr>
          <w:rFonts w:ascii="Times New Roman" w:hAnsi="Times New Roman" w:cs="Times New Roman"/>
          <w:sz w:val="24"/>
        </w:rPr>
        <w:t>can be related by</w:t>
      </w:r>
    </w:p>
    <w:p w14:paraId="747EF837" w14:textId="77777777" w:rsidR="00CA0D32" w:rsidRDefault="00000000">
      <w:pPr>
        <w:spacing w:line="360" w:lineRule="auto"/>
        <w:ind w:firstLineChars="100" w:firstLine="240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P=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3it</m:t>
            </m:r>
          </m:num>
          <m:den>
            <m:r>
              <w:rPr>
                <w:rFonts w:ascii="Cambria Math" w:hAnsi="Cambria Math" w:cs="Times New Roman"/>
                <w:sz w:val="24"/>
              </w:rPr>
              <m:t>4FV</m:t>
            </m:r>
          </m:den>
        </m:f>
        <m:r>
          <w:rPr>
            <w:rFonts w:ascii="Cambria Math" w:hAnsi="Cambria Math" w:cs="Times New Roman"/>
            <w:sz w:val="24"/>
          </w:rPr>
          <m:t>RT</m:t>
        </m:r>
      </m:oMath>
      <w:r>
        <w:rPr>
          <w:rFonts w:hAnsi="Cambria Math" w:cs="Times New Roman" w:hint="eastAsia"/>
          <w:sz w:val="24"/>
        </w:rPr>
        <w:t xml:space="preserve">                      (</w:t>
      </w:r>
      <w:r>
        <w:rPr>
          <w:rFonts w:ascii="Times New Roman" w:hAnsi="Times New Roman" w:cs="Times New Roman"/>
          <w:sz w:val="24"/>
        </w:rPr>
        <w:t>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3)</w:t>
      </w:r>
    </w:p>
    <w:p w14:paraId="46053A02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volume of a micro-actuator undergoes change when gas pressure is applied. The formula for the Bulk modulus (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k </m:t>
        </m:r>
      </m:oMath>
      <w:r>
        <w:rPr>
          <w:rFonts w:ascii="Times New Roman" w:hAnsi="Times New Roman" w:cs="Times New Roman"/>
          <w:sz w:val="24"/>
        </w:rPr>
        <w:t>) can be expressed as</w:t>
      </w:r>
    </w:p>
    <w:p w14:paraId="518F4B72" w14:textId="77777777" w:rsidR="00CA0D32" w:rsidRDefault="00000000">
      <w:pPr>
        <w:spacing w:line="360" w:lineRule="auto"/>
        <w:ind w:firstLineChars="100" w:firstLine="240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k=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E</m:t>
            </m:r>
          </m:num>
          <m:den>
            <m:r>
              <w:rPr>
                <w:rFonts w:ascii="Cambria Math" w:hAnsi="Cambria Math" w:cs="Times New Roman"/>
                <w:sz w:val="24"/>
              </w:rPr>
              <m:t>3(1-2ν)</m:t>
            </m:r>
          </m:den>
        </m:f>
      </m:oMath>
      <w:r>
        <w:rPr>
          <w:rFonts w:hAnsi="Cambria Math" w:cs="Times New Roman" w:hint="eastAsia"/>
          <w:sz w:val="24"/>
        </w:rPr>
        <w:t xml:space="preserve">                      (</w:t>
      </w:r>
      <w:r>
        <w:rPr>
          <w:rFonts w:ascii="Times New Roman" w:hAnsi="Times New Roman" w:cs="Times New Roman"/>
          <w:sz w:val="24"/>
        </w:rPr>
        <w:t>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4)</w:t>
      </w:r>
    </w:p>
    <w:p w14:paraId="014E43C3" w14:textId="77777777" w:rsidR="00CA0D32" w:rsidRDefault="00000000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k=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</w:rPr>
              <m:t>0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P</m:t>
            </m:r>
          </m:num>
          <m:den>
            <m:r>
              <w:rPr>
                <w:rFonts w:ascii="Cambria Math" w:hAnsi="Cambria Math" w:cs="Times New Roman"/>
                <w:sz w:val="24"/>
              </w:rPr>
              <m:t>V</m:t>
            </m:r>
          </m:den>
        </m:f>
      </m:oMath>
      <w:r>
        <w:rPr>
          <w:rFonts w:hAnsi="Cambria Math" w:cs="Times New Roman" w:hint="eastAsia"/>
          <w:sz w:val="24"/>
        </w:rPr>
        <w:t xml:space="preserve">                        (</w:t>
      </w:r>
      <w:r>
        <w:rPr>
          <w:rFonts w:ascii="Times New Roman" w:hAnsi="Times New Roman" w:cs="Times New Roman"/>
          <w:sz w:val="24"/>
        </w:rPr>
        <w:t>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5)</w:t>
      </w:r>
    </w:p>
    <w:p w14:paraId="328A402B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where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k </m:t>
        </m:r>
      </m:oMath>
      <w:r>
        <w:rPr>
          <w:rFonts w:ascii="Times New Roman" w:hAnsi="Times New Roman" w:cs="Times New Roman"/>
          <w:sz w:val="24"/>
        </w:rPr>
        <w:t>is Bulk modulus,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E </m:t>
        </m:r>
      </m:oMath>
      <w:r>
        <w:rPr>
          <w:rFonts w:ascii="Times New Roman" w:hAnsi="Times New Roman" w:cs="Times New Roman"/>
          <w:sz w:val="24"/>
        </w:rPr>
        <w:t>is Young's modulus and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ν </m:t>
        </m:r>
      </m:oMath>
      <w:r>
        <w:rPr>
          <w:rFonts w:ascii="Times New Roman" w:hAnsi="Times New Roman" w:cs="Times New Roman"/>
          <w:sz w:val="24"/>
        </w:rPr>
        <w:t>is Poisson ratio.</w:t>
      </w:r>
    </w:p>
    <w:p w14:paraId="7CCC9187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According to Eq S</w:t>
      </w:r>
      <w:r>
        <w:rPr>
          <w:rFonts w:ascii="Times New Roman" w:hAnsi="Times New Roman" w:cs="Times New Roman" w:hint="eastAsia"/>
          <w:sz w:val="24"/>
        </w:rPr>
        <w:t>3</w:t>
      </w:r>
      <w:r>
        <w:rPr>
          <w:rFonts w:ascii="Times New Roman" w:hAnsi="Times New Roman" w:cs="Times New Roman"/>
          <w:sz w:val="24"/>
        </w:rPr>
        <w:t>, Eq S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>, and Eq S</w:t>
      </w:r>
      <w:r>
        <w:rPr>
          <w:rFonts w:ascii="Times New Roman" w:hAnsi="Times New Roman" w:cs="Times New Roman" w:hint="eastAsia"/>
          <w:sz w:val="24"/>
        </w:rPr>
        <w:t>5</w:t>
      </w:r>
      <w:r>
        <w:rPr>
          <w:rFonts w:ascii="Times New Roman" w:hAnsi="Times New Roman" w:cs="Times New Roman"/>
          <w:sz w:val="24"/>
        </w:rPr>
        <w:t>, the functional relationship between the volume variation (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V </m:t>
        </m:r>
      </m:oMath>
      <w:r>
        <w:rPr>
          <w:rFonts w:ascii="Times New Roman" w:hAnsi="Times New Roman" w:cs="Times New Roman"/>
          <w:sz w:val="24"/>
        </w:rPr>
        <w:t>) and time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t </m:t>
        </m:r>
      </m:oMath>
      <w:r>
        <w:rPr>
          <w:rFonts w:ascii="Times New Roman" w:hAnsi="Times New Roman" w:cs="Times New Roman"/>
          <w:sz w:val="24"/>
        </w:rPr>
        <w:t>can be obtained as</w:t>
      </w:r>
    </w:p>
    <w:p w14:paraId="4EF7E091" w14:textId="77777777" w:rsidR="00CA0D32" w:rsidRDefault="00000000">
      <w:pPr>
        <w:spacing w:line="360" w:lineRule="auto"/>
        <w:ind w:firstLineChars="100" w:firstLine="240"/>
        <w:jc w:val="right"/>
        <w:rPr>
          <w:rFonts w:ascii="Times New Roman" w:hAnsi="Times New Roman" w:cs="Times New Roman"/>
          <w:sz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9iRT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(1-2v)</m:t>
            </m:r>
          </m:num>
          <m:den>
            <m:r>
              <w:rPr>
                <w:rFonts w:ascii="Cambria Math" w:hAnsi="Cambria Math" w:cs="Times New Roman"/>
                <w:sz w:val="24"/>
              </w:rPr>
              <m:t>4EF</m:t>
            </m:r>
          </m:den>
        </m:f>
        <m:r>
          <w:rPr>
            <w:rFonts w:ascii="Cambria Math" w:hAnsi="Cambria Math" w:cs="Times New Roman"/>
            <w:sz w:val="24"/>
          </w:rPr>
          <m:t>t</m:t>
        </m:r>
      </m:oMath>
      <w:r>
        <w:rPr>
          <w:rFonts w:hAnsi="Cambria Math" w:cs="Times New Roman" w:hint="eastAsia"/>
          <w:sz w:val="24"/>
        </w:rPr>
        <w:t xml:space="preserve">                  (</w:t>
      </w:r>
      <w:r>
        <w:rPr>
          <w:rFonts w:ascii="Times New Roman" w:hAnsi="Times New Roman" w:cs="Times New Roman"/>
          <w:sz w:val="24"/>
        </w:rPr>
        <w:t>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6)</w:t>
      </w:r>
    </w:p>
    <w:p w14:paraId="166EE7EE" w14:textId="77777777" w:rsidR="00CA0D32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Therefore, the theoretical volume variation</w:t>
      </w:r>
      <m:oMath>
        <m:r>
          <w:rPr>
            <w:rFonts w:ascii="Cambria Math" w:hAnsi="Times New Roman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 xml:space="preserve">V </m:t>
        </m:r>
      </m:oMath>
      <w:r>
        <w:rPr>
          <w:rFonts w:ascii="Times New Roman" w:hAnsi="Times New Roman" w:cs="Times New Roman"/>
          <w:sz w:val="24"/>
        </w:rPr>
        <w:t>generated by the chamber can be calculated as</w:t>
      </w:r>
    </w:p>
    <w:p w14:paraId="37C4535A" w14:textId="77777777" w:rsidR="00CA0D32" w:rsidRDefault="00000000">
      <w:pPr>
        <w:spacing w:line="360" w:lineRule="auto"/>
        <w:ind w:firstLineChars="100" w:firstLine="240"/>
        <w:jc w:val="right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w:lastRenderedPageBreak/>
          <m:t>V=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iRT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(1-2v)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EF</m:t>
                </m:r>
              </m:den>
            </m:f>
          </m:e>
        </m:rad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</w:rPr>
              <m:t>t</m:t>
            </m:r>
          </m:e>
        </m:rad>
      </m:oMath>
      <w:r>
        <w:rPr>
          <w:rFonts w:hAnsi="Cambria Math" w:cs="Times New Roman" w:hint="eastAsia"/>
          <w:sz w:val="24"/>
        </w:rPr>
        <w:t xml:space="preserve">                 (</w:t>
      </w:r>
      <w:r>
        <w:rPr>
          <w:rFonts w:ascii="Times New Roman" w:hAnsi="Times New Roman" w:cs="Times New Roman"/>
          <w:sz w:val="24"/>
        </w:rPr>
        <w:t>Eq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7)</w:t>
      </w:r>
    </w:p>
    <w:p w14:paraId="01BE7EE3" w14:textId="77777777" w:rsidR="00CA0D32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5978E26" w14:textId="77777777" w:rsidR="00CA0D32" w:rsidRDefault="0000000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1271279" wp14:editId="62FC9202">
            <wp:extent cx="3599815" cy="2873375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1C66" w14:textId="77777777" w:rsidR="00CA0D32" w:rsidRDefault="0000000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kern w:val="0"/>
          <w:sz w:val="24"/>
        </w:rPr>
        <w:t>Figure S6.</w:t>
      </w:r>
      <w:r>
        <w:t xml:space="preserve"> </w:t>
      </w:r>
      <w:r>
        <w:rPr>
          <w:rFonts w:ascii="Times New Roman" w:hAnsi="Times New Roman" w:cs="Times New Roman"/>
          <w:kern w:val="0"/>
          <w:sz w:val="24"/>
        </w:rPr>
        <w:t>Quantitative analysis of the number of red fluorescence-positive (CD68+) cells in the localized skin tissue over 5 days post-treatment, indicating a declining inflammatory response.</w:t>
      </w:r>
    </w:p>
    <w:p w14:paraId="3A8F51AB" w14:textId="77777777" w:rsidR="00CA0D32" w:rsidRDefault="00CA0D32">
      <w:pPr>
        <w:spacing w:line="360" w:lineRule="auto"/>
        <w:rPr>
          <w:rFonts w:ascii="Times New Roman" w:hAnsi="Times New Roman" w:cs="Times New Roman"/>
          <w:sz w:val="24"/>
        </w:rPr>
      </w:pPr>
    </w:p>
    <w:sectPr w:rsidR="00CA0D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07F01C1"/>
    <w:rsid w:val="0009624A"/>
    <w:rsid w:val="001C449C"/>
    <w:rsid w:val="003E7528"/>
    <w:rsid w:val="004204BC"/>
    <w:rsid w:val="00456F64"/>
    <w:rsid w:val="004B5CE6"/>
    <w:rsid w:val="00562689"/>
    <w:rsid w:val="005E5F6E"/>
    <w:rsid w:val="006E3386"/>
    <w:rsid w:val="0075404F"/>
    <w:rsid w:val="007D62C9"/>
    <w:rsid w:val="00900370"/>
    <w:rsid w:val="00956352"/>
    <w:rsid w:val="00980263"/>
    <w:rsid w:val="009A1B7C"/>
    <w:rsid w:val="00A641BA"/>
    <w:rsid w:val="00A8311F"/>
    <w:rsid w:val="00AD07C0"/>
    <w:rsid w:val="00B62F21"/>
    <w:rsid w:val="00B84951"/>
    <w:rsid w:val="00CA0D32"/>
    <w:rsid w:val="00CC6E58"/>
    <w:rsid w:val="00D6505F"/>
    <w:rsid w:val="00E44BD2"/>
    <w:rsid w:val="00E76927"/>
    <w:rsid w:val="00EF1C42"/>
    <w:rsid w:val="00F67509"/>
    <w:rsid w:val="00F73D4F"/>
    <w:rsid w:val="407F01C1"/>
    <w:rsid w:val="45C5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5E49A2"/>
  <w15:docId w15:val="{DE42483D-1631-41AF-8251-DD4E47AC3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338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font31">
    <w:name w:val="font31"/>
    <w:basedOn w:val="a0"/>
    <w:qFormat/>
    <w:rPr>
      <w:rFonts w:ascii="宋体" w:eastAsia="宋体" w:hAnsi="宋体" w:cs="宋体"/>
      <w:b/>
      <w:bCs/>
      <w:color w:val="000000"/>
      <w:sz w:val="28"/>
      <w:szCs w:val="28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/>
      <w:color w:val="000000"/>
      <w:sz w:val="28"/>
      <w:szCs w:val="2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/>
      <w:color w:val="204050"/>
      <w:sz w:val="28"/>
      <w:szCs w:val="28"/>
      <w:u w:val="none"/>
    </w:rPr>
  </w:style>
  <w:style w:type="paragraph" w:customStyle="1" w:styleId="Head1">
    <w:name w:val="Head 1"/>
    <w:basedOn w:val="a"/>
    <w:autoRedefine/>
    <w:qFormat/>
    <w:pPr>
      <w:spacing w:line="360" w:lineRule="auto"/>
    </w:pPr>
    <w:rPr>
      <w:b/>
    </w:rPr>
  </w:style>
  <w:style w:type="paragraph" w:customStyle="1" w:styleId="Teaser">
    <w:name w:val="Teaser"/>
    <w:basedOn w:val="BaseText"/>
    <w:qFormat/>
  </w:style>
  <w:style w:type="paragraph" w:customStyle="1" w:styleId="BaseText">
    <w:name w:val="Base_Text"/>
    <w:qFormat/>
    <w:pPr>
      <w:spacing w:before="120"/>
    </w:pPr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B7275-50E2-418F-A8B9-70832795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LiquorLeft</dc:creator>
  <cp:lastModifiedBy>自昱 匡</cp:lastModifiedBy>
  <cp:revision>8</cp:revision>
  <dcterms:created xsi:type="dcterms:W3CDTF">2026-06-11T02:57:00Z</dcterms:created>
  <dcterms:modified xsi:type="dcterms:W3CDTF">2026-06-16T01:30:00Z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2540F66191524989BAEDCA79967AF00E_11</vt:lpwstr>
  </property>
  <property fmtid="{D5CDD505-2E9C-101B-9397-08002B2CF9AE}" pid="4" name="KSOTemplateDocerSaveRecord">
    <vt:lpwstr>eyJoZGlkIjoiNDYwMWMyNjhiMmFlYWFkYTViMjY3OTQ3ZDYwNDhkNGQiLCJ1c2VySWQiOiIxMTIwNzE0ODQzIn0=</vt:lpwstr>
  </property>
</Properties>
</file>