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S3: Parallel Analysis factor retention results for the PCI using tetrachoric correlations</w:t>
      </w:r>
    </w:p>
    <w:tbl>
      <w:tblPr>
        <w:tblStyle w:val="Table1"/>
        <w:tblW w:w="91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5"/>
        <w:gridCol w:w="3976"/>
        <w:gridCol w:w="4034"/>
        <w:tblGridChange w:id="0">
          <w:tblGrid>
            <w:gridCol w:w="1165"/>
            <w:gridCol w:w="3976"/>
            <w:gridCol w:w="4034"/>
          </w:tblGrid>
        </w:tblGridChange>
      </w:tblGrid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Factor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Observed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Eigenvalue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95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 Percentile Random Eigenvalue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8.473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0.442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1.057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0.330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0.716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0.286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0.459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0.249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0.340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0.214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0.264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0.181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0.198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0.152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0.142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0.123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0.082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0.095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0.063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0.068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0.028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0.043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-0.011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0.018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-0.039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-0.007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-0.086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-0.032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-0.128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-0.056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-0.195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-0.080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-0.208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-0.105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-0.259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-0.130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-0.297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-0.155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-0.347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-0.180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-0.364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-0.207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-0.433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-0.236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-0.489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-0.267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-0.494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-0.305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7A123FCB-B11F-45FF-80F3-8E35D4FADDC8</vt:lpwstr>
  </property>
</Properties>
</file>