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ftj60jo01r0w" w:id="0"/>
    <w:bookmarkEnd w:id="0"/>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S2: Cognitive Diagnostic Assessment (CDA) Models </w:t>
      </w:r>
    </w:p>
    <w:tbl>
      <w:tblPr>
        <w:tblStyle w:val="Table1"/>
        <w:tblW w:w="1449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0"/>
        <w:gridCol w:w="2610"/>
        <w:gridCol w:w="3060"/>
        <w:gridCol w:w="4950"/>
        <w:gridCol w:w="2070"/>
        <w:tblGridChange w:id="0">
          <w:tblGrid>
            <w:gridCol w:w="1800"/>
            <w:gridCol w:w="2610"/>
            <w:gridCol w:w="3060"/>
            <w:gridCol w:w="4950"/>
            <w:gridCol w:w="2070"/>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CDM type</w:t>
            </w:r>
          </w:p>
        </w:tc>
        <w:tc>
          <w:tcPr/>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w:t>
            </w:r>
          </w:p>
        </w:tc>
        <w:tc>
          <w:tcPr/>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Attribute assumption</w:t>
            </w:r>
          </w:p>
        </w:tc>
        <w:tc>
          <w:tcPr/>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References </w:t>
            </w:r>
          </w:p>
        </w:tc>
      </w:tr>
      <w:tr>
        <w:trPr>
          <w:cantSplit w:val="0"/>
          <w:tblHeader w:val="0"/>
        </w:trPr>
        <w:tc>
          <w:tcPr>
            <w:vMerge w:val="restart"/>
          </w:tcPr>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Compensatory</w:t>
            </w:r>
          </w:p>
        </w:tc>
        <w:tc>
          <w:tcPr/>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DINO</w:t>
            </w:r>
            <w:r w:rsidDel="00000000" w:rsidR="00000000" w:rsidRPr="00000000">
              <w:rPr>
                <w:rFonts w:ascii="Times New Roman" w:cs="Times New Roman" w:eastAsia="Times New Roman" w:hAnsi="Times New Roman"/>
                <w:rtl w:val="0"/>
              </w:rPr>
              <w:t xml:space="preserve"> (Deterministic Inputs, Noisy OR Gate)</w:t>
            </w:r>
          </w:p>
        </w:tc>
        <w:tc>
          <w:tcPr>
            <w:vAlign w:val="center"/>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Mastery of at least one required attribute is sufficient</w:t>
            </w:r>
          </w:p>
        </w:tc>
        <w:tc>
          <w:tcPr>
            <w:vAlign w:val="center"/>
          </w:tcPr>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Disjunctive (OR) rule; strengths in one attribute can compensate for weaknesses in others; incorporates guessing and slip parameters</w:t>
            </w:r>
          </w:p>
        </w:tc>
        <w:tc>
          <w:tcPr>
            <w:vAlign w:val="center"/>
          </w:tcPr>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w:anchor="_2qc0yleofy9z">
              <w:r w:rsidDel="00000000" w:rsidR="00000000" w:rsidRPr="00000000">
                <w:rPr>
                  <w:color w:val="467886"/>
                  <w:u w:val="single"/>
                  <w:rtl w:val="0"/>
                </w:rPr>
                <w:t xml:space="preserve">Templin &amp; Henson, 2006</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A-CDM</w:t>
            </w:r>
            <w:r w:rsidDel="00000000" w:rsidR="00000000" w:rsidRPr="00000000">
              <w:rPr>
                <w:rFonts w:ascii="Times New Roman" w:cs="Times New Roman" w:eastAsia="Times New Roman" w:hAnsi="Times New Roman"/>
                <w:rtl w:val="0"/>
              </w:rPr>
              <w:t xml:space="preserve"> (Additive Cognitive Diagnostic Model)</w:t>
            </w:r>
          </w:p>
        </w:tc>
        <w:tc>
          <w:tcPr>
            <w:vAlign w:val="center"/>
          </w:tcPr>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mastered attribute independently increases success probability</w:t>
            </w:r>
          </w:p>
        </w:tc>
        <w:tc>
          <w:tcPr>
            <w:vAlign w:val="center"/>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Additive effects only; no attribute interactions; special case of G-DINA</w:t>
            </w:r>
          </w:p>
        </w:tc>
        <w:tc>
          <w:tcPr>
            <w:vAlign w:val="center"/>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w:anchor="_bwxe8uth9086">
              <w:r w:rsidDel="00000000" w:rsidR="00000000" w:rsidRPr="00000000">
                <w:rPr>
                  <w:color w:val="467886"/>
                  <w:u w:val="single"/>
                  <w:rtl w:val="0"/>
                </w:rPr>
                <w:t xml:space="preserve">de la Torre, 2011</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vMerge w:val="restart"/>
          </w:tcPr>
          <w:p w:rsidR="00000000" w:rsidDel="00000000" w:rsidP="00000000" w:rsidRDefault="00000000" w:rsidRPr="00000000" w14:paraId="0000001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Non-compensatory</w:t>
            </w:r>
          </w:p>
          <w:p w:rsidR="00000000" w:rsidDel="00000000" w:rsidP="00000000" w:rsidRDefault="00000000" w:rsidRPr="00000000" w14:paraId="0000001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DINA</w:t>
            </w:r>
            <w:r w:rsidDel="00000000" w:rsidR="00000000" w:rsidRPr="00000000">
              <w:rPr>
                <w:rFonts w:ascii="Times New Roman" w:cs="Times New Roman" w:eastAsia="Times New Roman" w:hAnsi="Times New Roman"/>
                <w:rtl w:val="0"/>
              </w:rPr>
              <w:t xml:space="preserve"> (Deterministic Inputs, Noisy AND Gate)</w:t>
            </w:r>
          </w:p>
        </w:tc>
        <w:tc>
          <w:tcPr>
            <w:vAlign w:val="center"/>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required attributes must be mastered</w:t>
            </w:r>
          </w:p>
        </w:tc>
        <w:tc>
          <w:tcPr>
            <w:vAlign w:val="center"/>
          </w:tcPr>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Conjunctive (AND) rule; binary latent response; includes guessing and slip parameters</w:t>
            </w:r>
          </w:p>
        </w:tc>
        <w:tc>
          <w:tcPr>
            <w:vAlign w:val="center"/>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w:anchor="_fexxckw900nt">
              <w:r w:rsidDel="00000000" w:rsidR="00000000" w:rsidRPr="00000000">
                <w:rPr>
                  <w:color w:val="467886"/>
                  <w:u w:val="single"/>
                  <w:rtl w:val="0"/>
                </w:rPr>
                <w:t xml:space="preserve">Junker &amp; Sijtsma, 2001</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rRUM</w:t>
            </w:r>
            <w:r w:rsidDel="00000000" w:rsidR="00000000" w:rsidRPr="00000000">
              <w:rPr>
                <w:rFonts w:ascii="Times New Roman" w:cs="Times New Roman" w:eastAsia="Times New Roman" w:hAnsi="Times New Roman"/>
                <w:rtl w:val="0"/>
              </w:rPr>
              <w:t xml:space="preserve"> (Reduced Reparametrized Unified Model)</w:t>
            </w:r>
          </w:p>
        </w:tc>
        <w:tc>
          <w:tcPr>
            <w:vAlign w:val="cente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attributes required; missing attributes impose penalties</w:t>
            </w:r>
          </w:p>
        </w:tc>
        <w:tc>
          <w:tcPr>
            <w:vAlign w:val="center"/>
          </w:tcPr>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Refinement of DINA; multiplicative penalty for missing attributes</w:t>
            </w:r>
          </w:p>
        </w:tc>
        <w:tc>
          <w:tcPr>
            <w:vAlign w:val="cente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w:anchor="_b01dynt35ibs">
              <w:r w:rsidDel="00000000" w:rsidR="00000000" w:rsidRPr="00000000">
                <w:rPr>
                  <w:color w:val="467886"/>
                  <w:u w:val="single"/>
                  <w:rtl w:val="0"/>
                </w:rPr>
                <w:t xml:space="preserve">Hartz &amp; Roussos, 2008</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vMerge w:val="restart"/>
          </w:tcPr>
          <w:p w:rsidR="00000000" w:rsidDel="00000000" w:rsidP="00000000" w:rsidRDefault="00000000" w:rsidRPr="00000000" w14:paraId="0000001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General/ Flexible</w:t>
            </w:r>
          </w:p>
        </w:tc>
        <w:tc>
          <w:tcPr>
            <w:vAlign w:val="center"/>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GDM</w:t>
            </w:r>
            <w:r w:rsidDel="00000000" w:rsidR="00000000" w:rsidRPr="00000000">
              <w:rPr>
                <w:rFonts w:ascii="Times New Roman" w:cs="Times New Roman" w:eastAsia="Times New Roman" w:hAnsi="Times New Roman"/>
                <w:rtl w:val="0"/>
              </w:rPr>
              <w:t xml:space="preserve"> (General Diagnostic Model)</w:t>
            </w:r>
          </w:p>
        </w:tc>
        <w:tc>
          <w:tcPr>
            <w:vAlign w:val="center"/>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Attribute relationships specified by model form</w:t>
            </w:r>
          </w:p>
        </w:tc>
        <w:tc>
          <w:tcPr>
            <w:vAlign w:val="center"/>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Allows both compensatory and non-compensatory relationships</w:t>
            </w:r>
          </w:p>
        </w:tc>
        <w:tc>
          <w:tcPr>
            <w:vAlign w:val="center"/>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w:anchor="_cgsoazl6xda5">
              <w:r w:rsidDel="00000000" w:rsidR="00000000" w:rsidRPr="00000000">
                <w:rPr>
                  <w:color w:val="467886"/>
                  <w:u w:val="single"/>
                  <w:rtl w:val="0"/>
                </w:rPr>
                <w:t xml:space="preserve">Arican &amp; Kuzu, 2020</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LCDM</w:t>
            </w:r>
            <w:r w:rsidDel="00000000" w:rsidR="00000000" w:rsidRPr="00000000">
              <w:rPr>
                <w:rFonts w:ascii="Times New Roman" w:cs="Times New Roman" w:eastAsia="Times New Roman" w:hAnsi="Times New Roman"/>
                <w:rtl w:val="0"/>
              </w:rPr>
              <w:t xml:space="preserve"> (Log-Linear Cognitive Diagnostic Model)</w:t>
            </w:r>
          </w:p>
        </w:tc>
        <w:tc>
          <w:tcPr>
            <w:vAlign w:val="center"/>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and interaction effects among attributes</w:t>
            </w:r>
          </w:p>
        </w:tc>
        <w:tc>
          <w:tcPr>
            <w:vAlign w:val="center"/>
          </w:tcPr>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Log-linear formulation; interaction terms determine compensatory behavior</w:t>
            </w:r>
          </w:p>
        </w:tc>
        <w:tc>
          <w:tcPr>
            <w:vAlign w:val="center"/>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w:anchor="_n7oksofyu7s">
              <w:r w:rsidDel="00000000" w:rsidR="00000000" w:rsidRPr="00000000">
                <w:rPr>
                  <w:color w:val="467886"/>
                  <w:u w:val="single"/>
                  <w:rtl w:val="0"/>
                </w:rPr>
                <w:t xml:space="preserve">Henson et al., 2009</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G-DINA</w:t>
            </w:r>
            <w:r w:rsidDel="00000000" w:rsidR="00000000" w:rsidRPr="00000000">
              <w:rPr>
                <w:rFonts w:ascii="Times New Roman" w:cs="Times New Roman" w:eastAsia="Times New Roman" w:hAnsi="Times New Roman"/>
                <w:rtl w:val="0"/>
              </w:rPr>
              <w:t xml:space="preserve"> (Generalized DINA)</w:t>
            </w:r>
          </w:p>
        </w:tc>
        <w:tc>
          <w:tcPr>
            <w:vAlign w:val="center"/>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Attribute effects and interactions explicitly estimated</w:t>
            </w:r>
          </w:p>
        </w:tc>
        <w:tc>
          <w:tcPr>
            <w:vAlign w:val="center"/>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framework subsuming many CDMs; compensatory nature depends on parameter constraints</w:t>
            </w:r>
          </w:p>
        </w:tc>
        <w:tc>
          <w:tcPr>
            <w:vAlign w:val="center"/>
          </w:tcPr>
          <w:p w:rsidR="00000000" w:rsidDel="00000000" w:rsidP="00000000" w:rsidRDefault="00000000" w:rsidRPr="00000000" w14:paraId="0000002C">
            <w:pPr>
              <w:rPr>
                <w:color w:val="467886"/>
                <w:u w:val="single"/>
              </w:rPr>
            </w:pPr>
            <w:r w:rsidDel="00000000" w:rsidR="00000000" w:rsidRPr="00000000">
              <w:rPr>
                <w:rFonts w:ascii="Times New Roman" w:cs="Times New Roman" w:eastAsia="Times New Roman" w:hAnsi="Times New Roman"/>
                <w:rtl w:val="0"/>
              </w:rPr>
              <w:t xml:space="preserve">(</w:t>
            </w:r>
            <w:hyperlink w:anchor="_bwxe8uth9086">
              <w:r w:rsidDel="00000000" w:rsidR="00000000" w:rsidRPr="00000000">
                <w:rPr>
                  <w:color w:val="467886"/>
                  <w:u w:val="single"/>
                  <w:rtl w:val="0"/>
                </w:rPr>
                <w:t xml:space="preserve">de la Torre, 2011</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D">
            <w:pPr>
              <w:rPr>
                <w:color w:val="467886"/>
                <w:u w:val="single"/>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bCs w:val="1"/>
        </w:rPr>
        <w:sectPr>
          <w:pgSz w:h="12240" w:w="15840" w:orient="landscape"/>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4">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Some explanations on the utilizations of the CDA model</w:t>
      </w:r>
    </w:p>
    <w:p w:rsidR="00000000" w:rsidDel="00000000" w:rsidP="00000000" w:rsidRDefault="00000000" w:rsidRPr="00000000" w14:paraId="0000003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validate and evaluate the effectiveness of the PCI, we adopted the general CDA framework using the Log-Linear Cognitive Diagnosis Model (LCDM) (</w:t>
      </w:r>
      <w:hyperlink w:anchor="_n7oksofyu7s">
        <w:r w:rsidDel="00000000" w:rsidR="00000000" w:rsidRPr="00000000">
          <w:rPr>
            <w:color w:val="467886"/>
            <w:u w:val="single"/>
            <w:rtl w:val="0"/>
          </w:rPr>
          <w:t xml:space="preserve">Henson et al., 2009</w:t>
        </w:r>
      </w:hyperlink>
      <w:r w:rsidDel="00000000" w:rsidR="00000000" w:rsidRPr="00000000">
        <w:rPr>
          <w:rFonts w:ascii="Times New Roman" w:cs="Times New Roman" w:eastAsia="Times New Roman" w:hAnsi="Times New Roman"/>
          <w:rtl w:val="0"/>
        </w:rPr>
        <w:t xml:space="preserve">). The LCDM is a generalized linear model that links item responses to latent attributes via the logit function (</w:t>
      </w:r>
      <w:hyperlink w:anchor="_wct5oosud13s">
        <w:r w:rsidDel="00000000" w:rsidR="00000000" w:rsidRPr="00000000">
          <w:rPr>
            <w:color w:val="467886"/>
            <w:u w:val="single"/>
            <w:rtl w:val="0"/>
          </w:rPr>
          <w:t xml:space="preserve">Bradshaw et al., 2014</w:t>
        </w:r>
      </w:hyperlink>
      <w:r w:rsidDel="00000000" w:rsidR="00000000" w:rsidRPr="00000000">
        <w:rPr>
          <w:rFonts w:ascii="Times New Roman" w:cs="Times New Roman" w:eastAsia="Times New Roman" w:hAnsi="Times New Roman"/>
          <w:rtl w:val="0"/>
        </w:rPr>
        <w:t xml:space="preserve">), enabling estimation of attribute-mastery probabilities and identification of diagnostic response patterns. This model was chosen for its flexibility, as it subsumes a range of simpler diagnostic models and can accommodate both compensatory and non-compensatory relationships among attributes at the item level. Thus, the LCDM accommodates uncertainty about how attribute mastery influences performance and avoids deciding whether all required skills must be mastered or whether strengths in some attributes can offset weaknesses in others (</w:t>
      </w:r>
      <w:hyperlink w:anchor="_wct5oosud13s">
        <w:r w:rsidDel="00000000" w:rsidR="00000000" w:rsidRPr="00000000">
          <w:rPr>
            <w:color w:val="467886"/>
            <w:u w:val="single"/>
            <w:rtl w:val="0"/>
          </w:rPr>
          <w:t xml:space="preserve">Bradshaw et al., 2014</w:t>
        </w:r>
      </w:hyperlink>
      <w:r w:rsidDel="00000000" w:rsidR="00000000" w:rsidRPr="00000000">
        <w:rPr>
          <w:rFonts w:ascii="Times New Roman" w:cs="Times New Roman" w:eastAsia="Times New Roman" w:hAnsi="Times New Roman"/>
          <w:rtl w:val="0"/>
        </w:rPr>
        <w:t xml:space="preserve">). Importantly, the functional form of the LCDM remains constrained by the Q-matrix, which defines the attribute-item relationship. Generally, fit parameters were used to select the most appropriate CDA (</w:t>
      </w:r>
      <w:hyperlink w:anchor="_9k6rgidw7gtz">
        <w:r w:rsidDel="00000000" w:rsidR="00000000" w:rsidRPr="00000000">
          <w:rPr>
            <w:color w:val="467886"/>
            <w:u w:val="single"/>
            <w:rtl w:val="0"/>
          </w:rPr>
          <w:t xml:space="preserve">Lee &amp; Luna-Bazaldua, 2019</w:t>
        </w:r>
      </w:hyperlink>
      <w:r w:rsidDel="00000000" w:rsidR="00000000" w:rsidRPr="00000000">
        <w:rPr>
          <w:rFonts w:ascii="Times New Roman" w:cs="Times New Roman" w:eastAsia="Times New Roman" w:hAnsi="Times New Roman"/>
          <w:rtl w:val="0"/>
        </w:rPr>
        <w:t xml:space="preserve">; </w:t>
      </w:r>
      <w:hyperlink w:anchor="_u5g2x05ozqnt">
        <w:r w:rsidDel="00000000" w:rsidR="00000000" w:rsidRPr="00000000">
          <w:rPr>
            <w:color w:val="467886"/>
            <w:u w:val="single"/>
            <w:rtl w:val="0"/>
          </w:rPr>
          <w:t xml:space="preserve">Wu et al., 2020</w:t>
        </w:r>
      </w:hyperlink>
      <w:r w:rsidDel="00000000" w:rsidR="00000000" w:rsidRPr="00000000">
        <w:rPr>
          <w:rFonts w:ascii="Times New Roman" w:cs="Times New Roman" w:eastAsia="Times New Roman" w:hAnsi="Times New Roman"/>
          <w:rtl w:val="0"/>
        </w:rPr>
        <w:t xml:space="preserve">). Therefore, the best model was selected for the options above based on the input data, including the Q-matrix and the examinee response data for each PCI item.</w:t>
      </w:r>
    </w:p>
    <w:p w:rsidR="00000000" w:rsidDel="00000000" w:rsidP="00000000" w:rsidRDefault="00000000" w:rsidRPr="00000000" w14:paraId="00000036">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PCI, each item is designed to measure a single pharmacological attribute (conceptual understanding), and no item requires measuring multiple attributes simultaneously. Consequently, cross-attribute and interaction effects were not identifiable. Thus, item responses were modelled using a reduced LCDM, in which the log-odds of a correct response depend only on an item-specific intercept and the mastery status of the targeted attribute. For examinee </w:t>
      </w:r>
      <w:r w:rsidDel="00000000" w:rsidR="00000000" w:rsidRPr="00000000">
        <w:rPr>
          <w:rFonts w:ascii="Times New Roman" w:cs="Times New Roman" w:eastAsia="Times New Roman" w:hAnsi="Times New Roman"/>
          <w:i w:val="1"/>
          <w:iCs w:val="1"/>
          <w:rtl w:val="0"/>
        </w:rPr>
        <w:t xml:space="preserve">e </w:t>
      </w:r>
      <w:r w:rsidDel="00000000" w:rsidR="00000000" w:rsidRPr="00000000">
        <w:rPr>
          <w:rFonts w:ascii="Times New Roman" w:cs="Times New Roman" w:eastAsia="Times New Roman" w:hAnsi="Times New Roman"/>
          <w:rtl w:val="0"/>
        </w:rPr>
        <w:t xml:space="preserve">and item </w:t>
      </w:r>
      <w:r w:rsidDel="00000000" w:rsidR="00000000" w:rsidRPr="00000000">
        <w:rPr>
          <w:rFonts w:ascii="Times New Roman" w:cs="Times New Roman" w:eastAsia="Times New Roman" w:hAnsi="Times New Roman"/>
          <w:i w:val="1"/>
          <w:iCs w:val="1"/>
          <w:rtl w:val="0"/>
        </w:rPr>
        <w:t xml:space="preserve">i,</w:t>
      </w:r>
      <w:r w:rsidDel="00000000" w:rsidR="00000000" w:rsidRPr="00000000">
        <w:rPr>
          <w:rFonts w:ascii="Times New Roman" w:cs="Times New Roman" w:eastAsia="Times New Roman" w:hAnsi="Times New Roman"/>
          <w:rtl w:val="0"/>
        </w:rPr>
        <w:t xml:space="preserve"> the reduced LCDM expresses the natural logarithm of the odds of a correct response as: </w:t>
      </w:r>
    </w:p>
    <w:p w:rsidR="00000000" w:rsidDel="00000000" w:rsidP="00000000" w:rsidRDefault="00000000" w:rsidRPr="00000000" w14:paraId="00000037">
      <w:pPr>
        <w:spacing w:line="360" w:lineRule="auto"/>
        <w:jc w:val="center"/>
        <w:rPr>
          <w:rFonts w:ascii="Times New Roman" w:cs="Times New Roman" w:eastAsia="Times New Roman" w:hAnsi="Times New Roman"/>
        </w:rPr>
      </w:pPr>
      <m:oMath>
        <m:box>
          <m:boxPr>
            <m:opEmu m:val="1"/>
          </m:boxPr>
          <m:e>
            <m:r>
              <m:t>ln</m:t>
            </m:r>
          </m:e>
        </m:box>
        <m:r>
          <w:rPr>
            <w:rFonts w:ascii="Cambria Math" w:cs="Cambria Math" w:eastAsia="Cambria Math" w:hAnsi="Cambria Math"/>
          </w:rPr>
          <m:t xml:space="preserve">ln</m:t>
        </m:r>
        <m:r>
          <w:rPr/>
          <m:t xml:space="preserve"> </m:t>
        </m:r>
        <m:d>
          <m:dPr>
            <m:begChr m:val="("/>
            <m:endChr m:val=")"/>
            <m:ctrlPr>
              <w:rPr/>
            </m:ctrlPr>
          </m:dPr>
          <m:e>
            <m:f>
              <m:fPr>
                <m:ctrlPr>
                  <w:rPr>
                    <w:rFonts w:ascii="Cambria Math" w:cs="Cambria Math" w:eastAsia="Cambria Math" w:hAnsi="Cambria Math"/>
                  </w:rPr>
                </m:ctrlPr>
              </m:fPr>
              <m:num>
                <m:r>
                  <w:rPr>
                    <w:rFonts w:ascii="Cambria Math" w:cs="Cambria Math" w:eastAsia="Cambria Math" w:hAnsi="Cambria Math"/>
                  </w:rPr>
                  <m:t xml:space="preserve">P</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α</m:t>
                        </m:r>
                      </m:e>
                      <m:sub>
                        <m:r>
                          <w:rPr>
                            <w:rFonts w:ascii="Cambria Math" w:cs="Cambria Math" w:eastAsia="Cambria Math" w:hAnsi="Cambria Math"/>
                          </w:rPr>
                          <m:t xml:space="preserve">ek</m:t>
                        </m:r>
                      </m:sub>
                    </m:sSub>
                  </m:e>
                </m:d>
              </m:num>
              <m:den>
                <m:r>
                  <w:rPr>
                    <w:rFonts w:ascii="Cambria Math" w:cs="Cambria Math" w:eastAsia="Cambria Math" w:hAnsi="Cambria Math"/>
                  </w:rPr>
                  <m:t xml:space="preserve">P</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α</m:t>
                        </m:r>
                      </m:e>
                      <m:sub>
                        <m:r>
                          <w:rPr>
                            <w:rFonts w:ascii="Cambria Math" w:cs="Cambria Math" w:eastAsia="Cambria Math" w:hAnsi="Cambria Math"/>
                          </w:rPr>
                          <m:t xml:space="preserve">ek</m:t>
                        </m:r>
                      </m:sub>
                    </m:sSub>
                  </m:e>
                </m:d>
              </m:den>
            </m:f>
          </m:e>
        </m:d>
        <m:r>
          <w:rPr/>
          <m:t xml:space="preserve"> </m:t>
        </m:r>
        <m:r>
          <w:rPr>
            <w:rFonts w:ascii="Cambria Math" w:cs="Cambria Math" w:eastAsia="Cambria Math" w:hAnsi="Cambria Math"/>
          </w:rPr>
          <m:t xml:space="preserve">= </m:t>
        </m:r>
        <m:sSub>
          <m:sSubPr>
            <m:ctrlPr>
              <w:rPr>
                <w:rFonts w:ascii="Cambria Math" w:cs="Cambria Math" w:eastAsia="Cambria Math" w:hAnsi="Cambria Math"/>
              </w:rPr>
            </m:ctrlPr>
          </m:sSubPr>
          <m:e>
            <m:r>
              <w:rPr>
                <w:rFonts w:ascii="Cambria Math" w:cs="Cambria Math" w:eastAsia="Cambria Math" w:hAnsi="Cambria Math"/>
              </w:rPr>
              <m:t>λ</m:t>
            </m:r>
          </m:e>
          <m:sub>
            <m:r>
              <w:rPr>
                <w:rFonts w:ascii="Cambria Math" w:cs="Cambria Math" w:eastAsia="Cambria Math" w:hAnsi="Cambria Math"/>
              </w:rPr>
              <m:t xml:space="preserve">i0</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λ</m:t>
            </m:r>
          </m:e>
          <m:sub>
            <m:r>
              <w:rPr>
                <w:rFonts w:ascii="Cambria Math" w:cs="Cambria Math" w:eastAsia="Cambria Math" w:hAnsi="Cambria Math"/>
              </w:rPr>
              <m:t xml:space="preserve">ik</m:t>
            </m:r>
          </m:sub>
        </m:sSub>
        <m:sSub>
          <m:sSubPr>
            <m:ctrlPr>
              <w:rPr>
                <w:rFonts w:ascii="Cambria Math" w:cs="Cambria Math" w:eastAsia="Cambria Math" w:hAnsi="Cambria Math"/>
              </w:rPr>
            </m:ctrlPr>
          </m:sSubPr>
          <m:e>
            <m:r>
              <w:rPr>
                <w:rFonts w:ascii="Cambria Math" w:cs="Cambria Math" w:eastAsia="Cambria Math" w:hAnsi="Cambria Math"/>
              </w:rPr>
              <m:t>α</m:t>
            </m:r>
          </m:e>
          <m:sub>
            <m:r>
              <w:rPr>
                <w:rFonts w:ascii="Cambria Math" w:cs="Cambria Math" w:eastAsia="Cambria Math" w:hAnsi="Cambria Math"/>
              </w:rPr>
              <m:t xml:space="preserve">ek</m:t>
            </m:r>
          </m:sub>
        </m:sSub>
      </m:oMath>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w:t>
      </w:r>
      <m:oMath>
        <m:r>
          <w:rPr>
            <w:rFonts w:ascii="Cambria Math" w:cs="Cambria Math" w:eastAsia="Cambria Math" w:hAnsi="Cambria Math"/>
          </w:rPr>
          <m:t xml:space="preserve">X</m:t>
        </m:r>
      </m:oMath>
      <w:r w:rsidDel="00000000" w:rsidR="00000000" w:rsidRPr="00000000">
        <w:rPr>
          <w:rFonts w:ascii="Times New Roman" w:cs="Times New Roman" w:eastAsia="Times New Roman" w:hAnsi="Times New Roman"/>
          <w:i w:val="1"/>
          <w:iCs w:val="1"/>
          <w:vertAlign w:val="subscript"/>
          <w:rtl w:val="0"/>
        </w:rPr>
        <w:t xml:space="preserve">ei </w:t>
      </w:r>
      <w:r w:rsidDel="00000000" w:rsidR="00000000" w:rsidRPr="00000000">
        <w:rPr>
          <w:rFonts w:ascii="Times New Roman" w:cs="Times New Roman" w:eastAsia="Times New Roman" w:hAnsi="Times New Roman"/>
          <w:rtl w:val="0"/>
        </w:rPr>
        <w:t xml:space="preserve">denotes the binary response to item </w:t>
      </w:r>
      <w:r w:rsidDel="00000000" w:rsidR="00000000" w:rsidRPr="00000000">
        <w:rPr>
          <w:rFonts w:ascii="Times New Roman" w:cs="Times New Roman" w:eastAsia="Times New Roman" w:hAnsi="Times New Roman"/>
          <w:i w:val="1"/>
          <w:iCs w:val="1"/>
          <w:rtl w:val="0"/>
        </w:rPr>
        <w:t xml:space="preserve">i, </w:t>
      </w:r>
      <w:r w:rsidDel="00000000" w:rsidR="00000000" w:rsidRPr="00000000">
        <w:rPr>
          <w:rFonts w:ascii="Noto Sans Symbols" w:cs="Noto Sans Symbols" w:eastAsia="Noto Sans Symbols" w:hAnsi="Noto Sans Symbols"/>
          <w:i w:val="1"/>
          <w:iCs w:val="1"/>
          <w:rtl w:val="0"/>
        </w:rPr>
        <w:t xml:space="preserve">α</w:t>
      </w:r>
      <w:r w:rsidDel="00000000" w:rsidR="00000000" w:rsidRPr="00000000">
        <w:rPr>
          <w:rFonts w:ascii="Times New Roman" w:cs="Times New Roman" w:eastAsia="Times New Roman" w:hAnsi="Times New Roman"/>
          <w:i w:val="1"/>
          <w:iCs w:val="1"/>
          <w:vertAlign w:val="subscript"/>
          <w:rtl w:val="0"/>
        </w:rPr>
        <w:t xml:space="preserve">ek </w:t>
      </w:r>
      <w:r w:rsidDel="00000000" w:rsidR="00000000" w:rsidRPr="00000000">
        <w:rPr>
          <w:rFonts w:ascii="Times New Roman" w:cs="Times New Roman" w:eastAsia="Times New Roman" w:hAnsi="Times New Roman"/>
          <w:rtl w:val="0"/>
        </w:rPr>
        <w:t xml:space="preserve">represents the mastery status of the examinee </w:t>
      </w:r>
      <w:r w:rsidDel="00000000" w:rsidR="00000000" w:rsidRPr="00000000">
        <w:rPr>
          <w:rFonts w:ascii="Times New Roman" w:cs="Times New Roman" w:eastAsia="Times New Roman" w:hAnsi="Times New Roman"/>
          <w:i w:val="1"/>
          <w:iCs w:val="1"/>
          <w:rtl w:val="0"/>
        </w:rPr>
        <w:t xml:space="preserve">e </w:t>
      </w:r>
      <w:r w:rsidDel="00000000" w:rsidR="00000000" w:rsidRPr="00000000">
        <w:rPr>
          <w:rFonts w:ascii="Times New Roman" w:cs="Times New Roman" w:eastAsia="Times New Roman" w:hAnsi="Times New Roman"/>
          <w:rtl w:val="0"/>
        </w:rPr>
        <w:t xml:space="preserve">on the target attribute </w:t>
      </w:r>
      <w:r w:rsidDel="00000000" w:rsidR="00000000" w:rsidRPr="00000000">
        <w:rPr>
          <w:rFonts w:ascii="Times New Roman" w:cs="Times New Roman" w:eastAsia="Times New Roman" w:hAnsi="Times New Roman"/>
          <w:i w:val="1"/>
          <w:iCs w:val="1"/>
          <w:rtl w:val="0"/>
        </w:rPr>
        <w:t xml:space="preserve">k, </w:t>
      </w:r>
      <w:r w:rsidDel="00000000" w:rsidR="00000000" w:rsidRPr="00000000">
        <w:rPr>
          <w:rFonts w:ascii="Noto Sans Symbols" w:cs="Noto Sans Symbols" w:eastAsia="Noto Sans Symbols" w:hAnsi="Noto Sans Symbols"/>
          <w:i w:val="1"/>
          <w:iCs w:val="1"/>
          <w:rtl w:val="0"/>
        </w:rPr>
        <w:t xml:space="preserve">λ</w:t>
      </w:r>
      <w:r w:rsidDel="00000000" w:rsidR="00000000" w:rsidRPr="00000000">
        <w:rPr>
          <w:rFonts w:ascii="Times New Roman" w:cs="Times New Roman" w:eastAsia="Times New Roman" w:hAnsi="Times New Roman"/>
          <w:i w:val="1"/>
          <w:iCs w:val="1"/>
          <w:vertAlign w:val="subscript"/>
          <w:rtl w:val="0"/>
        </w:rPr>
        <w:t xml:space="preserve">io </w:t>
      </w:r>
      <w:r w:rsidDel="00000000" w:rsidR="00000000" w:rsidRPr="00000000">
        <w:rPr>
          <w:rFonts w:ascii="Times New Roman" w:cs="Times New Roman" w:eastAsia="Times New Roman" w:hAnsi="Times New Roman"/>
          <w:rtl w:val="0"/>
        </w:rPr>
        <w:t xml:space="preserve">is an item-specific intercept reflecting the baseline log-odds of success in the absence of mastery, and </w:t>
      </w:r>
      <w:r w:rsidDel="00000000" w:rsidR="00000000" w:rsidRPr="00000000">
        <w:rPr>
          <w:rFonts w:ascii="Noto Sans Symbols" w:cs="Noto Sans Symbols" w:eastAsia="Noto Sans Symbols" w:hAnsi="Noto Sans Symbols"/>
          <w:i w:val="1"/>
          <w:iCs w:val="1"/>
          <w:rtl w:val="0"/>
        </w:rPr>
        <w:t xml:space="preserve">λ</w:t>
      </w:r>
      <w:r w:rsidDel="00000000" w:rsidR="00000000" w:rsidRPr="00000000">
        <w:rPr>
          <w:rFonts w:ascii="Times New Roman" w:cs="Times New Roman" w:eastAsia="Times New Roman" w:hAnsi="Times New Roman"/>
          <w:i w:val="1"/>
          <w:iCs w:val="1"/>
          <w:vertAlign w:val="subscript"/>
          <w:rtl w:val="0"/>
        </w:rPr>
        <w:t xml:space="preserve">i</w:t>
      </w:r>
      <w:r w:rsidDel="00000000" w:rsidR="00000000" w:rsidRPr="00000000">
        <w:rPr>
          <w:rFonts w:ascii="Noto Sans Symbols" w:cs="Noto Sans Symbols" w:eastAsia="Noto Sans Symbols" w:hAnsi="Noto Sans Symbols"/>
          <w:i w:val="1"/>
          <w:iCs w:val="1"/>
          <w:vertAlign w:val="subscript"/>
          <w:rtl w:val="0"/>
        </w:rPr>
        <w:t xml:space="preserve">κ</w:t>
      </w:r>
      <w:r w:rsidDel="00000000" w:rsidR="00000000" w:rsidRPr="00000000">
        <w:rPr>
          <w:rFonts w:ascii="Times New Roman" w:cs="Times New Roman" w:eastAsia="Times New Roman" w:hAnsi="Times New Roman"/>
          <w:rtl w:val="0"/>
        </w:rPr>
        <w:t xml:space="preserve"> quantifies the increase in log-odds associated with mastering the attribute. This design is appropriate for the PCI because the instrument's single-attribute structure necessitates a simplified LCDM without interaction terms.</w:t>
      </w:r>
    </w:p>
    <w:p w:rsidR="00000000" w:rsidDel="00000000" w:rsidP="00000000" w:rsidRDefault="00000000" w:rsidRPr="00000000" w14:paraId="00000039">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rPr>
      </w:pPr>
      <w:commentRangeStart w:id="0"/>
      <w:r w:rsidDel="00000000" w:rsidR="00000000" w:rsidRPr="00000000">
        <w:rPr>
          <w:rFonts w:ascii="Times New Roman" w:cs="Times New Roman" w:eastAsia="Times New Roman" w:hAnsi="Times New Roman"/>
          <w:b w:val="1"/>
          <w:bCs w:val="1"/>
          <w:rtl w:val="0"/>
        </w:rPr>
        <w:t xml:space="preserve">References</w:t>
      </w:r>
      <w:commentRangeEnd w:id="0"/>
      <w:r w:rsidDel="00000000" w:rsidR="00000000" w:rsidRPr="00000000">
        <w:commentReference w:id="0"/>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cgsoazl6xda5" w:id="1"/>
      <w:bookmarkEnd w:id="1"/>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Arican, M., &amp; Kuzu, O. (2020). Diagnosing Preservice Teachers’ Understanding of Statistics and Probability: Developing a Test for Cognitive Assessment.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International journal of science and mathematics education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18</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 771-790. </w:t>
      </w:r>
      <w:hyperlink r:id="rId7">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https://doi.org/10.1007/s10763-019-09985-0</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wct5oosud13s" w:id="2"/>
      <w:bookmarkEnd w:id="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Bradshaw, L., Izsák, A., Templin, J., &amp; Jacobson, E. (2014). Diagnosing Teachers' Understandings of Rational Numbers: Building a Multidimensional Test Within the Diagnostic Classification Framework.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Educational measurement, issues and practice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33</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2-14. </w:t>
      </w:r>
      <w:hyperlink r:id="rId8">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https://doi.org/10.1111/emip.12020</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bwxe8uth9086" w:id="3"/>
      <w:bookmarkEnd w:id="3"/>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 la Torre, J. (2011). The Generalized DINA Model Framework.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Psychometrika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76</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179-199. </w:t>
      </w:r>
      <w:hyperlink r:id="rId9">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https://doi.org/10.1007/s11336-011-9207-7</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b01dynt35ibs" w:id="4"/>
      <w:bookmarkEnd w:id="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Hartz, S., &amp; Roussos, L. (2008). The fusion model for skills diagnosis: Blending theory with practicality.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ETS Research Report Series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2008</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i-57.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n7oksofyu7s" w:id="5"/>
      <w:bookmarkEnd w:id="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Henson, R. A., Templin, J. L., &amp; Willse, J. T. (2009). Defining a Family of Cognitive Diagnosis Models Using Log-Linear Models with Latent Variables.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Psychometrika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74</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191-210. </w:t>
      </w:r>
      <w:hyperlink r:id="rId10">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https://doi.org/10.1007/s11336-008-9089-5</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fexxckw900nt" w:id="6"/>
      <w:bookmarkEnd w:id="6"/>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Junker, B. W., &amp; Sijtsma, K. (2001). Cognitive Assessment Models with Few Assumptions, and Connections with Nonparametric Item Response Theory.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Applied psychological measurement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25</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 258-272. </w:t>
      </w:r>
      <w:hyperlink r:id="rId11">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https://doi.org/10.1177/01466210122032064</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9k6rgidw7gtz" w:id="7"/>
      <w:bookmarkEnd w:id="7"/>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Lee, Y.-S., &amp; Luna-Bazaldua, D. A. (2019). How to conduct a study with diagnostic models. In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Handbook of Diagnostic Classification Models: Models and Model Extensions, Applications, Software Packages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(pp. 525-545). Springer.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2qc0yleofy9z" w:id="8"/>
      <w:bookmarkEnd w:id="8"/>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Templin, J. L., &amp; Henson, R. A. (2006). Measurement of Psychological Disorders Using Cognitive Diagnosis Models.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Psychological methods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11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 287-305. </w:t>
      </w:r>
      <w:hyperlink r:id="rId12">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https://doi.org/10.1037/1082-989X.11.3.287</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u5g2x05ozqnt" w:id="9"/>
      <w:bookmarkEnd w:id="9"/>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Wu, X., Wu, R., Chang, H.-H., Kong, Q., &amp; Zhang, Y. (2020). International Comparative Study on PISA Mathematics Achievement Test Based on Cognitive Diagnostic Models.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Frontiers in psychology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 11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2230. </w:t>
      </w:r>
      <w:hyperlink r:id="rId13">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https://doi.org/10.3389/fpsyg.2020.02230</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E">
      <w:pPr>
        <w:spacing w:line="360" w:lineRule="auto"/>
        <w:jc w:val="both"/>
        <w:rPr>
          <w:rFonts w:ascii="Times New Roman" w:cs="Times New Roman" w:eastAsia="Times New Roman" w:hAnsi="Times New Roman"/>
        </w:rPr>
      </w:pPr>
      <w:r w:rsidDel="00000000" w:rsidR="00000000" w:rsidRPr="00000000">
        <w:rPr>
          <w:rtl w:val="0"/>
        </w:rPr>
      </w:r>
    </w:p>
    <w:sectPr>
      <w:type w:val="nextPage"/>
      <w:pgSz w:h="15840" w:w="12240" w:orient="portrait"/>
      <w:pgMar w:bottom="1440" w:top="1440" w:left="1440" w:right="144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na-Marie Babey" w:id="0" w:date="2026-06-04T05:54:28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title of the journal article should be in sentence case, not title case.  also, the name of the journal is a proper name and therefore, must be appropriately capitalised.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177/01466210122032064" TargetMode="External"/><Relationship Id="rId10" Type="http://schemas.openxmlformats.org/officeDocument/2006/relationships/hyperlink" Target="https://doi.org/10.1007/s11336-008-9089-5" TargetMode="External"/><Relationship Id="rId13" Type="http://schemas.openxmlformats.org/officeDocument/2006/relationships/hyperlink" Target="https://doi.org/10.3389/fpsyg.2020.02230" TargetMode="External"/><Relationship Id="rId12" Type="http://schemas.openxmlformats.org/officeDocument/2006/relationships/hyperlink" Target="https://doi.org/10.1037/1082-989X.11.3.287"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oi.org/10.1007/s11336-011-9207-7"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i.org/10.1007/s10763-019-09985-0" TargetMode="External"/><Relationship Id="rId8" Type="http://schemas.openxmlformats.org/officeDocument/2006/relationships/hyperlink" Target="https://doi.org/10.1111/emip.120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D5CDA6A3-5008-463A-9924-2CC2AC9BA168</vt:lpwstr>
  </property>
</Properties>
</file>