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Supplementary Material (online data supplement)</w:t>
      </w:r>
    </w:p>
    <w:p>
      <w:pPr>
        <w:spacing w:after="120" w:line="240" w:lineRule="auto"/>
        <w:jc w:val="left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Manuscript: Anticoagulation versus Antiplatelet Therapy After Cancer-Associated Ischemic Stroke: A Net-Benefit Threshold Analysis.</w:t>
      </w:r>
    </w:p>
    <w:p>
      <w:pPr>
        <w:spacing w:after="12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Supplementary Table S1. Detailed model input parameters with evidence status and caveats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(including the net-benefit equation). Status vocabulary as in Table 1.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89"/>
        <w:gridCol w:w="1289"/>
        <w:gridCol w:w="1289"/>
        <w:gridCol w:w="1289"/>
        <w:gridCol w:w="1289"/>
        <w:gridCol w:w="1289"/>
        <w:gridCol w:w="1292"/>
      </w:tblGrid>
      <w:tr>
        <w:trPr>
          <w:tblHeader/>
        </w:trPr>
        <w:tc>
          <w:tcPr>
            <w:tcW w:type="dxa" w:w="1289"/>
            <w:tcBorders>
              <w:top w:val="single" w:color="000000" w:sz="4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6"/>
                <w:szCs w:val="16"/>
              </w:rPr>
              <w:t xml:space="preserve">Parameter</w:t>
            </w:r>
          </w:p>
        </w:tc>
        <w:tc>
          <w:tcPr>
            <w:tcW w:type="dxa" w:w="1289"/>
            <w:tcBorders>
              <w:top w:val="single" w:color="000000" w:sz="4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6"/>
                <w:szCs w:val="16"/>
              </w:rPr>
              <w:t xml:space="preserve">Value</w:t>
            </w:r>
          </w:p>
        </w:tc>
        <w:tc>
          <w:tcPr>
            <w:tcW w:type="dxa" w:w="1289"/>
            <w:tcBorders>
              <w:top w:val="single" w:color="000000" w:sz="4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6"/>
                <w:szCs w:val="16"/>
              </w:rPr>
              <w:t xml:space="preserve">Range / distribution</w:t>
            </w:r>
          </w:p>
        </w:tc>
        <w:tc>
          <w:tcPr>
            <w:tcW w:type="dxa" w:w="1289"/>
            <w:tcBorders>
              <w:top w:val="single" w:color="000000" w:sz="4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6"/>
                <w:szCs w:val="16"/>
              </w:rPr>
              <w:t xml:space="preserve">Source</w:t>
            </w:r>
          </w:p>
        </w:tc>
        <w:tc>
          <w:tcPr>
            <w:tcW w:type="dxa" w:w="1289"/>
            <w:tcBorders>
              <w:top w:val="single" w:color="000000" w:sz="4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6"/>
                <w:szCs w:val="16"/>
              </w:rPr>
              <w:t xml:space="preserve">Use</w:t>
            </w:r>
          </w:p>
        </w:tc>
        <w:tc>
          <w:tcPr>
            <w:tcW w:type="dxa" w:w="1289"/>
            <w:tcBorders>
              <w:top w:val="single" w:color="000000" w:sz="4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6"/>
                <w:szCs w:val="16"/>
              </w:rPr>
              <w:t xml:space="preserve">Evidence status</w:t>
            </w:r>
          </w:p>
        </w:tc>
        <w:tc>
          <w:tcPr>
            <w:tcW w:type="dxa" w:w="1292"/>
            <w:tcBorders>
              <w:top w:val="single" w:color="000000" w:sz="4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6"/>
                <w:szCs w:val="16"/>
              </w:rPr>
              <w:t xml:space="preserve">Caveat</w:t>
            </w:r>
          </w:p>
        </w:tc>
      </w:tr>
      <w:tr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Time horizon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0.5 y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structural assumption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Model design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Base-case horizon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Fixed (structural)</w:t>
            </w:r>
          </w:p>
        </w:tc>
        <w:tc>
          <w:tcPr>
            <w:tcW w:type="dxa" w:w="129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Short horizon reflects competing mortality; longer horizons would require a state-transition (Markov) extension.</w:t>
            </w:r>
          </w:p>
        </w:tc>
      </w:tr>
      <w:tr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Baseline recurrence under AP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0.08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varied via RR &amp; horizon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Cancer-stroke literature 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</w:rPr>
              <w:t xml:space="preserve">4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 + cohorts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Baseline recurrence probability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Base-case assumption</w:t>
            </w:r>
          </w:p>
        </w:tc>
        <w:tc>
          <w:tcPr>
            <w:tcW w:type="dxa" w:w="129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Not an extracted point estimate; plausibility-anchored only.</w:t>
            </w:r>
          </w:p>
        </w:tc>
      </w:tr>
      <w:tr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AC recurrence RR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n/a (threshold variable)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det. verification value 1.00; PSA priors — legacy broad Uniform(0.40–1.10) (comparison only) + evidence-informed lognormal: ARCADIA-informed neutral (HR 1.00, 95% CI 0.64–1.55) and NAVIGATE-cancer-informed skeptical (HR 1.43, 95% CI 0.71–2.87)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Evidence-informed priors from extracted RCT head-to-head estimates (NAVIGATE-ESUS cancer subgroup 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</w:rPr>
              <w:t xml:space="preserve">6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; main ARCADIA trial 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</w:rPr>
              <w:t xml:space="preserve">11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); Pipek 2025 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</w:rPr>
              <w:t xml:space="preserve">4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 = ranking/directional anchor only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6"/>
                <w:szCs w:val="16"/>
              </w:rPr>
              <w:t xml:space="preserve">Threshold variable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NOT a fixed treatment effect. HRs used as relative-effect priors on the log scale (part of the indirectness of the evidence). Upper bound not truncated (net harm retained). Full extraction in Supplementary Table S2.</w:t>
            </w:r>
          </w:p>
        </w:tc>
        <w:tc>
          <w:tcPr>
            <w:tcW w:type="dxa" w:w="129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Excess major bleeding with AC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0.02 (base)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Triangular(0.00, 0.02, 0.08)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No clear difference 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</w:rPr>
              <w:t xml:space="preserve">4,7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; observational signals (upper tail)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Bleeding-harm axis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Scenario range; not a fixed point estimate</w:t>
            </w:r>
          </w:p>
        </w:tc>
        <w:tc>
          <w:tcPr>
            <w:tcW w:type="dxa" w:w="129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Arm-level event counts are sparse, so this is not an established point estimate; the ARCADIA cancer post hoc major-hemorrhage values were not adopted as fixed inputs.</w:t>
            </w:r>
          </w:p>
        </w:tc>
      </w:tr>
      <w:tr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ICH fraction among major bleeds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0.30 (base)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scenario low / intermediate / high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Scenario parameter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Severity weight of bleeds (</w:t>
            </w:r>
            <w:r>
              <w:rPr>
                <w:rFonts w:ascii="Times New Roman" w:cs="Times New Roman" w:eastAsia="Times New Roman" w:hAnsi="Times New Roman"/>
                <w:i/>
                <w:iCs/>
                <w:sz w:val="16"/>
                <w:szCs w:val="16"/>
              </w:rPr>
              <w:t xml:space="preserve">W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)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Scenario range; not a fixed point estimate</w:t>
            </w:r>
          </w:p>
        </w:tc>
        <w:tc>
          <w:tcPr>
            <w:tcW w:type="dxa" w:w="129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Arm-level ICH counts sparse; high-ICH scenario by anticoagulant type / brain involvement.</w:t>
            </w:r>
          </w:p>
        </w:tc>
      </w:tr>
      <w:tr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Weighted bleeding harm </w:t>
            </w:r>
            <w:r>
              <w:rPr>
                <w:rFonts w:ascii="Times New Roman" w:cs="Times New Roman" w:eastAsia="Times New Roman" w:hAnsi="Times New Roman"/>
                <w:i/>
                <w:iCs/>
                <w:sz w:val="16"/>
                <w:szCs w:val="16"/>
              </w:rPr>
              <w:t xml:space="preserve">W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0.14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derived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Computed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Converts bleeding into utility loss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Derived</w:t>
            </w:r>
          </w:p>
        </w:tc>
        <w:tc>
          <w:tcPr>
            <w:tcW w:type="dxa" w:w="129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i/>
                <w:iCs/>
                <w:sz w:val="16"/>
                <w:szCs w:val="16"/>
              </w:rPr>
              <w:t xml:space="preserve">W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 = (1 − ICH frac)·d_bleed + ICH frac·d_ICH; changes if components change.</w:t>
            </w:r>
          </w:p>
        </w:tc>
      </w:tr>
      <w:tr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6-month competing mortality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0.30 (base)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Triangular(0.20, 0.30, 0.45)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Lee et al. 2023 Taipei VGH 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</w:rPr>
              <w:t xml:space="preserve">12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; range SCAN 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</w:rPr>
              <w:t xml:space="preserve">13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/ASTRAL 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</w:rPr>
              <w:t xml:space="preserve">14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; high Navi 2014 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</w:rPr>
              <w:t xml:space="preserve">3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/Oka 2025 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</w:rPr>
              <w:t xml:space="preserve">15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Competing-risk attenuation of net benefit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Interpolated scenario parameter</w:t>
            </w:r>
          </w:p>
        </w:tc>
        <w:tc>
          <w:tcPr>
            <w:tcW w:type="dxa" w:w="129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6-month value not directly observed (interpolated between the confirmed 30-day 17.9% and 1-year 51.3% mortality, CAS n=39). Non-differential between strategies in the base case; strategy-specific fatality or differential-mortality assumptions were not modeled as primary inputs. Note: the short-term mortality endpoint is labeled "30-day" in the abstract Results but "discharge mortality" in the abstract Methods, so it was treated conservatively as a scenario anchor; a 1-year recurrence value is not reported in the abstract.</w:t>
            </w:r>
          </w:p>
        </w:tc>
      </w:tr>
      <w:tr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mRS utility anchors (EQ-5D-3L)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0.90 / 0.82 / 0.70 / 0.54 / 0.24 / −0.14 (mRS 0–5); death = 0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fixed anchors (PSA varies event disutilities, not the anchors)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Ali et al. 2017 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</w:rPr>
              <w:t xml:space="preserve">16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 (PMC6027777), UK EQ-5D-3L value set, Supplement III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mRS health-state utilities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Locked anchor</w:t>
            </w:r>
          </w:p>
        </w:tc>
        <w:tc>
          <w:tcPr>
            <w:tcW w:type="dxa" w:w="129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UK column from Supplement III; endpoint values (mRS 0 = 0.90, mRS 5 = −0.14) consistent with abstract-reported ranges (mRS 0 mean 0.88–0.95; mRS 5 mean −0.48 to 0.22).</w:t>
            </w:r>
          </w:p>
        </w:tc>
      </w:tr>
      <w:tr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Recurrent stroke disutility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0.20 (base)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Triangular(0.10, 0.20, 0.35)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Pragmatic scenario input informed by the mRS utility anchors reported by Ali et al. 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</w:rPr>
              <w:t xml:space="preserve">16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; Rivero-Arias 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</w:rPr>
              <w:t xml:space="preserve">17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 = methodology only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Utility loss of recurrent ischemic event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Pragmatic scenario input</w:t>
            </w:r>
          </w:p>
        </w:tc>
        <w:tc>
          <w:tcPr>
            <w:tcW w:type="dxa" w:w="129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Informed by the mRS utility anchors; NOT a directly extracted value; varied over a wide prespecified range.</w:t>
            </w:r>
          </w:p>
        </w:tc>
      </w:tr>
      <w:tr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Major bleeding disutility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0.05 (base)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Triangular(0.02, 0.05, 0.10)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Pragmatic scenario input informed by the mRS utility anchors reported by Ali et al. 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</w:rPr>
              <w:t xml:space="preserve">16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; Rivero-Arias 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</w:rPr>
              <w:t xml:space="preserve">17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 = methodology only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Utility loss of major bleed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Pragmatic scenario input</w:t>
            </w:r>
          </w:p>
        </w:tc>
        <w:tc>
          <w:tcPr>
            <w:tcW w:type="dxa" w:w="129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Informed by anchors; NOT a directly extracted value; varied over a wide range.</w:t>
            </w:r>
          </w:p>
        </w:tc>
      </w:tr>
      <w:tr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ICH disutility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0.35 (base)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Triangular(0.20, 0.35, 0.55)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Pragmatic scenario input informed by the mRS utility anchors reported by Ali et al. 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</w:rPr>
              <w:t xml:space="preserve">16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; Rivero-Arias 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</w:rPr>
              <w:t xml:space="preserve">17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 = methodology only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Utility loss of intracranial hemorrhage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Pragmatic scenario input</w:t>
            </w:r>
          </w:p>
        </w:tc>
        <w:tc>
          <w:tcPr>
            <w:tcW w:type="dxa" w:w="129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Informed by anchors; NOT a directly extracted value; varied over a wide range.</w:t>
            </w:r>
          </w:p>
        </w:tc>
      </w:tr>
      <w:tr>
        <w:tc>
          <w:tcPr>
            <w:tcW w:type="dxa" w:w="1289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Net benefit equation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INB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INB = horizon × (1 − mortality) × [ p_recur_AP (1−RR) d_recur − excessBleed × </w:t>
            </w:r>
            <w:r>
              <w:rPr>
                <w:rFonts w:ascii="Times New Roman" w:cs="Times New Roman" w:eastAsia="Times New Roman" w:hAnsi="Times New Roman"/>
                <w:i/>
                <w:iCs/>
                <w:sz w:val="16"/>
                <w:szCs w:val="16"/>
              </w:rPr>
              <w:t xml:space="preserve">W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 ]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Model definition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Primary model output (QALY)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Fixed (structural)</w:t>
            </w:r>
          </w:p>
        </w:tc>
        <w:tc>
          <w:tcPr>
            <w:tcW w:type="dxa" w:w="129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Costs excluded; utility-weighted clinical net benefit only.</w:t>
            </w:r>
          </w:p>
        </w:tc>
      </w:tr>
    </w:tbl>
    <w:p>
      <w:pPr>
        <w:spacing w:after="12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80" w:before="80" w:line="240" w:lineRule="auto"/>
        <w:jc w:val="center"/>
      </w:pPr>
      <w:r>
        <w:drawing>
          <wp:inline distT="0" distB="0" distL="0" distR="0">
            <wp:extent cx="5486400" cy="29241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Supplementary Figure S1. Schematic of the short-horizon net-benefit threshold model.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The decision is between antiplatelet therapy and anticoagulation in a patient with cancer-associated ischemic stroke. From each strategy, four mutually exclusive 6-month outcomes are modelled — no recurrent or bleeding event, recurrent ischemic stroke or systemic embolism, major bleeding including intracranial hemorrhage, and non-stroke (cancer-related) death — each weighted by modified Rankin Scale–based utilities to yield utility-weighted survival (QALY) over the horizon, from which the incremental net benefit (INB = QALY_AC − QALY_AP) is derived. Outcome probabilities differ by strategy: the anticoagulation effect on recurrence is treated as a threshold variable and the excess major bleeding with anticoagulation as a scenario range. Survival enters as (1 − mortality) over the horizon, and costs are excluded. This is a short-horizon decision structure, not a state-transition (Markov) or cost-effectiveness model.</w:t>
      </w:r>
    </w:p>
    <w:p>
      <w:pPr>
        <w:spacing w:after="12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Supplementary Table S2. Targeted extraction of randomized head-to-head estimates of recurrent stroke (anticoagulation versus antiplatelet) in cancer-relevant populations, with classification for use in the model.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All values were verified against the cited source; non-extractable values are flagged rather than imputed, and no hazard ratio or confidence interval was invented.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89"/>
        <w:gridCol w:w="1289"/>
        <w:gridCol w:w="1289"/>
        <w:gridCol w:w="1289"/>
        <w:gridCol w:w="1289"/>
        <w:gridCol w:w="1289"/>
        <w:gridCol w:w="1292"/>
      </w:tblGrid>
      <w:tr>
        <w:trPr>
          <w:tblHeader/>
        </w:trPr>
        <w:tc>
          <w:tcPr>
            <w:tcW w:type="dxa" w:w="1289"/>
            <w:tcBorders>
              <w:top w:val="single" w:color="000000" w:sz="4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6"/>
                <w:szCs w:val="16"/>
              </w:rPr>
              <w:t xml:space="preserve">Source</w:t>
            </w:r>
          </w:p>
        </w:tc>
        <w:tc>
          <w:tcPr>
            <w:tcW w:type="dxa" w:w="1289"/>
            <w:tcBorders>
              <w:top w:val="single" w:color="000000" w:sz="4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6"/>
                <w:szCs w:val="16"/>
              </w:rPr>
              <w:t xml:space="preserve">Design</w:t>
            </w:r>
          </w:p>
        </w:tc>
        <w:tc>
          <w:tcPr>
            <w:tcW w:type="dxa" w:w="1289"/>
            <w:tcBorders>
              <w:top w:val="single" w:color="000000" w:sz="4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6"/>
                <w:szCs w:val="16"/>
              </w:rPr>
              <w:t xml:space="preserve">Population</w:t>
            </w:r>
          </w:p>
        </w:tc>
        <w:tc>
          <w:tcPr>
            <w:tcW w:type="dxa" w:w="1289"/>
            <w:tcBorders>
              <w:top w:val="single" w:color="000000" w:sz="4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6"/>
                <w:szCs w:val="16"/>
              </w:rPr>
              <w:t xml:space="preserve">Comparison</w:t>
            </w:r>
          </w:p>
        </w:tc>
        <w:tc>
          <w:tcPr>
            <w:tcW w:type="dxa" w:w="1289"/>
            <w:tcBorders>
              <w:top w:val="single" w:color="000000" w:sz="4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6"/>
                <w:szCs w:val="16"/>
              </w:rPr>
              <w:t xml:space="preserve">Recurrence estimate (AC vs AP)</w:t>
            </w:r>
          </w:p>
        </w:tc>
        <w:tc>
          <w:tcPr>
            <w:tcW w:type="dxa" w:w="1289"/>
            <w:tcBorders>
              <w:top w:val="single" w:color="000000" w:sz="4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6"/>
                <w:szCs w:val="16"/>
              </w:rPr>
              <w:t xml:space="preserve">Bleeding (as reported)</w:t>
            </w:r>
          </w:p>
        </w:tc>
        <w:tc>
          <w:tcPr>
            <w:tcW w:type="dxa" w:w="1292"/>
            <w:tcBorders>
              <w:top w:val="single" w:color="000000" w:sz="4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6"/>
                <w:szCs w:val="16"/>
              </w:rPr>
              <w:t xml:space="preserve">Use in model</w:t>
            </w:r>
          </w:p>
        </w:tc>
      </w:tr>
      <w:tr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NAVIGATE-ESUS cancer subgroup 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</w:rPr>
              <w:t xml:space="preserve">6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RCT, pre-specified subgroup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ESUS with cancer (n = 543; mostly cancer history, ~9% active); follow-up ~11 mo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Rivaroxaban 15 mg vs aspirin 100 mg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HR 1.43 (95% CI 0.71–2.87); 7.7% vs 5.4%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Major bleeding nonsignificantly higher with rivaroxaban</w:t>
            </w:r>
          </w:p>
        </w:tc>
        <w:tc>
          <w:tcPr>
            <w:tcW w:type="dxa" w:w="129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Evidence-informed </w:t>
            </w:r>
            <w:r>
              <w:rPr>
                <w:rFonts w:ascii="Times New Roman" w:cs="Times New Roman" w:eastAsia="Times New Roman" w:hAnsi="Times New Roman"/>
                <w:b/>
                <w:bCs/>
                <w:sz w:val="16"/>
                <w:szCs w:val="16"/>
              </w:rPr>
              <w:t xml:space="preserve">skeptical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 prior; primary break-even marker</w:t>
            </w:r>
          </w:p>
        </w:tc>
      </w:tr>
      <w:tr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Main ARCADIA trial 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</w:rPr>
              <w:t xml:space="preserve">11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RCT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Cryptogenic stroke with atrial cardiopathy (n = 1015; </w:t>
            </w:r>
            <w:r>
              <w:rPr>
                <w:rFonts w:ascii="Times New Roman" w:cs="Times New Roman" w:eastAsia="Times New Roman" w:hAnsi="Times New Roman"/>
                <w:b/>
                <w:bCs/>
                <w:sz w:val="16"/>
                <w:szCs w:val="16"/>
              </w:rPr>
              <w:t xml:space="preserve">not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 cancer-specific); follow-up 1.8 y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Apixaban (5/2.5 mg) vs aspirin 81 mg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HR 1.00 (95% CI 0.64–1.55); ~4.4%/y both arms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Symptomatic ICH 0 vs 7; other major hemorrhage HR 1.02 (0.29–3.52)</w:t>
            </w:r>
          </w:p>
        </w:tc>
        <w:tc>
          <w:tcPr>
            <w:tcW w:type="dxa" w:w="129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Evidence-informed </w:t>
            </w:r>
            <w:r>
              <w:rPr>
                <w:rFonts w:ascii="Times New Roman" w:cs="Times New Roman" w:eastAsia="Times New Roman" w:hAnsi="Times New Roman"/>
                <w:b/>
                <w:bCs/>
                <w:sz w:val="16"/>
                <w:szCs w:val="16"/>
              </w:rPr>
              <w:t xml:space="preserve">neutral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 prior; context break-even marker</w:t>
            </w:r>
          </w:p>
        </w:tc>
      </w:tr>
      <w:tr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ARCADIA cancer-history subgroup 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</w:rPr>
              <w:t xml:space="preserve">7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RCT, post hoc subgroup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Cryptogenic + atrial cardiopathy + cancer history (n = 137)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Apixaban vs aspirin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Crude ≈ 0.69 (5 [8.2%] vs 9 [11.8%]); no formal HR; underpowered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Major hemorrhage 1 (1.6%) vs 2 (2.6%)</w:t>
            </w:r>
          </w:p>
        </w:tc>
        <w:tc>
          <w:tcPr>
            <w:tcW w:type="dxa" w:w="129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6"/>
                <w:szCs w:val="16"/>
              </w:rPr>
              <w:t xml:space="preserve">Exploratory only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 (no interval); overlay annotation, not a prior</w:t>
            </w:r>
          </w:p>
        </w:tc>
      </w:tr>
      <w:tr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Pipek network meta-analysis 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</w:rPr>
              <w:t xml:space="preserve">4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Systematic review + network meta-analysis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Cancer-associated stroke (11 studies; n = 1319)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Network vs no treatment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Antiplatelet RR 0.44 (0.20–0.96) and LMWH RR 0.50 (0.26–0.96) vs no treatment; antiplatelet ranked highest (primary analysis); no extractable AC-vs-AP pairwise estimate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No difference in major bleeding or mortality</w:t>
            </w:r>
          </w:p>
        </w:tc>
        <w:tc>
          <w:tcPr>
            <w:tcW w:type="dxa" w:w="129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6"/>
                <w:szCs w:val="16"/>
              </w:rPr>
              <w:t xml:space="preserve">Ranking/directional anchor only</w:t>
            </w:r>
          </w:p>
        </w:tc>
      </w:tr>
      <w:tr>
        <w:tc>
          <w:tcPr>
            <w:tcW w:type="dxa" w:w="1289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TEACH pilot 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</w:rPr>
              <w:t xml:space="preserve">5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Pilot feasibility RCT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Active cancer + ischemic stroke (n = 20)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Enoxaparin vs aspirin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Not usable (feasibility; 60% crossover)</w:t>
            </w:r>
          </w:p>
        </w:tc>
        <w:tc>
          <w:tcPr>
            <w:tcW w:type="dxa" w:w="1289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Major bleeding 1 vs 3; no ICH</w:t>
            </w:r>
          </w:p>
        </w:tc>
        <w:tc>
          <w:tcPr>
            <w:tcW w:type="dxa" w:w="129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6"/>
                <w:szCs w:val="16"/>
              </w:rPr>
              <w:t xml:space="preserve">Not usable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 for effect; feasibility footnote</w:t>
            </w:r>
          </w:p>
        </w:tc>
      </w:tr>
    </w:tbl>
    <w:p>
      <w:pPr>
        <w:spacing w:after="12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Break-even positioning.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At the base-case 2% excess major-bleeding assumption the break-even relative risk was 0.825. The two formally estimable contrasts lay at or above this threshold (main ARCADIA 1.00; NAVIGATE-ESUS cancer 1.43); the only estimate below it (ARCADIA cancer-history crude ≈ 0.69) lacked a formal interval and was underpowered, and all estimable intervals crossed both the break-even and the null. The indirect ratio derivable from the Pipek versus-no-treatment estimates (0.50/0.44 ≈ 1.14) has no valid confidence interval and was therefore not used as a prior or plotted as a point estimate. Hazard ratios were used as recurrence relative-effect priors on the log scale, treated as part of the indirectness of the evidence rather than as a direct pooled relative-risk estimate.</w:t>
      </w:r>
    </w:p>
    <w:p>
      <w:pPr>
        <w:spacing w:after="12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Supplementary Table S3. Deterministic break-even recurrence relative risk across bleeding-harm assumptions.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Each value is the recurrence relative risk at which incremental net benefit equals zero (the break-even), computed from the locked deterministic formula break-even relative risk = 1 − (excess major bleeding × W) / (baseline recurrence × recurrence disutility), with baseline recurrence 0.08 and recurrence disutility 0.20 held at base case. Anticoagulation is net-beneficial below the tabulated relative risk and antiplatelet therapy at or above it. This table expresses Figure 1 numerically and introduces no new evidence.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8"/>
      </w:tblGrid>
      <w:tr>
        <w:trPr>
          <w:tblHeader/>
        </w:trPr>
        <w:tc>
          <w:tcPr>
            <w:tcW w:type="dxa" w:w="2256"/>
            <w:tcBorders>
              <w:top w:val="single" w:color="000000" w:sz="4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Excess major bleeding with AC</w:t>
            </w:r>
          </w:p>
        </w:tc>
        <w:tc>
          <w:tcPr>
            <w:tcW w:type="dxa" w:w="2256"/>
            <w:tcBorders>
              <w:top w:val="single" w:color="000000" w:sz="4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Break-even RR (low-harm, W = 0.047)</w:t>
            </w:r>
          </w:p>
        </w:tc>
        <w:tc>
          <w:tcPr>
            <w:tcW w:type="dxa" w:w="2256"/>
            <w:tcBorders>
              <w:top w:val="single" w:color="000000" w:sz="4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Break-even RR (base-case, W = 0.140)</w:t>
            </w:r>
          </w:p>
        </w:tc>
        <w:tc>
          <w:tcPr>
            <w:tcW w:type="dxa" w:w="2258"/>
            <w:tcBorders>
              <w:top w:val="single" w:color="000000" w:sz="4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Break-even RR (high-harm, W = 0.325)</w:t>
            </w:r>
          </w:p>
        </w:tc>
      </w:tr>
      <w:tr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0%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1.000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1.000</w:t>
            </w:r>
          </w:p>
        </w:tc>
        <w:tc>
          <w:tcPr>
            <w:tcW w:type="dxa" w:w="22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1.000</w:t>
            </w:r>
          </w:p>
        </w:tc>
      </w:tr>
      <w:tr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1%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0.971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0.912</w:t>
            </w:r>
          </w:p>
        </w:tc>
        <w:tc>
          <w:tcPr>
            <w:tcW w:type="dxa" w:w="22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0.797</w:t>
            </w:r>
          </w:p>
        </w:tc>
      </w:tr>
      <w:tr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2%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0.941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0.825</w:t>
            </w:r>
          </w:p>
        </w:tc>
        <w:tc>
          <w:tcPr>
            <w:tcW w:type="dxa" w:w="22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0.594</w:t>
            </w:r>
          </w:p>
        </w:tc>
      </w:tr>
      <w:tr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4%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0.883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0.650</w:t>
            </w:r>
          </w:p>
        </w:tc>
        <w:tc>
          <w:tcPr>
            <w:tcW w:type="dxa" w:w="22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0.188</w:t>
            </w:r>
          </w:p>
        </w:tc>
      </w:tr>
      <w:tr>
        <w:tc>
          <w:tcPr>
            <w:tcW w:type="dxa" w:w="2256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8%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0.765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0.300</w:t>
            </w:r>
          </w:p>
        </w:tc>
        <w:tc>
          <w:tcPr>
            <w:tcW w:type="dxa" w:w="2258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line="20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— (AC not net-beneficial at any modelled RR)</w:t>
            </w:r>
          </w:p>
        </w:tc>
      </w:tr>
    </w:tbl>
    <w:p>
      <w:pPr>
        <w:spacing w:after="12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40" w:lineRule="auto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W = (1 − ICH fraction) × major-bleeding disutility + ICH fraction × ICH disutility. Low-harm: ICH fraction 0.15, disutilities 0.02/0.20. Base-case: ICH fraction 0.30, disutilities 0.05/0.35 (W = 0.14). High-harm: ICH fraction 0.50, disutilities 0.10/0.55. The base-case column reproduces the manuscript break-even (0.825 at 2% excess bleeding). A dash indicates that anticoagulation cannot reach net benefit within the modelled recurrence range.</w:t>
      </w:r>
    </w:p>
    <w:p>
      <w:pPr>
        <w:pStyle w:val="Heading2"/>
      </w:pPr>
      <w:r>
        <w:t xml:space="preserve">Reproducible model code</w:t>
      </w:r>
    </w:p>
    <w:p>
      <w:pPr>
        <w:pStyle w:val="ListParagraph"/>
        <w:numPr>
          <w:ilvl w:val="0"/>
          <w:numId w:val="2"/>
        </w:numPr>
        <w:spacing w:after="120" w:line="240" w:lineRule="auto"/>
      </w:pPr>
      <w:r>
        <w:rPr>
          <w:rFonts w:ascii="Courier New" w:cs="Courier New" w:eastAsia="Courier New" w:hAnsi="Courier New"/>
          <w:sz w:val="22"/>
          <w:szCs w:val="22"/>
        </w:rPr>
        <w:t xml:space="preserve">cancer_stroke_netbenefit_model.py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— net-benefit threshold model (deterministic checks, two-way threshold surface, legacy PSA N = 10,000, seed 20260613).</w:t>
      </w:r>
    </w:p>
    <w:p>
      <w:pPr>
        <w:pStyle w:val="ListParagraph"/>
        <w:numPr>
          <w:ilvl w:val="0"/>
          <w:numId w:val="2"/>
        </w:numPr>
        <w:spacing w:after="120" w:line="240" w:lineRule="auto"/>
      </w:pPr>
      <w:r>
        <w:rPr>
          <w:rFonts w:ascii="Courier New" w:cs="Courier New" w:eastAsia="Courier New" w:hAnsi="Courier New"/>
          <w:sz w:val="22"/>
          <w:szCs w:val="22"/>
        </w:rPr>
        <w:t xml:space="preserve">cancer_stroke_netbenefit_model_evidence.py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— evidence-informed PSA under the three recurrence-effect priors (legacy broad; ARCADIA-informed neutral; NAVIGATE-cancer-informed skeptical), reproducing P(AC favored) = 0.44 / 0.12 / 0.04 (seed 20260613).</w:t>
      </w:r>
    </w:p>
    <w:p>
      <w:pPr>
        <w:pStyle w:val="ListParagraph"/>
        <w:numPr>
          <w:ilvl w:val="0"/>
          <w:numId w:val="2"/>
        </w:numPr>
        <w:spacing w:after="120" w:line="240" w:lineRule="auto"/>
      </w:pPr>
      <w:r>
        <w:rPr>
          <w:rFonts w:ascii="Courier New" w:cs="Courier New" w:eastAsia="Courier New" w:hAnsi="Courier New"/>
          <w:sz w:val="22"/>
          <w:szCs w:val="22"/>
        </w:rPr>
        <w:t xml:space="preserve">make_evidence_figures.py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— generates Figure 2 (three-prior PSA) and Figure 3 (break-even overlay) from the locked model arrays and the verified extracted estimates.</w:t>
      </w:r>
    </w:p>
    <w:p>
      <w:pPr>
        <w:pStyle w:val="ListParagraph"/>
        <w:numPr>
          <w:ilvl w:val="0"/>
          <w:numId w:val="2"/>
        </w:numPr>
        <w:spacing w:after="120" w:line="240" w:lineRule="auto"/>
      </w:pPr>
      <w:r>
        <w:rPr>
          <w:rFonts w:ascii="Courier New" w:cs="Courier New" w:eastAsia="Courier New" w:hAnsi="Courier New"/>
          <w:sz w:val="22"/>
          <w:szCs w:val="22"/>
        </w:rPr>
        <w:t xml:space="preserve">make_supp_S1_S3.py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— computes the Supplementary Table S3 break-even grid from the locked deterministic formula (the Supplementary Figure S1 schematic is provided as a vector SVG with a 600-dpi TIFF export).</w:t>
      </w:r>
    </w:p>
    <w:p>
      <w:pPr>
        <w:spacing w:after="120" w:line="240" w:lineRule="auto"/>
        <w:jc w:val="left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All reported figures and probabilistic results are reproducible by running the model scripts with the stated seed (20260613).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00"/>
      <w:outlineLvl w:val="0"/>
    </w:pPr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Times New Roman" w:cs="Times New Roman" w:eastAsia="Times New Roman" w:hAnsi="Times New Roman"/>
      <w:b/>
      <w:bCs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60" w:before="140"/>
      <w:outlineLvl w:val="2"/>
    </w:pPr>
    <w:rPr>
      <w:rFonts w:ascii="Times New Roman" w:cs="Times New Roman" w:eastAsia="Times New Roman" w:hAnsi="Times New Roman"/>
      <w:b/>
      <w:bCs/>
      <w:i/>
      <w:i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ac31b8aa9a68bfc07d666725266aed88b6fe6483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2026-06-16T00:24:20.151Z</dcterms:created>
  <dcterms:modified xsi:type="dcterms:W3CDTF">2026-06-16T00:24:20.151Z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