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7386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Supplementary Appendix 1</w:t>
      </w:r>
    </w:p>
    <w:p w14:paraId="34D733A8">
      <w:pPr>
        <w:pStyle w:val="2"/>
        <w:keepNext w:val="0"/>
        <w:keepLines w:val="0"/>
        <w:widowControl/>
        <w:suppressLineNumbers w:val="0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Standardized Conservative Rehabilitation Protocol for First-Time Acute Lateral Ankle Sprain</w:t>
      </w:r>
    </w:p>
    <w:p w14:paraId="14FBB0C2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All patients underwent a standardized phase-based rehabilitation program based on current international clinical practice guidelines for acute lateral ankle sprain management. Rehabilitation was supervised by the same sports rehabilitation team to minimize treatment heterogeneity.</w:t>
      </w:r>
    </w:p>
    <w:p w14:paraId="656E65FE">
      <w:pPr>
        <w:pStyle w:val="5"/>
        <w:keepNext w:val="0"/>
        <w:keepLines w:val="0"/>
        <w:widowControl/>
        <w:suppressLineNumbers w:val="0"/>
      </w:pPr>
      <w:r>
        <w:t>Progression through rehabilitation phases was criteria-based and individualized according to pain severity, ankle stability, range of motion, swelling, and functional performance.</w:t>
      </w:r>
    </w:p>
    <w:p w14:paraId="3D68CB4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textAlignment w:val="auto"/>
        <w:rPr>
          <w:rFonts w:hint="default" w:ascii="Cambria" w:hAnsi="Cambria" w:eastAsia="宋体" w:cs="Cambria"/>
          <w:b/>
          <w:bCs/>
          <w:color w:val="2E54A1" w:themeColor="accent1" w:themeShade="BF"/>
          <w:kern w:val="44"/>
          <w:sz w:val="28"/>
          <w:szCs w:val="28"/>
          <w:lang w:val="en-US" w:eastAsia="zh-CN" w:bidi="ar"/>
        </w:rPr>
      </w:pPr>
      <w:r>
        <w:rPr>
          <w:rFonts w:hint="default" w:ascii="Cambria" w:hAnsi="Cambria" w:eastAsia="宋体" w:cs="Cambria"/>
          <w:b/>
          <w:bCs/>
          <w:color w:val="2E54A1" w:themeColor="accent1" w:themeShade="BF"/>
          <w:kern w:val="44"/>
          <w:sz w:val="28"/>
          <w:szCs w:val="28"/>
          <w:lang w:val="en-US" w:eastAsia="zh-CN" w:bidi="ar"/>
        </w:rPr>
        <w:t>Phase I: Acute Protection Phase (0–2 weeks)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6462"/>
      </w:tblGrid>
      <w:tr w14:paraId="5AE7F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 w14:paraId="5739923C">
            <w:pPr>
              <w:pStyle w:val="5"/>
              <w:keepNext w:val="0"/>
              <w:keepLines w:val="0"/>
              <w:widowControl/>
              <w:suppressLineNumbers w:val="0"/>
              <w:rPr>
                <w:rFonts w:hint="default" w:ascii="Cambria" w:hAnsi="Cambria" w:cs="Cambria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Cambria" w:hAnsi="Cambria" w:cs="Cambria"/>
                <w:b/>
                <w:bCs/>
                <w:sz w:val="22"/>
                <w:szCs w:val="22"/>
                <w:vertAlign w:val="baseline"/>
                <w:lang w:val="en-US" w:eastAsia="zh-CN"/>
              </w:rPr>
              <w:t>Rehabilitation Goals</w:t>
            </w:r>
          </w:p>
        </w:tc>
        <w:tc>
          <w:tcPr>
            <w:tcW w:w="6462" w:type="dxa"/>
          </w:tcPr>
          <w:p w14:paraId="3D3B7E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Protect injured lateral ankle ligaments</w:t>
            </w:r>
          </w:p>
          <w:p w14:paraId="1445B2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Reduce pain a</w:t>
            </w:r>
            <w:r>
              <w:rPr>
                <w:rFonts w:hint="eastAsia"/>
                <w:lang w:val="en-US" w:eastAsia="zh-CN"/>
              </w:rPr>
              <w:t>n</w:t>
            </w:r>
            <w:r>
              <w:t>d swelling</w:t>
            </w:r>
          </w:p>
          <w:p w14:paraId="14AE87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Restore protected weight-bearing</w:t>
            </w:r>
          </w:p>
          <w:p w14:paraId="67FFFC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  <w:rPr>
                <w:vertAlign w:val="baseline"/>
              </w:rPr>
            </w:pPr>
            <w:r>
              <w:t>Prevent joint stiffness and muscle inhibition</w:t>
            </w:r>
          </w:p>
        </w:tc>
      </w:tr>
      <w:tr w14:paraId="3199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2060" w:type="dxa"/>
          </w:tcPr>
          <w:p w14:paraId="4986994B">
            <w:pPr>
              <w:pStyle w:val="5"/>
              <w:keepNext w:val="0"/>
              <w:keepLines w:val="0"/>
              <w:widowControl/>
              <w:suppressLineNumbers w:val="0"/>
              <w:rPr>
                <w:rFonts w:hint="default" w:ascii="Cambria" w:hAnsi="Cambria" w:cs="Cambria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Cambria" w:hAnsi="Cambria" w:cs="Cambria"/>
                <w:b/>
                <w:bCs/>
                <w:sz w:val="22"/>
                <w:szCs w:val="22"/>
                <w:vertAlign w:val="baseline"/>
                <w:lang w:val="en-US" w:eastAsia="zh-CN"/>
              </w:rPr>
              <w:t>Brace</w:t>
            </w:r>
          </w:p>
        </w:tc>
        <w:tc>
          <w:tcPr>
            <w:tcW w:w="6462" w:type="dxa"/>
          </w:tcPr>
          <w:p w14:paraId="606C89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 xml:space="preserve">Brace or protective tape should be worn during weight bearing activities. </w:t>
            </w:r>
          </w:p>
          <w:p w14:paraId="7B8216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  <w:rPr>
                <w:vertAlign w:val="baseline"/>
              </w:rPr>
            </w:pPr>
            <w:r>
              <w:t>Immobilization is recommended for 1</w:t>
            </w:r>
            <w:r>
              <w:rPr>
                <w:rFonts w:hint="eastAsia"/>
                <w:lang w:val="en-US" w:eastAsia="zh-CN"/>
              </w:rPr>
              <w:t>4</w:t>
            </w:r>
            <w:r>
              <w:t xml:space="preserve"> days for severe ankle sprain.</w:t>
            </w:r>
          </w:p>
        </w:tc>
      </w:tr>
      <w:tr w14:paraId="4DD4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 w14:paraId="4773591E"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 w:eastAsiaTheme="minorEastAsia"/>
                <w:b/>
                <w:bCs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Cambria" w:hAnsi="Cambria" w:cs="Cambria" w:eastAsiaTheme="minorEastAsia"/>
                <w:b/>
                <w:bCs/>
                <w:kern w:val="0"/>
                <w:sz w:val="22"/>
                <w:szCs w:val="22"/>
                <w:vertAlign w:val="baseline"/>
                <w:lang w:val="en-US" w:eastAsia="zh-CN" w:bidi="ar"/>
              </w:rPr>
              <w:t>Interventions</w:t>
            </w:r>
          </w:p>
        </w:tc>
        <w:tc>
          <w:tcPr>
            <w:tcW w:w="6462" w:type="dxa"/>
          </w:tcPr>
          <w:p w14:paraId="3376022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POLICE-based management (Protection, Optimal Loading, Ice, Compression, Elevation)</w:t>
            </w:r>
          </w:p>
          <w:p w14:paraId="1EA882E3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Semi-rigid ankle brace or external ankle support</w:t>
            </w:r>
          </w:p>
          <w:p w14:paraId="4A3F268B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Partial weight-bearing as tolerated</w:t>
            </w:r>
          </w:p>
          <w:p w14:paraId="0413CF2C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Cryotherapy and compression therapy</w:t>
            </w:r>
          </w:p>
          <w:p w14:paraId="7B1C0E4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Active ankle range-of-motion exercises within pain-free range</w:t>
            </w:r>
          </w:p>
          <w:p w14:paraId="4D8F45B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Isometric activation of ankle musculature</w:t>
            </w:r>
          </w:p>
          <w:p w14:paraId="4B5BEC60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  <w:rPr>
                <w:vertAlign w:val="baseline"/>
              </w:rPr>
            </w:pPr>
            <w:r>
              <w:t>Gentle gait training</w:t>
            </w:r>
          </w:p>
        </w:tc>
      </w:tr>
      <w:tr w14:paraId="2B02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060" w:type="dxa"/>
          </w:tcPr>
          <w:p w14:paraId="78653F71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Cambria" w:hAnsi="Cambria" w:cs="Cambria" w:eastAsiaTheme="minorEastAsia"/>
                <w:b/>
                <w:bCs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Cambria" w:hAnsi="Cambria" w:cs="Cambria" w:eastAsiaTheme="minorEastAsia"/>
                <w:b/>
                <w:bCs/>
                <w:kern w:val="0"/>
                <w:sz w:val="22"/>
                <w:szCs w:val="22"/>
                <w:vertAlign w:val="baseline"/>
                <w:lang w:val="en-US" w:eastAsia="zh-CN" w:bidi="ar"/>
              </w:rPr>
              <w:t>Criteria for Progression</w:t>
            </w:r>
          </w:p>
          <w:p w14:paraId="146A867D">
            <w:pPr>
              <w:pStyle w:val="5"/>
              <w:keepNext w:val="0"/>
              <w:keepLines w:val="0"/>
              <w:widowControl/>
              <w:suppressLineNumbers w:val="0"/>
              <w:rPr>
                <w:rFonts w:hint="default" w:ascii="Cambria" w:hAnsi="Cambria" w:cs="Cambria" w:eastAsiaTheme="minorEastAsia"/>
                <w:b/>
                <w:bCs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462" w:type="dxa"/>
          </w:tcPr>
          <w:p w14:paraId="7D7849E4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Pain and swelling significantly reduced</w:t>
            </w:r>
          </w:p>
          <w:p w14:paraId="2140ACAF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</w:pPr>
            <w:r>
              <w:t>Tolerable full weight-bearing</w:t>
            </w:r>
          </w:p>
          <w:p w14:paraId="484434C9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726" w:hanging="363"/>
              <w:textAlignment w:val="auto"/>
              <w:rPr>
                <w:vertAlign w:val="baseline"/>
              </w:rPr>
            </w:pPr>
            <w:r>
              <w:t>Improved ankle mobility without severe pain</w:t>
            </w:r>
          </w:p>
        </w:tc>
      </w:tr>
    </w:tbl>
    <w:p w14:paraId="42EC75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textAlignment w:val="auto"/>
        <w:rPr>
          <w:rFonts w:hint="default" w:ascii="Cambria" w:hAnsi="Cambria" w:eastAsia="宋体" w:cs="Cambria"/>
          <w:b/>
          <w:bCs/>
          <w:color w:val="2E54A1" w:themeColor="accent1" w:themeShade="BF"/>
          <w:kern w:val="44"/>
          <w:sz w:val="28"/>
          <w:szCs w:val="28"/>
          <w:lang w:val="en-US" w:eastAsia="zh-CN" w:bidi="ar"/>
        </w:rPr>
      </w:pPr>
      <w:r>
        <w:rPr>
          <w:rFonts w:hint="default" w:ascii="Cambria" w:hAnsi="Cambria" w:eastAsia="宋体" w:cs="Cambria"/>
          <w:b/>
          <w:bCs/>
          <w:color w:val="2E54A1" w:themeColor="accent1" w:themeShade="BF"/>
          <w:kern w:val="44"/>
          <w:sz w:val="28"/>
          <w:szCs w:val="28"/>
          <w:lang w:val="en-US" w:eastAsia="zh-CN" w:bidi="ar"/>
        </w:rPr>
        <w:t>Phase II: Functional Recovery Phase (2–6 weeks)</w:t>
      </w:r>
      <w:bookmarkStart w:id="0" w:name="_GoBack"/>
      <w:bookmarkEnd w:id="0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6322"/>
      </w:tblGrid>
      <w:tr w14:paraId="41AF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456AA10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textAlignment w:val="auto"/>
              <w:rPr>
                <w:rFonts w:hint="default" w:ascii="Cambria" w:hAnsi="Cambria" w:cs="Cambria" w:eastAsiaTheme="minorEastAsia"/>
                <w:b/>
                <w:bCs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Cambria" w:hAnsi="Cambria" w:cs="Cambria" w:eastAsiaTheme="minorEastAsia"/>
                <w:b/>
                <w:bCs/>
                <w:kern w:val="0"/>
                <w:sz w:val="22"/>
                <w:szCs w:val="22"/>
                <w:vertAlign w:val="baseline"/>
                <w:lang w:val="en-US" w:eastAsia="zh-CN" w:bidi="ar"/>
              </w:rPr>
              <w:t>Rehabilitation Goals</w:t>
            </w:r>
          </w:p>
        </w:tc>
        <w:tc>
          <w:tcPr>
            <w:tcW w:w="6322" w:type="dxa"/>
          </w:tcPr>
          <w:p w14:paraId="1E06BD9F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Restore full ankle range of motion</w:t>
            </w:r>
          </w:p>
          <w:p w14:paraId="67B401A1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Improve muscular strength and endurance</w:t>
            </w:r>
          </w:p>
          <w:p w14:paraId="5979DD1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Normalize gait pattern</w:t>
            </w:r>
          </w:p>
          <w:p w14:paraId="20AB3E5A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  <w:rPr>
                <w:vertAlign w:val="baseline"/>
              </w:rPr>
            </w:pPr>
            <w:r>
              <w:t>Initiate static postural control training</w:t>
            </w:r>
          </w:p>
        </w:tc>
      </w:tr>
      <w:tr w14:paraId="5A39D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1BBE1DA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textAlignment w:val="auto"/>
              <w:rPr>
                <w:rFonts w:hint="default" w:ascii="Cambria" w:hAnsi="Cambria" w:cs="Cambria" w:eastAsiaTheme="minorEastAsia"/>
                <w:b/>
                <w:bCs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Cambria" w:hAnsi="Cambria" w:cs="Cambria" w:eastAsiaTheme="minorEastAsia"/>
                <w:b/>
                <w:bCs/>
                <w:kern w:val="0"/>
                <w:sz w:val="22"/>
                <w:szCs w:val="22"/>
                <w:vertAlign w:val="baseline"/>
                <w:lang w:val="en-US" w:eastAsia="zh-CN" w:bidi="ar"/>
              </w:rPr>
              <w:t>Brace</w:t>
            </w:r>
          </w:p>
        </w:tc>
        <w:tc>
          <w:tcPr>
            <w:tcW w:w="6322" w:type="dxa"/>
          </w:tcPr>
          <w:p w14:paraId="3E6251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  <w:rPr>
                <w:vertAlign w:val="baseline"/>
              </w:rPr>
            </w:pPr>
            <w:r>
              <w:rPr>
                <w:vertAlign w:val="baseline"/>
              </w:rPr>
              <w:t>Continue to wear brace for weight bearing activities</w:t>
            </w:r>
          </w:p>
        </w:tc>
      </w:tr>
      <w:tr w14:paraId="26AA5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09F458D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Additional Intervention 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*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/>
                <w:iCs/>
                <w:kern w:val="0"/>
                <w:sz w:val="24"/>
                <w:szCs w:val="24"/>
                <w:vertAlign w:val="baseline"/>
                <w:lang w:val="en-US" w:eastAsia="zh-CN" w:bidi="ar"/>
              </w:rPr>
              <w:t>Continue with Phase I interventions</w:t>
            </w:r>
          </w:p>
        </w:tc>
        <w:tc>
          <w:tcPr>
            <w:tcW w:w="6322" w:type="dxa"/>
          </w:tcPr>
          <w:p w14:paraId="023DE55C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Progressive ankle strengthening exercises</w:t>
            </w:r>
          </w:p>
          <w:p w14:paraId="5D09D32A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Calf strengthening and heel-raise exercises</w:t>
            </w:r>
          </w:p>
          <w:p w14:paraId="658892C4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Stretching exercises for gastrocnemius–soleus complex</w:t>
            </w:r>
          </w:p>
          <w:p w14:paraId="3358A9BE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Resistance-band exercises</w:t>
            </w:r>
          </w:p>
          <w:p w14:paraId="53114BD9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Double-leg and single-leg balance exercises</w:t>
            </w:r>
          </w:p>
          <w:p w14:paraId="3DFBD831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Stationary cycling and low-impact cardiovascular training</w:t>
            </w:r>
          </w:p>
          <w:p w14:paraId="0E72727D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  <w:rPr>
                <w:vertAlign w:val="baseline"/>
              </w:rPr>
            </w:pPr>
            <w:r>
              <w:t>Functional gait retraining</w:t>
            </w:r>
          </w:p>
        </w:tc>
      </w:tr>
      <w:tr w14:paraId="7CADC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2D1F246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textAlignment w:val="auto"/>
              <w:rPr>
                <w:rFonts w:hint="default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Criteria for Progression</w:t>
            </w:r>
          </w:p>
          <w:p w14:paraId="17A15CB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322" w:type="dxa"/>
          </w:tcPr>
          <w:p w14:paraId="00882302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Near-normal ankle range of motion</w:t>
            </w:r>
          </w:p>
          <w:p w14:paraId="02615D05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Pain-free walking</w:t>
            </w:r>
          </w:p>
          <w:p w14:paraId="1C41DEB5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</w:pPr>
            <w:r>
              <w:t>Improved single-leg balance ability</w:t>
            </w:r>
          </w:p>
          <w:p w14:paraId="05073BE5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0" w:hanging="360"/>
              <w:textAlignment w:val="auto"/>
              <w:rPr>
                <w:vertAlign w:val="baseline"/>
              </w:rPr>
            </w:pPr>
            <w:r>
              <w:t>No significant post-exercise swelling</w:t>
            </w:r>
          </w:p>
        </w:tc>
      </w:tr>
    </w:tbl>
    <w:p w14:paraId="75DCE4E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textAlignment w:val="auto"/>
        <w:rPr>
          <w:rFonts w:hint="default" w:ascii="Cambria" w:hAnsi="Cambria" w:eastAsia="宋体" w:cs="Cambria"/>
          <w:b/>
          <w:bCs/>
          <w:color w:val="2E54A1" w:themeColor="accent1" w:themeShade="BF"/>
          <w:kern w:val="44"/>
          <w:sz w:val="28"/>
          <w:szCs w:val="28"/>
          <w:lang w:val="en-US" w:eastAsia="zh-CN" w:bidi="ar"/>
        </w:rPr>
      </w:pPr>
      <w:r>
        <w:rPr>
          <w:rFonts w:hint="default" w:ascii="Cambria" w:hAnsi="Cambria" w:eastAsia="宋体" w:cs="Cambria"/>
          <w:b/>
          <w:bCs/>
          <w:color w:val="2E54A1" w:themeColor="accent1" w:themeShade="BF"/>
          <w:kern w:val="44"/>
          <w:sz w:val="28"/>
          <w:szCs w:val="28"/>
          <w:lang w:val="en-US" w:eastAsia="zh-CN" w:bidi="ar"/>
        </w:rPr>
        <w:t>Phase III: Neuromuscular Control Phase (6–12 weeks)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6322"/>
      </w:tblGrid>
      <w:tr w14:paraId="0A32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7E0C788C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Rehabilitation Goals</w:t>
            </w:r>
          </w:p>
        </w:tc>
        <w:tc>
          <w:tcPr>
            <w:tcW w:w="6322" w:type="dxa"/>
          </w:tcPr>
          <w:p w14:paraId="2265DA3D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Restore neuromuscular control and proprioception</w:t>
            </w:r>
          </w:p>
          <w:p w14:paraId="6A9E7386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Improve dynamic ankle stability</w:t>
            </w:r>
          </w:p>
          <w:p w14:paraId="0E95CD73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Reduce risk of recurrent ankle sprain</w:t>
            </w:r>
          </w:p>
          <w:p w14:paraId="27D4F315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vertAlign w:val="baseline"/>
              </w:rPr>
            </w:pPr>
            <w:r>
              <w:t>Improve lower extremity movement control</w:t>
            </w:r>
          </w:p>
        </w:tc>
      </w:tr>
      <w:tr w14:paraId="037A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7953F8D9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Brace</w:t>
            </w:r>
          </w:p>
        </w:tc>
        <w:tc>
          <w:tcPr>
            <w:tcW w:w="6322" w:type="dxa"/>
          </w:tcPr>
          <w:p w14:paraId="33C512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vertAlign w:val="baseline"/>
              </w:rPr>
            </w:pPr>
            <w:r>
              <w:rPr>
                <w:vertAlign w:val="baseline"/>
              </w:rPr>
              <w:t>Utilize lace up brace for functional activities as needed</w:t>
            </w:r>
          </w:p>
        </w:tc>
      </w:tr>
      <w:tr w14:paraId="18C7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28928CFE"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Additional Intervention 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*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/>
                <w:iCs/>
                <w:kern w:val="0"/>
                <w:sz w:val="24"/>
                <w:szCs w:val="24"/>
                <w:vertAlign w:val="baseline"/>
                <w:lang w:val="en-US" w:eastAsia="zh-CN" w:bidi="ar"/>
              </w:rPr>
              <w:t>Continue with Phase I</w:t>
            </w:r>
            <w:r>
              <w:rPr>
                <w:rFonts w:hint="eastAsia" w:cstheme="minorBidi"/>
                <w:b w:val="0"/>
                <w:bCs w:val="0"/>
                <w:i/>
                <w:iCs/>
                <w:kern w:val="0"/>
                <w:sz w:val="24"/>
                <w:szCs w:val="24"/>
                <w:vertAlign w:val="baseline"/>
                <w:lang w:val="en-US" w:eastAsia="zh-CN" w:bidi="ar"/>
              </w:rPr>
              <w:t>I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/>
                <w:iCs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interventions</w:t>
            </w:r>
          </w:p>
        </w:tc>
        <w:tc>
          <w:tcPr>
            <w:tcW w:w="6322" w:type="dxa"/>
          </w:tcPr>
          <w:p w14:paraId="12DB81C5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Single-leg balance progression exercises</w:t>
            </w:r>
          </w:p>
          <w:p w14:paraId="74D5D28B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Dynamic postural control training</w:t>
            </w:r>
          </w:p>
          <w:p w14:paraId="33BD4279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Balance-board and unstable-surface exercises</w:t>
            </w:r>
          </w:p>
          <w:p w14:paraId="6E778CD6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Perturbation training</w:t>
            </w:r>
          </w:p>
          <w:p w14:paraId="39B0F76C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Lateral movement and change-of-direction drills</w:t>
            </w:r>
          </w:p>
          <w:p w14:paraId="5B9248B4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Low-level plyometric exercises</w:t>
            </w:r>
          </w:p>
          <w:p w14:paraId="5CF686FD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vertAlign w:val="baseline"/>
              </w:rPr>
            </w:pPr>
            <w:r>
              <w:t>Functional hopping progression</w:t>
            </w:r>
          </w:p>
        </w:tc>
      </w:tr>
      <w:tr w14:paraId="6AFE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64E4A09C">
            <w:pPr>
              <w:pStyle w:val="4"/>
              <w:keepNext w:val="0"/>
              <w:keepLines w:val="0"/>
              <w:widowControl/>
              <w:suppressLineNumbers w:val="0"/>
              <w:rPr>
                <w:rFonts w:hint="eastAsia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Criteria for Progression</w:t>
            </w:r>
          </w:p>
          <w:p w14:paraId="54B8665E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Theme="minorHAnsi" w:hAnsiTheme="minorHAnsi" w:eastAsiaTheme="minorEastAsia" w:cstheme="minorBid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322" w:type="dxa"/>
          </w:tcPr>
          <w:p w14:paraId="380E1A1E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No episodes of giving way</w:t>
            </w:r>
          </w:p>
          <w:p w14:paraId="0AFEBA17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Symmetrical dynamic balance performance</w:t>
            </w:r>
          </w:p>
          <w:p w14:paraId="6C4AFF94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</w:pPr>
            <w:r>
              <w:t>Pain-free hopping and landing activities</w:t>
            </w:r>
          </w:p>
          <w:p w14:paraId="4E5BE570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vertAlign w:val="baseline"/>
              </w:rPr>
            </w:pPr>
            <w:r>
              <w:t>Satisfactory movement quality during functional tasks</w:t>
            </w:r>
          </w:p>
        </w:tc>
      </w:tr>
    </w:tbl>
    <w:p w14:paraId="5AA7499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textAlignment w:val="auto"/>
        <w:rPr>
          <w:rFonts w:hint="default" w:ascii="Cambria" w:hAnsi="Cambria" w:eastAsia="宋体" w:cs="Cambria"/>
          <w:b/>
          <w:bCs/>
          <w:color w:val="2E54A1" w:themeColor="accent1" w:themeShade="BF"/>
          <w:kern w:val="44"/>
          <w:sz w:val="28"/>
          <w:szCs w:val="28"/>
          <w:lang w:val="en-US" w:eastAsia="zh-CN" w:bidi="ar"/>
        </w:rPr>
      </w:pPr>
      <w:r>
        <w:rPr>
          <w:rFonts w:hint="default" w:ascii="Cambria" w:hAnsi="Cambria" w:eastAsia="宋体" w:cs="Cambria"/>
          <w:b/>
          <w:bCs/>
          <w:color w:val="2E54A1" w:themeColor="accent1" w:themeShade="BF"/>
          <w:kern w:val="44"/>
          <w:sz w:val="28"/>
          <w:szCs w:val="28"/>
          <w:lang w:val="en-US" w:eastAsia="zh-CN" w:bidi="ar"/>
        </w:rPr>
        <w:t>Phase IV: Sport-Specific Rehabilitation Phase (3–6 months)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6124"/>
      </w:tblGrid>
      <w:tr w14:paraId="0D3A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28039380">
            <w:pPr>
              <w:pStyle w:val="5"/>
              <w:keepNext w:val="0"/>
              <w:keepLines w:val="0"/>
              <w:widowControl/>
              <w:suppressLineNumbers w:val="0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Rehabilitation Goals</w:t>
            </w:r>
          </w:p>
        </w:tc>
        <w:tc>
          <w:tcPr>
            <w:tcW w:w="6322" w:type="dxa"/>
          </w:tcPr>
          <w:p w14:paraId="650C035E">
            <w:pPr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Restore sport-specific functional capacity</w:t>
            </w:r>
          </w:p>
          <w:p w14:paraId="07A012D4">
            <w:pPr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Improve agility and explosive movement</w:t>
            </w:r>
          </w:p>
          <w:p w14:paraId="7CD6B467">
            <w:pPr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</w:rPr>
              <w:t>Prepare for return to sport and high-level activities</w:t>
            </w:r>
          </w:p>
        </w:tc>
      </w:tr>
      <w:tr w14:paraId="5961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5377296E"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Additional Intervention 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*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/>
                <w:iCs/>
                <w:kern w:val="0"/>
                <w:sz w:val="24"/>
                <w:szCs w:val="24"/>
                <w:vertAlign w:val="baseline"/>
                <w:lang w:val="en-US" w:eastAsia="zh-CN" w:bidi="ar"/>
              </w:rPr>
              <w:t>Continue with Phase I</w:t>
            </w:r>
            <w:r>
              <w:rPr>
                <w:rFonts w:hint="eastAsia" w:cstheme="minorBidi"/>
                <w:b w:val="0"/>
                <w:bCs w:val="0"/>
                <w:i/>
                <w:iCs/>
                <w:kern w:val="0"/>
                <w:sz w:val="24"/>
                <w:szCs w:val="24"/>
                <w:vertAlign w:val="baseline"/>
                <w:lang w:val="en-US" w:eastAsia="zh-CN" w:bidi="ar"/>
              </w:rPr>
              <w:t>-III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/>
                <w:iCs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interventions</w:t>
            </w:r>
          </w:p>
        </w:tc>
        <w:tc>
          <w:tcPr>
            <w:tcW w:w="6322" w:type="dxa"/>
          </w:tcPr>
          <w:p w14:paraId="11032401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Agility and multidirectional movement drills</w:t>
            </w:r>
          </w:p>
          <w:p w14:paraId="2A7D6A4A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Running progression program</w:t>
            </w:r>
          </w:p>
          <w:p w14:paraId="0DE1FC21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Cutting and pivoting exercises</w:t>
            </w:r>
          </w:p>
          <w:p w14:paraId="42871B85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Plyometric and jump-landing training</w:t>
            </w:r>
          </w:p>
          <w:p w14:paraId="766E2B59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Sport-specific functional movement training</w:t>
            </w:r>
          </w:p>
          <w:p w14:paraId="62B2DB69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</w:rPr>
              <w:t>Progressive return-to-sport participation</w:t>
            </w:r>
          </w:p>
        </w:tc>
      </w:tr>
      <w:tr w14:paraId="1505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</w:tcPr>
          <w:p w14:paraId="08003639">
            <w:pPr>
              <w:pStyle w:val="4"/>
              <w:keepNext w:val="0"/>
              <w:keepLines w:val="0"/>
              <w:widowControl/>
              <w:suppressLineNumbers w:val="0"/>
              <w:rPr>
                <w:rFonts w:hint="eastAsia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Cambria" w:hAnsi="Cambria" w:cs="Cambria" w:eastAsia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Criteria for Progression（return-to-sport）</w:t>
            </w:r>
          </w:p>
          <w:p w14:paraId="376466C8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Theme="minorHAnsi" w:hAnsiTheme="minorHAnsi" w:eastAsiaTheme="minorEastAsia" w:cstheme="minorBidi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6322" w:type="dxa"/>
          </w:tcPr>
          <w:p w14:paraId="15B76A0A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Full ankle range of motion</w:t>
            </w:r>
          </w:p>
          <w:p w14:paraId="3359878C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No pain or instability symptoms</w:t>
            </w:r>
          </w:p>
          <w:p w14:paraId="70018B23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Satisfactory strength symmetry</w:t>
            </w:r>
          </w:p>
          <w:p w14:paraId="26049FC7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cs="Calibri"/>
              </w:rPr>
              <w:t>Successful completion of functional performance tests</w:t>
            </w:r>
          </w:p>
          <w:p w14:paraId="48088691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0"/>
              <w:ind w:left="726" w:hanging="363"/>
              <w:textAlignment w:val="auto"/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</w:rPr>
              <w:t>Ability to complete sport-specific activities without symptoms</w:t>
            </w:r>
          </w:p>
        </w:tc>
      </w:tr>
    </w:tbl>
    <w:p w14:paraId="25C44C12">
      <w:pPr>
        <w:pStyle w:val="5"/>
        <w:keepNext w:val="0"/>
        <w:keepLines w:val="0"/>
        <w:widowControl/>
        <w:suppressLineNumbers w:val="0"/>
      </w:pPr>
    </w:p>
    <w:p w14:paraId="6C6FD883">
      <w:pPr>
        <w:pStyle w:val="2"/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Rehabilitation Compliance</w:t>
      </w:r>
    </w:p>
    <w:p w14:paraId="6A007D75">
      <w:pPr>
        <w:pStyle w:val="5"/>
        <w:keepNext w:val="0"/>
        <w:keepLines w:val="0"/>
        <w:widowControl/>
        <w:suppressLineNumbers w:val="0"/>
      </w:pPr>
      <w:r>
        <w:t>Patients were instructed to complete the prescribed rehabilitation program under supervision of the rehabilitation team. Rehabilitation compliance was monitored during follow-up visits. Patients completing at least 80% of the prescribed rehabilitation sessions were considered compliant with the rehabilitation protocol.</w:t>
      </w:r>
    </w:p>
    <w:p w14:paraId="51B0753D">
      <w:pPr>
        <w:rPr>
          <w:rFonts w:hint="eastAsia"/>
        </w:rPr>
      </w:pPr>
    </w:p>
    <w:p w14:paraId="3103D6E4">
      <w:pPr>
        <w:rPr>
          <w:rFonts w:hint="eastAsia"/>
        </w:rPr>
      </w:pPr>
      <w:r>
        <w:rPr>
          <w:rFonts w:hint="eastAsia"/>
        </w:rPr>
        <w:t xml:space="preserve">References: </w:t>
      </w:r>
    </w:p>
    <w:p w14:paraId="29FBD29E">
      <w:pPr>
        <w:rPr>
          <w:rFonts w:hint="eastAsia"/>
        </w:rPr>
      </w:pPr>
      <w:r>
        <w:rPr>
          <w:rFonts w:hint="eastAsia"/>
        </w:rPr>
        <w:t xml:space="preserve">1. Petersen, W., Rembitzki, I.V., Koppenburg, A.G. et al. Treatment of acute ankle ligament injuries: a systematic review. Arch Orthop Trauma Surg 133, 1129–1141 (2013). https://doi.org/10.1007/s00402-013-1742-5 </w:t>
      </w:r>
    </w:p>
    <w:p w14:paraId="6D2E4994">
      <w:pPr>
        <w:rPr>
          <w:rFonts w:hint="eastAsia"/>
        </w:rPr>
      </w:pPr>
      <w:r>
        <w:rPr>
          <w:rFonts w:hint="eastAsia"/>
        </w:rPr>
        <w:t xml:space="preserve">2. RobRoy L. Martin, PT, PhD; Todd E. Davenport, DPT; John J. Fraser, DPT, PhD; Jenna Sawdon-Bea, PT, PhD; Christopher R. Carcia, PT, PhD; Lindsay A. Carroll, DPT; Benjamin R. Kivlan, PT, PhD; Dominic Carreira, MD J Orthop Sports Phys Ther. 2021;51(4):CPG1-CPG80. doi:10.2519/jospt.2021.0302 </w:t>
      </w:r>
    </w:p>
    <w:p w14:paraId="36169C1A">
      <w:pPr>
        <w:rPr>
          <w:rFonts w:hint="eastAsia"/>
        </w:rPr>
      </w:pPr>
      <w:r>
        <w:rPr>
          <w:rFonts w:hint="eastAsia"/>
        </w:rPr>
        <w:t>3. Struijs PA, Kerkhoffs GM. Ankle sprain. BMJ Clin Evid. 2010;2010:1115. Published 2010 May 13.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DB8F4F"/>
    <w:multiLevelType w:val="multilevel"/>
    <w:tmpl w:val="A8DB8F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D79DEE36"/>
    <w:multiLevelType w:val="multilevel"/>
    <w:tmpl w:val="D79DEE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E243E1E2"/>
    <w:multiLevelType w:val="multilevel"/>
    <w:tmpl w:val="E243E1E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EF931EA3"/>
    <w:multiLevelType w:val="multilevel"/>
    <w:tmpl w:val="EF931E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1025FD6D"/>
    <w:multiLevelType w:val="multilevel"/>
    <w:tmpl w:val="1025FD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18CB6808"/>
    <w:multiLevelType w:val="multilevel"/>
    <w:tmpl w:val="18CB68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37478496"/>
    <w:multiLevelType w:val="multilevel"/>
    <w:tmpl w:val="374784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3A6EA9AA"/>
    <w:multiLevelType w:val="multilevel"/>
    <w:tmpl w:val="3A6EA9A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3C6FBD9A"/>
    <w:multiLevelType w:val="multilevel"/>
    <w:tmpl w:val="3C6FBD9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5545DDF1"/>
    <w:multiLevelType w:val="multilevel"/>
    <w:tmpl w:val="5545DD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6985AD5F"/>
    <w:multiLevelType w:val="multilevel"/>
    <w:tmpl w:val="6985AD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7DF987BE"/>
    <w:multiLevelType w:val="multilevel"/>
    <w:tmpl w:val="7DF987B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9"/>
  </w:num>
  <w:num w:numId="9">
    <w:abstractNumId w:val="8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40FF4"/>
    <w:rsid w:val="06484225"/>
    <w:rsid w:val="1B4E3578"/>
    <w:rsid w:val="588F48B4"/>
    <w:rsid w:val="5AD40FF4"/>
    <w:rsid w:val="63EE01A3"/>
    <w:rsid w:val="777E5351"/>
    <w:rsid w:val="7EED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575</Words>
  <Characters>4136</Characters>
  <Lines>0</Lines>
  <Paragraphs>0</Paragraphs>
  <TotalTime>113</TotalTime>
  <ScaleCrop>false</ScaleCrop>
  <LinksUpToDate>false</LinksUpToDate>
  <CharactersWithSpaces>4619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2026-06-07T14:59:00Z</dcterms:created>
  <dc:creator>SJY</dc:creator>
  <cp:lastModifiedBy>SJY</cp:lastModifiedBy>
  <dcterms:modified xsi:type="dcterms:W3CDTF">2026-06-14T11:44:26Z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9C65C57CEAC343E9A3317597B3EB52F4_11</vt:lpwstr>
  </property>
  <property fmtid="{D5CDD505-2E9C-101B-9397-08002B2CF9AE}" pid="4" name="KSOTemplateDocerSaveRecord">
    <vt:lpwstr>eyJoZGlkIjoiMzEwNTM5NzYwMDRjMzkwZTVkZjY2ODkwMGIxNGU0OTUiLCJ1c2VySWQiOiIzMDIzNzMyNTUifQ==</vt:lpwstr>
  </property>
</Properties>
</file>