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9EF" w:rsidRDefault="002735C9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rPr>
          <w:noProof/>
        </w:rPr>
        <w:drawing>
          <wp:inline distT="0" distB="0" distL="0" distR="0">
            <wp:extent cx="5727700" cy="52228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f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EF" w:rsidRPr="00EB59EF" w:rsidRDefault="00EB59EF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b/>
          <w:sz w:val="24"/>
        </w:rPr>
      </w:pPr>
      <w:r w:rsidRPr="00EB59EF">
        <w:rPr>
          <w:b/>
          <w:sz w:val="24"/>
        </w:rPr>
        <w:t xml:space="preserve">Fig </w:t>
      </w:r>
      <w:r w:rsidRPr="00312C5B">
        <w:rPr>
          <w:b/>
          <w:sz w:val="24"/>
        </w:rPr>
        <w:t>S</w:t>
      </w:r>
      <w:r w:rsidRPr="00EB59EF">
        <w:rPr>
          <w:b/>
          <w:sz w:val="24"/>
        </w:rPr>
        <w:t>1</w:t>
      </w:r>
      <w:r w:rsidRPr="00312C5B">
        <w:rPr>
          <w:b/>
          <w:sz w:val="24"/>
        </w:rPr>
        <w:t>.</w:t>
      </w:r>
      <w:r w:rsidRPr="00EB59EF">
        <w:rPr>
          <w:b/>
          <w:sz w:val="24"/>
        </w:rPr>
        <w:t xml:space="preserve"> Imputation performance across allele frequency bins</w:t>
      </w:r>
      <w:r w:rsidRPr="00312C5B">
        <w:rPr>
          <w:b/>
          <w:sz w:val="24"/>
        </w:rPr>
        <w:t>.</w:t>
      </w:r>
    </w:p>
    <w:p w:rsidR="00FF4224" w:rsidRPr="00FF4224" w:rsidRDefault="00FF4224" w:rsidP="00FF4224">
      <w:pPr>
        <w:widowControl/>
        <w:jc w:val="both"/>
        <w:rPr>
          <w:sz w:val="24"/>
        </w:rPr>
      </w:pPr>
      <w:r w:rsidRPr="00FF4224">
        <w:rPr>
          <w:sz w:val="24"/>
        </w:rPr>
        <w:t xml:space="preserve">(a) Distribution of imputation accuracy (imputation R²) across allele frequency (AF) bins (0.05–1%) using the </w:t>
      </w:r>
      <w:proofErr w:type="spellStart"/>
      <w:r w:rsidRPr="00FF4224">
        <w:rPr>
          <w:sz w:val="24"/>
        </w:rPr>
        <w:t>TOPMed</w:t>
      </w:r>
      <w:proofErr w:type="spellEnd"/>
      <w:r w:rsidRPr="00FF4224">
        <w:rPr>
          <w:sz w:val="24"/>
        </w:rPr>
        <w:t xml:space="preserve"> reference panel. Violin plots show the distribution of R² values within each AF bin for four genotyping arrays (KBA v2.0, KBA v1.1, </w:t>
      </w:r>
      <w:proofErr w:type="spellStart"/>
      <w:r w:rsidRPr="00FF4224">
        <w:rPr>
          <w:sz w:val="24"/>
        </w:rPr>
        <w:t>PangenomiX</w:t>
      </w:r>
      <w:proofErr w:type="spellEnd"/>
      <w:r w:rsidRPr="00FF4224">
        <w:rPr>
          <w:sz w:val="24"/>
        </w:rPr>
        <w:t xml:space="preserve"> Plus, and GDA). KBA v2.0 consistently exhibits higher mean and median imputation accuracy compared to the other platforms, particularly in the low-frequency and rare variant ranges, highlighting its robust performance when imputed with the </w:t>
      </w:r>
      <w:proofErr w:type="spellStart"/>
      <w:r w:rsidRPr="00FF4224">
        <w:rPr>
          <w:sz w:val="24"/>
        </w:rPr>
        <w:t>TOPMed</w:t>
      </w:r>
      <w:proofErr w:type="spellEnd"/>
      <w:r w:rsidRPr="00FF4224">
        <w:rPr>
          <w:sz w:val="24"/>
        </w:rPr>
        <w:t xml:space="preserve"> reference panel. (b) Aggregated imputation accuracy (aggregated R²) across the full allele frequency spectrum using the KIS (Korean Imputation Service) Phase 2 reference panel. KBA v2.0 demonstrates superior performance across all minor allele frequency (MAF) bins regardless of the reference panel used (see Fig. 2 for </w:t>
      </w:r>
      <w:proofErr w:type="spellStart"/>
      <w:r w:rsidRPr="00FF4224">
        <w:rPr>
          <w:sz w:val="24"/>
        </w:rPr>
        <w:t>TOPMed</w:t>
      </w:r>
      <w:proofErr w:type="spellEnd"/>
      <w:r w:rsidRPr="00FF4224">
        <w:rPr>
          <w:sz w:val="24"/>
        </w:rPr>
        <w:t xml:space="preserve"> results). The largest advantage is observed in the low-frequency and rare variant ranges, indicating that the observed performance advantage of KBA v2.0 is robust and not dependent on a specific imputation reference.</w:t>
      </w:r>
    </w:p>
    <w:p w:rsidR="00EB59EF" w:rsidRDefault="00FF4224" w:rsidP="00FF4224">
      <w:pPr>
        <w:widowControl/>
        <w:jc w:val="both"/>
      </w:pPr>
      <w:r w:rsidRPr="00FF4224">
        <w:rPr>
          <w:sz w:val="24"/>
        </w:rPr>
        <w:t> </w:t>
      </w:r>
      <w:r w:rsidR="00EB59EF">
        <w:br w:type="page"/>
      </w:r>
    </w:p>
    <w:p w:rsidR="00EB59EF" w:rsidRDefault="002735C9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rPr>
          <w:noProof/>
        </w:rPr>
        <w:lastRenderedPageBreak/>
        <w:drawing>
          <wp:inline distT="0" distB="0" distL="0" distR="0" wp14:anchorId="32D568BD" wp14:editId="401FE0B8">
            <wp:extent cx="5727700" cy="560514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f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60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EF" w:rsidRPr="00EB59EF" w:rsidRDefault="00EB59EF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b/>
          <w:sz w:val="24"/>
        </w:rPr>
      </w:pPr>
      <w:r w:rsidRPr="00EB59EF">
        <w:rPr>
          <w:b/>
          <w:sz w:val="24"/>
        </w:rPr>
        <w:t>Fig</w:t>
      </w:r>
      <w:r w:rsidRPr="00312C5B">
        <w:rPr>
          <w:b/>
          <w:sz w:val="24"/>
        </w:rPr>
        <w:t xml:space="preserve"> S</w:t>
      </w:r>
      <w:r w:rsidRPr="00EB59EF">
        <w:rPr>
          <w:b/>
          <w:sz w:val="24"/>
        </w:rPr>
        <w:t>2</w:t>
      </w:r>
      <w:r w:rsidRPr="00312C5B">
        <w:rPr>
          <w:b/>
          <w:sz w:val="24"/>
        </w:rPr>
        <w:t>.</w:t>
      </w:r>
      <w:r w:rsidRPr="00EB59EF">
        <w:rPr>
          <w:b/>
          <w:sz w:val="24"/>
        </w:rPr>
        <w:t xml:space="preserve"> GWAS results for lipid traits</w:t>
      </w:r>
      <w:r w:rsidRPr="00312C5B">
        <w:rPr>
          <w:b/>
          <w:sz w:val="24"/>
        </w:rPr>
        <w:t>.</w:t>
      </w:r>
    </w:p>
    <w:p w:rsidR="00EB59EF" w:rsidRPr="00312C5B" w:rsidRDefault="00EB59EF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</w:rPr>
      </w:pPr>
      <w:r w:rsidRPr="00312C5B">
        <w:rPr>
          <w:sz w:val="24"/>
        </w:rPr>
        <w:t>Manhattan plots illustrate the genome-wide association results obtained using KBA v1.1 (top) and KBA v2.0 (bottom). (</w:t>
      </w:r>
      <w:r w:rsidRPr="00312C5B">
        <w:rPr>
          <w:b/>
          <w:sz w:val="24"/>
        </w:rPr>
        <w:t>a</w:t>
      </w:r>
      <w:r w:rsidRPr="00312C5B">
        <w:rPr>
          <w:sz w:val="24"/>
        </w:rPr>
        <w:t>) ALT (</w:t>
      </w:r>
      <w:r w:rsidRPr="00312C5B">
        <w:rPr>
          <w:b/>
          <w:sz w:val="24"/>
        </w:rPr>
        <w:t>b</w:t>
      </w:r>
      <w:r w:rsidRPr="00312C5B">
        <w:rPr>
          <w:sz w:val="24"/>
        </w:rPr>
        <w:t xml:space="preserve">) AST </w:t>
      </w:r>
      <w:r w:rsidR="00FF4224" w:rsidRPr="00FF4224">
        <w:rPr>
          <w:sz w:val="24"/>
        </w:rPr>
        <w:t xml:space="preserve">(c) FPG (d) GGT </w:t>
      </w:r>
      <w:r w:rsidRPr="00312C5B">
        <w:rPr>
          <w:sz w:val="24"/>
        </w:rPr>
        <w:t>(</w:t>
      </w:r>
      <w:r w:rsidRPr="00312C5B">
        <w:rPr>
          <w:b/>
          <w:sz w:val="24"/>
        </w:rPr>
        <w:t>e</w:t>
      </w:r>
      <w:r w:rsidRPr="00312C5B">
        <w:rPr>
          <w:sz w:val="24"/>
        </w:rPr>
        <w:t>) HDL (</w:t>
      </w:r>
      <w:r w:rsidRPr="00312C5B">
        <w:rPr>
          <w:b/>
          <w:sz w:val="24"/>
        </w:rPr>
        <w:t>f</w:t>
      </w:r>
      <w:r w:rsidRPr="00312C5B">
        <w:rPr>
          <w:sz w:val="24"/>
        </w:rPr>
        <w:t>) LDL (</w:t>
      </w:r>
      <w:r w:rsidRPr="00312C5B">
        <w:rPr>
          <w:b/>
          <w:sz w:val="24"/>
        </w:rPr>
        <w:t>g</w:t>
      </w:r>
      <w:r w:rsidRPr="00312C5B">
        <w:rPr>
          <w:sz w:val="24"/>
        </w:rPr>
        <w:t>) TC (</w:t>
      </w:r>
      <w:r w:rsidRPr="00312C5B">
        <w:rPr>
          <w:b/>
          <w:sz w:val="24"/>
        </w:rPr>
        <w:t>h</w:t>
      </w:r>
      <w:r w:rsidRPr="00312C5B">
        <w:rPr>
          <w:sz w:val="24"/>
        </w:rPr>
        <w:t>) TG</w:t>
      </w:r>
    </w:p>
    <w:p w:rsidR="00EB59EF" w:rsidRDefault="00EB59EF">
      <w:pPr>
        <w:widowControl/>
        <w:jc w:val="both"/>
      </w:pPr>
      <w:r>
        <w:br w:type="page"/>
      </w:r>
    </w:p>
    <w:p w:rsidR="00EB59EF" w:rsidRDefault="002735C9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rPr>
          <w:noProof/>
        </w:rPr>
        <w:lastRenderedPageBreak/>
        <w:drawing>
          <wp:inline distT="0" distB="0" distL="0" distR="0">
            <wp:extent cx="5727700" cy="829945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f3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9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9EF" w:rsidRPr="00EB59EF" w:rsidRDefault="00EB59EF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b/>
          <w:sz w:val="24"/>
        </w:rPr>
      </w:pPr>
      <w:r w:rsidRPr="00EB59EF">
        <w:rPr>
          <w:b/>
          <w:sz w:val="24"/>
        </w:rPr>
        <w:t>Fig</w:t>
      </w:r>
      <w:r w:rsidRPr="00312C5B">
        <w:rPr>
          <w:b/>
          <w:sz w:val="24"/>
        </w:rPr>
        <w:t xml:space="preserve"> S3</w:t>
      </w:r>
      <w:r w:rsidRPr="00EB59EF">
        <w:rPr>
          <w:b/>
          <w:sz w:val="24"/>
        </w:rPr>
        <w:t>. Allelic effects on lipid levels.</w:t>
      </w:r>
    </w:p>
    <w:p w:rsidR="00EB59EF" w:rsidRPr="00312C5B" w:rsidRDefault="00EB59EF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</w:rPr>
      </w:pPr>
      <w:r w:rsidRPr="00312C5B">
        <w:rPr>
          <w:sz w:val="24"/>
        </w:rPr>
        <w:lastRenderedPageBreak/>
        <w:t>Groups are colored by variant effect (blue = protective (negative beta), green = non-carrier, and red = risk (positive beta)). Each violin represents groups of individuals carrying variants annotated as clinical (CLN), deleterious (DLTS), or functional (FUNC) markers. (</w:t>
      </w:r>
      <w:r w:rsidRPr="00312C5B">
        <w:rPr>
          <w:b/>
          <w:sz w:val="24"/>
        </w:rPr>
        <w:t>a</w:t>
      </w:r>
      <w:r w:rsidRPr="00312C5B">
        <w:rPr>
          <w:sz w:val="24"/>
        </w:rPr>
        <w:t>) ALT (</w:t>
      </w:r>
      <w:r w:rsidRPr="00312C5B">
        <w:rPr>
          <w:b/>
          <w:sz w:val="24"/>
        </w:rPr>
        <w:t>b</w:t>
      </w:r>
      <w:r w:rsidRPr="00312C5B">
        <w:rPr>
          <w:sz w:val="24"/>
        </w:rPr>
        <w:t>) AST (</w:t>
      </w:r>
      <w:r w:rsidRPr="00312C5B">
        <w:rPr>
          <w:b/>
          <w:sz w:val="24"/>
        </w:rPr>
        <w:t>c</w:t>
      </w:r>
      <w:r w:rsidRPr="00312C5B">
        <w:rPr>
          <w:sz w:val="24"/>
        </w:rPr>
        <w:t>) FPG (</w:t>
      </w:r>
      <w:r w:rsidRPr="00312C5B">
        <w:rPr>
          <w:b/>
          <w:sz w:val="24"/>
        </w:rPr>
        <w:t>d</w:t>
      </w:r>
      <w:r w:rsidRPr="00312C5B">
        <w:rPr>
          <w:sz w:val="24"/>
        </w:rPr>
        <w:t>) GGT (</w:t>
      </w:r>
      <w:r w:rsidRPr="00312C5B">
        <w:rPr>
          <w:b/>
          <w:sz w:val="24"/>
        </w:rPr>
        <w:t>e</w:t>
      </w:r>
      <w:r w:rsidRPr="00312C5B">
        <w:rPr>
          <w:sz w:val="24"/>
        </w:rPr>
        <w:t>) LDL (</w:t>
      </w:r>
      <w:r w:rsidRPr="00312C5B">
        <w:rPr>
          <w:b/>
          <w:sz w:val="24"/>
        </w:rPr>
        <w:t>f</w:t>
      </w:r>
      <w:r w:rsidRPr="00312C5B">
        <w:rPr>
          <w:sz w:val="24"/>
        </w:rPr>
        <w:t>) TG</w:t>
      </w:r>
    </w:p>
    <w:p w:rsidR="00EB59EF" w:rsidRDefault="00EB59EF">
      <w:pPr>
        <w:widowControl/>
        <w:jc w:val="both"/>
      </w:pPr>
      <w:r>
        <w:br w:type="page"/>
      </w:r>
      <w:r w:rsidR="002735C9">
        <w:rPr>
          <w:noProof/>
        </w:rPr>
        <w:lastRenderedPageBreak/>
        <w:drawing>
          <wp:inline distT="0" distB="0" distL="0" distR="0">
            <wp:extent cx="5727700" cy="785114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f4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8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C5B" w:rsidRPr="00312C5B" w:rsidRDefault="00312C5B" w:rsidP="00312C5B">
      <w:pPr>
        <w:widowControl/>
        <w:jc w:val="both"/>
        <w:rPr>
          <w:b/>
          <w:sz w:val="24"/>
        </w:rPr>
      </w:pPr>
      <w:r w:rsidRPr="00312C5B">
        <w:rPr>
          <w:b/>
          <w:sz w:val="24"/>
        </w:rPr>
        <w:t xml:space="preserve">Fig S4. </w:t>
      </w:r>
      <w:proofErr w:type="spellStart"/>
      <w:r w:rsidRPr="00312C5B">
        <w:rPr>
          <w:b/>
          <w:sz w:val="24"/>
        </w:rPr>
        <w:t>PheWAS</w:t>
      </w:r>
      <w:proofErr w:type="spellEnd"/>
      <w:r w:rsidRPr="00312C5B">
        <w:rPr>
          <w:b/>
          <w:sz w:val="24"/>
        </w:rPr>
        <w:t xml:space="preserve"> of </w:t>
      </w:r>
      <w:proofErr w:type="spellStart"/>
      <w:r w:rsidRPr="00312C5B">
        <w:rPr>
          <w:b/>
          <w:sz w:val="24"/>
        </w:rPr>
        <w:t>ClinVar</w:t>
      </w:r>
      <w:proofErr w:type="spellEnd"/>
      <w:r w:rsidRPr="00312C5B">
        <w:rPr>
          <w:b/>
          <w:sz w:val="24"/>
        </w:rPr>
        <w:t xml:space="preserve"> variants using UMLS semantic types reveals clinically interpretable lipid associations.</w:t>
      </w:r>
    </w:p>
    <w:p w:rsidR="00312C5B" w:rsidRPr="00312C5B" w:rsidRDefault="00312C5B" w:rsidP="00312C5B">
      <w:pPr>
        <w:widowControl/>
        <w:jc w:val="both"/>
        <w:rPr>
          <w:sz w:val="24"/>
        </w:rPr>
      </w:pPr>
      <w:r w:rsidRPr="00312C5B">
        <w:rPr>
          <w:sz w:val="24"/>
        </w:rPr>
        <w:t xml:space="preserve">Each point represents a </w:t>
      </w:r>
      <w:proofErr w:type="spellStart"/>
      <w:r w:rsidRPr="00312C5B">
        <w:rPr>
          <w:sz w:val="24"/>
        </w:rPr>
        <w:t>ClinVar</w:t>
      </w:r>
      <w:proofErr w:type="spellEnd"/>
      <w:r w:rsidRPr="00312C5B">
        <w:rPr>
          <w:sz w:val="24"/>
        </w:rPr>
        <w:t xml:space="preserve"> variant annotated with a specific UMLS semantic type, plotted by phenotype category on the x-axis and the association significance (−log10P) </w:t>
      </w:r>
      <w:r w:rsidRPr="00312C5B">
        <w:rPr>
          <w:sz w:val="24"/>
        </w:rPr>
        <w:lastRenderedPageBreak/>
        <w:t>on the y-axis. Colors denote UMLS semantic type groups, allowing visualization of clinically related variant clusters. Upward-pointing triangles indicate positive β effects, and downward triangles indicate negative β effects. Point size scales with effect magnitude (|β|), while dashed lines denote suggestive (blue, P &lt; 1×10</w:t>
      </w:r>
      <w:r w:rsidRPr="00312C5B">
        <w:rPr>
          <w:rFonts w:ascii="Cambria Math" w:hAnsi="Cambria Math" w:cs="Cambria Math"/>
          <w:sz w:val="24"/>
        </w:rPr>
        <w:t>⁻</w:t>
      </w:r>
      <w:r w:rsidRPr="00312C5B">
        <w:rPr>
          <w:sz w:val="24"/>
        </w:rPr>
        <w:t>⁵) and phenome-wide (red, P &lt; 5×10</w:t>
      </w:r>
      <w:r w:rsidRPr="00312C5B">
        <w:rPr>
          <w:rFonts w:ascii="Cambria Math" w:hAnsi="Cambria Math" w:cs="Cambria Math"/>
          <w:sz w:val="24"/>
        </w:rPr>
        <w:t>⁻</w:t>
      </w:r>
      <w:r w:rsidRPr="00312C5B">
        <w:rPr>
          <w:sz w:val="24"/>
        </w:rPr>
        <w:t>⁸) significance thresholds. (</w:t>
      </w:r>
      <w:r w:rsidRPr="00312C5B">
        <w:rPr>
          <w:b/>
          <w:sz w:val="24"/>
        </w:rPr>
        <w:t>a</w:t>
      </w:r>
      <w:r w:rsidRPr="00312C5B">
        <w:rPr>
          <w:sz w:val="24"/>
        </w:rPr>
        <w:t>) ALT (</w:t>
      </w:r>
      <w:r w:rsidRPr="00312C5B">
        <w:rPr>
          <w:b/>
          <w:sz w:val="24"/>
        </w:rPr>
        <w:t>b</w:t>
      </w:r>
      <w:r w:rsidRPr="00312C5B">
        <w:rPr>
          <w:sz w:val="24"/>
        </w:rPr>
        <w:t>) AST (</w:t>
      </w:r>
      <w:r w:rsidRPr="00312C5B">
        <w:rPr>
          <w:b/>
          <w:sz w:val="24"/>
        </w:rPr>
        <w:t>c</w:t>
      </w:r>
      <w:r w:rsidRPr="00312C5B">
        <w:rPr>
          <w:sz w:val="24"/>
        </w:rPr>
        <w:t>) FPG (</w:t>
      </w:r>
      <w:r w:rsidRPr="00312C5B">
        <w:rPr>
          <w:b/>
          <w:sz w:val="24"/>
        </w:rPr>
        <w:t>d</w:t>
      </w:r>
      <w:r w:rsidRPr="00312C5B">
        <w:rPr>
          <w:sz w:val="24"/>
        </w:rPr>
        <w:t>) GGT (</w:t>
      </w:r>
      <w:r w:rsidRPr="00312C5B">
        <w:rPr>
          <w:b/>
          <w:sz w:val="24"/>
        </w:rPr>
        <w:t>e</w:t>
      </w:r>
      <w:r w:rsidRPr="00312C5B">
        <w:rPr>
          <w:sz w:val="24"/>
        </w:rPr>
        <w:t>) LDL (</w:t>
      </w:r>
      <w:r w:rsidRPr="00312C5B">
        <w:rPr>
          <w:b/>
          <w:sz w:val="24"/>
        </w:rPr>
        <w:t>f</w:t>
      </w:r>
      <w:r w:rsidRPr="00312C5B">
        <w:rPr>
          <w:sz w:val="24"/>
        </w:rPr>
        <w:t>) TC</w:t>
      </w:r>
    </w:p>
    <w:p w:rsidR="00312C5B" w:rsidRPr="00312C5B" w:rsidRDefault="00312C5B">
      <w:pPr>
        <w:widowControl/>
        <w:jc w:val="both"/>
        <w:rPr>
          <w:sz w:val="24"/>
        </w:rPr>
      </w:pPr>
      <w:r w:rsidRPr="00312C5B">
        <w:rPr>
          <w:sz w:val="24"/>
        </w:rPr>
        <w:br w:type="page"/>
      </w:r>
    </w:p>
    <w:p w:rsidR="00312C5B" w:rsidRDefault="002735C9" w:rsidP="00312C5B">
      <w:pPr>
        <w:widowControl/>
        <w:jc w:val="both"/>
      </w:pPr>
      <w:r>
        <w:rPr>
          <w:noProof/>
        </w:rPr>
        <w:lastRenderedPageBreak/>
        <w:drawing>
          <wp:inline distT="0" distB="0" distL="0" distR="0">
            <wp:extent cx="5727700" cy="696341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f5_1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96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C5B" w:rsidRDefault="00312C5B" w:rsidP="00312C5B">
      <w:pPr>
        <w:widowControl/>
        <w:jc w:val="both"/>
      </w:pPr>
    </w:p>
    <w:p w:rsidR="00EB59EF" w:rsidRDefault="002735C9" w:rsidP="00EB59E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rPr>
          <w:noProof/>
        </w:rPr>
        <w:lastRenderedPageBreak/>
        <w:drawing>
          <wp:inline distT="0" distB="0" distL="0" distR="0">
            <wp:extent cx="5727700" cy="6956425"/>
            <wp:effectExtent l="0" t="0" r="0" b="317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f5_2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95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C5B" w:rsidRPr="00312C5B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b/>
          <w:sz w:val="24"/>
        </w:rPr>
      </w:pPr>
      <w:r w:rsidRPr="00312C5B">
        <w:rPr>
          <w:b/>
          <w:sz w:val="24"/>
        </w:rPr>
        <w:t xml:space="preserve">Fig S5. </w:t>
      </w:r>
      <w:proofErr w:type="spellStart"/>
      <w:r w:rsidRPr="00312C5B">
        <w:rPr>
          <w:b/>
          <w:sz w:val="24"/>
        </w:rPr>
        <w:t>PheWAS</w:t>
      </w:r>
      <w:proofErr w:type="spellEnd"/>
      <w:r w:rsidRPr="00312C5B">
        <w:rPr>
          <w:b/>
          <w:sz w:val="24"/>
        </w:rPr>
        <w:t xml:space="preserve"> of </w:t>
      </w:r>
      <w:proofErr w:type="spellStart"/>
      <w:r w:rsidRPr="00312C5B">
        <w:rPr>
          <w:b/>
          <w:sz w:val="24"/>
        </w:rPr>
        <w:t>ClinVar</w:t>
      </w:r>
      <w:proofErr w:type="spellEnd"/>
      <w:r w:rsidRPr="00312C5B">
        <w:rPr>
          <w:b/>
          <w:sz w:val="24"/>
        </w:rPr>
        <w:t xml:space="preserve"> variants using ICD-10 codes reveals clinically interpretable lipid associations.</w:t>
      </w:r>
    </w:p>
    <w:p w:rsidR="00312C5B" w:rsidRPr="00312C5B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</w:rPr>
      </w:pPr>
      <w:r w:rsidRPr="00312C5B">
        <w:rPr>
          <w:sz w:val="24"/>
        </w:rPr>
        <w:t xml:space="preserve">Each point represents a </w:t>
      </w:r>
      <w:proofErr w:type="spellStart"/>
      <w:r w:rsidRPr="00312C5B">
        <w:rPr>
          <w:sz w:val="24"/>
        </w:rPr>
        <w:t>ClinVar</w:t>
      </w:r>
      <w:proofErr w:type="spellEnd"/>
      <w:r w:rsidRPr="00312C5B">
        <w:rPr>
          <w:sz w:val="24"/>
        </w:rPr>
        <w:t xml:space="preserve"> variant annotated with an ICD-10 disease category, plotted by phenotype ICD-10 chapter on the x-axis and the association significance (−log10P) on the y-axis. Colors correspond to ICD-10 categories. Upward-pointing triangles indicate positive β effects, and downward triangles indicate negative β effects. Point size scales with effect magnitude (|β|), while dashed lines denote suggestive (blue, P &lt; 1×10</w:t>
      </w:r>
      <w:r w:rsidRPr="00312C5B">
        <w:rPr>
          <w:rFonts w:ascii="Cambria Math" w:hAnsi="Cambria Math" w:cs="Cambria Math"/>
          <w:sz w:val="24"/>
        </w:rPr>
        <w:t>⁻</w:t>
      </w:r>
      <w:r w:rsidRPr="00312C5B">
        <w:rPr>
          <w:sz w:val="24"/>
        </w:rPr>
        <w:t>⁵) and phenome-wide (red, P &lt; 5×10</w:t>
      </w:r>
      <w:r w:rsidRPr="00312C5B">
        <w:rPr>
          <w:rFonts w:ascii="Cambria Math" w:hAnsi="Cambria Math" w:cs="Cambria Math"/>
          <w:sz w:val="24"/>
        </w:rPr>
        <w:t>⁻</w:t>
      </w:r>
      <w:r w:rsidRPr="00312C5B">
        <w:rPr>
          <w:sz w:val="24"/>
        </w:rPr>
        <w:t xml:space="preserve">⁸) significance </w:t>
      </w:r>
      <w:r w:rsidRPr="00312C5B">
        <w:rPr>
          <w:sz w:val="24"/>
        </w:rPr>
        <w:lastRenderedPageBreak/>
        <w:t>thresholds. (</w:t>
      </w:r>
      <w:r w:rsidRPr="00312C5B">
        <w:rPr>
          <w:b/>
          <w:sz w:val="24"/>
        </w:rPr>
        <w:t>a</w:t>
      </w:r>
      <w:r w:rsidRPr="00312C5B">
        <w:rPr>
          <w:sz w:val="24"/>
        </w:rPr>
        <w:t>) ALT (</w:t>
      </w:r>
      <w:r w:rsidRPr="00312C5B">
        <w:rPr>
          <w:b/>
          <w:sz w:val="24"/>
        </w:rPr>
        <w:t>b</w:t>
      </w:r>
      <w:r w:rsidRPr="00312C5B">
        <w:rPr>
          <w:sz w:val="24"/>
        </w:rPr>
        <w:t>) AST (</w:t>
      </w:r>
      <w:r w:rsidRPr="00312C5B">
        <w:rPr>
          <w:b/>
          <w:sz w:val="24"/>
        </w:rPr>
        <w:t>c</w:t>
      </w:r>
      <w:r w:rsidRPr="00312C5B">
        <w:rPr>
          <w:sz w:val="24"/>
        </w:rPr>
        <w:t>) FPG (</w:t>
      </w:r>
      <w:r w:rsidRPr="00312C5B">
        <w:rPr>
          <w:b/>
          <w:sz w:val="24"/>
        </w:rPr>
        <w:t>d</w:t>
      </w:r>
      <w:r w:rsidRPr="00312C5B">
        <w:rPr>
          <w:sz w:val="24"/>
        </w:rPr>
        <w:t>) GGP (</w:t>
      </w:r>
      <w:r w:rsidRPr="00312C5B">
        <w:rPr>
          <w:b/>
          <w:sz w:val="24"/>
        </w:rPr>
        <w:t>e</w:t>
      </w:r>
      <w:r w:rsidRPr="00312C5B">
        <w:rPr>
          <w:sz w:val="24"/>
        </w:rPr>
        <w:t>) HDL (</w:t>
      </w:r>
      <w:r w:rsidRPr="00312C5B">
        <w:rPr>
          <w:b/>
          <w:sz w:val="24"/>
        </w:rPr>
        <w:t>f</w:t>
      </w:r>
      <w:r w:rsidRPr="00312C5B">
        <w:rPr>
          <w:sz w:val="24"/>
        </w:rPr>
        <w:t>) LDL (</w:t>
      </w:r>
      <w:r w:rsidRPr="00312C5B">
        <w:rPr>
          <w:b/>
          <w:sz w:val="24"/>
        </w:rPr>
        <w:t>g</w:t>
      </w:r>
      <w:r w:rsidRPr="00312C5B">
        <w:rPr>
          <w:sz w:val="24"/>
        </w:rPr>
        <w:t>) TC (</w:t>
      </w:r>
      <w:r w:rsidRPr="00312C5B">
        <w:rPr>
          <w:b/>
          <w:sz w:val="24"/>
        </w:rPr>
        <w:t>h</w:t>
      </w:r>
      <w:r w:rsidRPr="00312C5B">
        <w:rPr>
          <w:sz w:val="24"/>
        </w:rPr>
        <w:t>) TG</w:t>
      </w:r>
    </w:p>
    <w:p w:rsidR="00312C5B" w:rsidRPr="00312C5B" w:rsidRDefault="00312C5B">
      <w:pPr>
        <w:widowControl/>
        <w:jc w:val="both"/>
        <w:rPr>
          <w:sz w:val="24"/>
        </w:rPr>
      </w:pPr>
      <w:r w:rsidRPr="00312C5B">
        <w:rPr>
          <w:sz w:val="24"/>
        </w:rPr>
        <w:br w:type="page"/>
      </w:r>
    </w:p>
    <w:p w:rsidR="00312C5B" w:rsidRDefault="002735C9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rPr>
          <w:noProof/>
        </w:rPr>
        <w:lastRenderedPageBreak/>
        <w:drawing>
          <wp:inline distT="0" distB="0" distL="0" distR="0">
            <wp:extent cx="5727700" cy="5734685"/>
            <wp:effectExtent l="0" t="0" r="0" b="571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f6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3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C5B" w:rsidRPr="00312C5B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b/>
          <w:sz w:val="24"/>
          <w:szCs w:val="24"/>
        </w:rPr>
      </w:pPr>
      <w:r w:rsidRPr="00312C5B">
        <w:rPr>
          <w:b/>
          <w:sz w:val="24"/>
          <w:szCs w:val="24"/>
        </w:rPr>
        <w:t xml:space="preserve">Fig S6. Clinical risk stratification using PRSs integrated with functionally annotated rare variants. </w:t>
      </w:r>
    </w:p>
    <w:p w:rsidR="008748C9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312C5B">
        <w:rPr>
          <w:sz w:val="24"/>
          <w:szCs w:val="24"/>
        </w:rPr>
        <w:t>Each violin plot shows the distribution of phenotype levels according to the direction of rare variant effects within strata of PRSs derived from common variants (MAF ≥ 1%). Panels represent individuals in the bottom 20% PRSs, entire cohort, and top 20% PRSs, respectively. Colors indicate the direction of rare variant effects: blue = protective (negative beta), green = non-carrier, and red = risk (positive beta). Dashed lines indicate group medians. (</w:t>
      </w:r>
      <w:r w:rsidRPr="00312C5B">
        <w:rPr>
          <w:b/>
          <w:sz w:val="24"/>
          <w:szCs w:val="24"/>
        </w:rPr>
        <w:t>a</w:t>
      </w:r>
      <w:r w:rsidRPr="00312C5B">
        <w:rPr>
          <w:sz w:val="24"/>
          <w:szCs w:val="24"/>
        </w:rPr>
        <w:t>) AST (</w:t>
      </w:r>
      <w:r w:rsidRPr="00312C5B">
        <w:rPr>
          <w:b/>
          <w:sz w:val="24"/>
          <w:szCs w:val="24"/>
        </w:rPr>
        <w:t>b</w:t>
      </w:r>
      <w:r w:rsidRPr="00312C5B">
        <w:rPr>
          <w:sz w:val="24"/>
          <w:szCs w:val="24"/>
        </w:rPr>
        <w:t>) FPG (</w:t>
      </w:r>
      <w:r w:rsidRPr="00312C5B">
        <w:rPr>
          <w:b/>
          <w:sz w:val="24"/>
          <w:szCs w:val="24"/>
        </w:rPr>
        <w:t>c</w:t>
      </w:r>
      <w:r w:rsidRPr="00312C5B">
        <w:rPr>
          <w:sz w:val="24"/>
          <w:szCs w:val="24"/>
        </w:rPr>
        <w:t>) GGT (</w:t>
      </w:r>
      <w:r w:rsidRPr="00312C5B">
        <w:rPr>
          <w:b/>
          <w:sz w:val="24"/>
          <w:szCs w:val="24"/>
        </w:rPr>
        <w:t>d</w:t>
      </w:r>
      <w:r w:rsidRPr="00312C5B">
        <w:rPr>
          <w:sz w:val="24"/>
          <w:szCs w:val="24"/>
        </w:rPr>
        <w:t>) HDL (</w:t>
      </w:r>
      <w:r w:rsidRPr="00312C5B">
        <w:rPr>
          <w:b/>
          <w:sz w:val="24"/>
          <w:szCs w:val="24"/>
        </w:rPr>
        <w:t>e</w:t>
      </w:r>
      <w:r w:rsidRPr="00312C5B">
        <w:rPr>
          <w:sz w:val="24"/>
          <w:szCs w:val="24"/>
        </w:rPr>
        <w:t>) LDL (</w:t>
      </w:r>
      <w:r w:rsidRPr="00312C5B">
        <w:rPr>
          <w:b/>
          <w:sz w:val="24"/>
          <w:szCs w:val="24"/>
        </w:rPr>
        <w:t>f</w:t>
      </w:r>
      <w:r w:rsidRPr="00312C5B">
        <w:rPr>
          <w:sz w:val="24"/>
          <w:szCs w:val="24"/>
        </w:rPr>
        <w:t>) TC (</w:t>
      </w:r>
      <w:r w:rsidRPr="00312C5B">
        <w:rPr>
          <w:b/>
          <w:sz w:val="24"/>
          <w:szCs w:val="24"/>
        </w:rPr>
        <w:t>g</w:t>
      </w:r>
      <w:r w:rsidRPr="00312C5B">
        <w:rPr>
          <w:sz w:val="24"/>
          <w:szCs w:val="24"/>
        </w:rPr>
        <w:t xml:space="preserve">) TG </w:t>
      </w:r>
    </w:p>
    <w:p w:rsidR="008748C9" w:rsidRDefault="008748C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748C9" w:rsidRPr="00747AC7" w:rsidRDefault="008748C9" w:rsidP="008748C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b/>
          <w:color w:val="1B1C1D"/>
        </w:rPr>
        <w:lastRenderedPageBreak/>
        <w:t xml:space="preserve">Supplementary </w:t>
      </w:r>
      <w:r>
        <w:rPr>
          <w:rFonts w:ascii="Times New Roman" w:eastAsia="맑은 고딕" w:hAnsi="Times New Roman" w:cs="Times New Roman"/>
          <w:b/>
          <w:color w:val="1B1C1D"/>
        </w:rPr>
        <w:t>T</w:t>
      </w:r>
      <w:r w:rsidRPr="00747AC7">
        <w:rPr>
          <w:rFonts w:ascii="Times New Roman" w:eastAsia="맑은 고딕" w:hAnsi="Times New Roman" w:cs="Times New Roman"/>
          <w:b/>
          <w:color w:val="1B1C1D"/>
        </w:rPr>
        <w:t>ext 1. Korea Biobank Array v2.0 Marker Selection and Validation</w:t>
      </w:r>
    </w:p>
    <w:p w:rsidR="008748C9" w:rsidRPr="00747AC7" w:rsidRDefault="008748C9" w:rsidP="008748C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color w:val="1B1C1D"/>
        </w:rPr>
        <w:t xml:space="preserve">Whole-genome sequencing (WGS) data from approximately 27,000 individuals of Korean and </w:t>
      </w:r>
      <w:r w:rsidRPr="00747AC7">
        <w:rPr>
          <w:rFonts w:ascii="Times New Roman" w:eastAsia="Google Sans Text" w:hAnsi="Times New Roman" w:cs="Times New Roman"/>
        </w:rPr>
        <w:t>EAS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ancestry were integrated to construct the Korean Biobank Array version 2.0 (KBA v2.0). This dataset included 4,129 high-depth Korean genomes, which served as the primary resource for genome-wide association study (GWAS) grid marker selection, and an additional 22,908 </w:t>
      </w:r>
      <w:r w:rsidRPr="00747AC7">
        <w:rPr>
          <w:rFonts w:ascii="Times New Roman" w:eastAsia="Google Sans Text" w:hAnsi="Times New Roman" w:cs="Times New Roman"/>
        </w:rPr>
        <w:t>EAS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individuals from five population reference databases: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gnomAD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</w:t>
      </w:r>
      <w:r w:rsidRPr="00747AC7">
        <w:rPr>
          <w:rFonts w:ascii="Times New Roman" w:eastAsia="Google Sans Text" w:hAnsi="Times New Roman" w:cs="Times New Roman"/>
        </w:rPr>
        <w:t>EAS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&lt;EndNote&gt;&lt;Cite&gt;&lt;Author&gt;Karczewski&lt;/Author&gt;&lt;Year&gt;2020&lt;/Year&gt;&lt;RecNum&gt;37&lt;/RecNum&gt;&lt;DisplayText&gt;[1]&lt;/DisplayText&gt;&lt;record&gt;&lt;rec-number&gt;37&lt;/rec-number&gt;&lt;foreign-keys&gt;&lt;key app="EN" db-id="pe0saf20pdrvxge2097vrtdy50stvwpwaexz" timestamp="1757319483"&gt;37&lt;/key&gt;&lt;/foreign-keys&gt;&lt;ref-type name="Journal Article"&gt;17&lt;/ref-type&gt;&lt;contributors&gt;&lt;authors&gt;&lt;author&gt;Karczewski, Konrad J&lt;/author&gt;&lt;author&gt;Francioli, Laurent C&lt;/author&gt;&lt;author&gt;Tiao, Grace&lt;/author&gt;&lt;author&gt;Cummings, Beryl B&lt;/author&gt;&lt;author&gt;Alföldi, Jessica&lt;/author&gt;&lt;author&gt;Wang, Qingbo&lt;/author&gt;&lt;author&gt;Collins, Ryan L&lt;/author&gt;&lt;author&gt;Laricchia, Kristen M&lt;/author&gt;&lt;author&gt;Ganna, Andrea&lt;/author&gt;&lt;author&gt;Birnbaum, Daniel P&lt;/author&gt;&lt;/authors&gt;&lt;/contributors&gt;&lt;titles&gt;&lt;title&gt;The mutational constraint spectrum quantified from variation in 141,456 humans&lt;/title&gt;&lt;secondary-title&gt;Nature&lt;/secondary-title&gt;&lt;/titles&gt;&lt;periodical&gt;&lt;full-title&gt;Nature&lt;/full-title&gt;&lt;/periodical&gt;&lt;pages&gt;434-443&lt;/pages&gt;&lt;volume&gt;581&lt;/volume&gt;&lt;number&gt;7809&lt;/number&gt;&lt;dates&gt;&lt;year&gt;2020&lt;/year&gt;&lt;/dates&gt;&lt;isbn&gt;0028-0836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, 1000 Genomes Project Phase 3 </w:t>
      </w:r>
      <w:r w:rsidRPr="00747AC7">
        <w:rPr>
          <w:rFonts w:ascii="Times New Roman" w:eastAsia="Google Sans Text" w:hAnsi="Times New Roman" w:cs="Times New Roman"/>
        </w:rPr>
        <w:t>EAS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&lt;EndNote&gt;&lt;Cite&gt;&lt;Author&gt;Consortium&lt;/Author&gt;&lt;Year&gt;2015&lt;/Year&gt;&lt;RecNum&gt;38&lt;/RecNum&gt;&lt;DisplayText&gt;[2]&lt;/DisplayText&gt;&lt;record&gt;&lt;rec-number&gt;38&lt;/rec-number&gt;&lt;foreign-keys&gt;&lt;key app="EN" db-id="pe0saf20pdrvxge2097vrtdy50stvwpwaexz" timestamp="1757319508"&gt;38&lt;/key&gt;&lt;/foreign-keys&gt;&lt;ref-type name="Journal Article"&gt;17&lt;/ref-type&gt;&lt;contributors&gt;&lt;authors&gt;&lt;author&gt;Genomes Project Consortium&lt;/author&gt;&lt;/authors&gt;&lt;/contributors&gt;&lt;titles&gt;&lt;title&gt;A global reference for human genetic variation&lt;/title&gt;&lt;secondary-title&gt;Nature&lt;/secondary-title&gt;&lt;/titles&gt;&lt;periodical&gt;&lt;full-title&gt;Nature&lt;/full-title&gt;&lt;/periodical&gt;&lt;pages&gt;68&lt;/pages&gt;&lt;volume&gt;526&lt;/volume&gt;&lt;number&gt;7571&lt;/number&gt;&lt;dates&gt;&lt;year&gt;2015&lt;/year&gt;&lt;/dates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[2]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,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TogoVar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(Japanese)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&lt;EndNote&gt;&lt;Cite&gt;&lt;Author&gt;Mitsuhashi&lt;/Author&gt;&lt;Year&gt;2022&lt;/Year&gt;&lt;RecNum&gt;39&lt;/RecNum&gt;&lt;DisplayText&gt;[3]&lt;/DisplayText&gt;&lt;record&gt;&lt;rec-number&gt;39&lt;/rec-number&gt;&lt;foreign-keys&gt;&lt;key app="EN" db-id="pe0saf20pdrvxge2097vrtdy50stvwpwaexz" timestamp="1757319519"&gt;39&lt;/key&gt;&lt;/foreign-keys&gt;&lt;ref-type name="Journal Article"&gt;17&lt;/ref-type&gt;&lt;contributors&gt;&lt;authors&gt;&lt;author&gt;Mitsuhashi, Nobutaka&lt;/author&gt;&lt;author&gt;Toyo-Oka, Licht&lt;/author&gt;&lt;author&gt;Katayama, Toshiaki&lt;/author&gt;&lt;author&gt;Kawashima, Minae&lt;/author&gt;&lt;author&gt;Kawashima, Shuichi&lt;/author&gt;&lt;author&gt;Miyazaki, Kazunori&lt;/author&gt;&lt;author&gt;Takagi, Toshihisa&lt;/author&gt;&lt;/authors&gt;&lt;/contributors&gt;&lt;titles&gt;&lt;title&gt;TogoVar: A comprehensive Japanese genetic variation database&lt;/title&gt;&lt;secondary-title&gt;Human Genome Variation&lt;/secondary-title&gt;&lt;/titles&gt;&lt;periodical&gt;&lt;full-title&gt;Human Genome Variation&lt;/full-title&gt;&lt;/periodical&gt;&lt;pages&gt;44&lt;/pages&gt;&lt;volume&gt;9&lt;/volume&gt;&lt;number&gt;1&lt;/number&gt;&lt;dates&gt;&lt;year&gt;2022&lt;/year&gt;&lt;/dates&gt;&lt;isbn&gt;2054-345X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[3]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,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GenomeAsia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100K Project (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GAsP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)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 ExcludeAuth="1"&gt;&lt;Year&gt;2019&lt;/Year&gt;&lt;RecNum&gt;44&lt;/RecNum&gt;&lt;DisplayText&gt;[4]&lt;/DisplayText&gt;&lt;record&gt;&lt;rec-number&gt;44&lt;/rec-number&gt;&lt;foreign-keys&gt;&lt;key app="EN" db-id="pe0saf20pdrvxge2097vrtdy50stvwpwaexz" timestamp="1757319785"&gt;44&lt;/key&gt;&lt;/foreign-keys&gt;&lt;ref-type name="Journal Article"&gt;17&lt;/ref-type&gt;&lt;contributors&gt;&lt;/contributors&gt;&lt;titles&gt;&lt;title&gt;The GenomeAsia 100K Project enables genetic discoveries across Asia&lt;/title&gt;&lt;secondary-title&gt;Nature&lt;/secondary-title&gt;&lt;/titles&gt;&lt;periodical&gt;&lt;full-title&gt;Nature&lt;/full-title&gt;&lt;/periodical&gt;&lt;pages&gt;106-111&lt;/pages&gt;&lt;volume&gt;576&lt;/volume&gt;&lt;number&gt;7785&lt;/number&gt;&lt;dates&gt;&lt;year&gt;2019&lt;/year&gt;&lt;/dates&gt;&lt;isbn&gt;0028-0836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[4]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, and the Korea1K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Variome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&lt;EndNote&gt;&lt;Cite&gt;&lt;Author&gt;Jeon&lt;/Author&gt;&lt;Year&gt;2020&lt;/Year&gt;&lt;RecNum&gt;45&lt;/RecNum&gt;&lt;DisplayText&gt;[5]&lt;/DisplayText&gt;&lt;record&gt;&lt;rec-number&gt;45&lt;/rec-number&gt;&lt;foreign-keys&gt;&lt;key app="EN" db-id="pe0saf20pdrvxge2097vrtdy50stvwpwaexz" timestamp="1757319812"&gt;45&lt;/key&gt;&lt;/foreign-keys&gt;&lt;ref-type name="Journal Article"&gt;17&lt;/ref-type&gt;&lt;contributors&gt;&lt;authors&gt;&lt;author&gt;Jeon, Sungwon&lt;/author&gt;&lt;author&gt;Bhak, Youngjune&lt;/author&gt;&lt;author&gt;Choi, Yeonsong&lt;/author&gt;&lt;author&gt;Jeon, Yeonsu&lt;/author&gt;&lt;author&gt;Kim, Seunghoon&lt;/author&gt;&lt;author&gt;Jang, Jaeyoung&lt;/author&gt;&lt;author&gt;Jang, Jinho&lt;/author&gt;&lt;author&gt;Blazyte, Asta&lt;/author&gt;&lt;author&gt;Kim, Changjae&lt;/author&gt;&lt;author&gt;Kim, Yeonkyung&lt;/author&gt;&lt;/authors&gt;&lt;/contributors&gt;&lt;titles&gt;&lt;title&gt;Korean Genome Project: 1094 Korean personal genomes with clinical information&lt;/title&gt;&lt;secondary-title&gt;Science advances&lt;/secondary-title&gt;&lt;/titles&gt;&lt;periodical&gt;&lt;full-title&gt;Science advances&lt;/full-title&gt;&lt;/periodical&gt;&lt;pages&gt;eaaz7835&lt;/pages&gt;&lt;volume&gt;6&lt;/volume&gt;&lt;number&gt;22&lt;/number&gt;&lt;dates&gt;&lt;year&gt;2020&lt;/year&gt;&lt;/dates&gt;&lt;isbn&gt;2375-2548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[5]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>.</w:t>
      </w:r>
    </w:p>
    <w:p w:rsidR="008748C9" w:rsidRPr="00747AC7" w:rsidRDefault="008748C9" w:rsidP="008748C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color w:val="1B1C1D"/>
        </w:rPr>
        <w:t xml:space="preserve">The high-depth Korean WGS samples were processed using DRAGEN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&lt;EndNote&gt;&lt;Cite&gt;&lt;Author&gt;Miller&lt;/Author&gt;&lt;Year&gt;2015&lt;/Year&gt;&lt;RecNum&gt;69&lt;/RecNum&gt;&lt;DisplayText&gt;[6]&lt;/DisplayText&gt;&lt;record&gt;&lt;rec-number&gt;69&lt;/rec-number&gt;&lt;foreign-keys&gt;&lt;key app="EN" db-id="pe0saf20pdrvxge2097vrtdy50stvwpwaexz" timestamp="1763106237"&gt;69&lt;/key&gt;&lt;/foreign-keys&gt;&lt;ref-type name="Journal Article"&gt;17&lt;/ref-type&gt;&lt;contributors&gt;&lt;authors&gt;&lt;author&gt;Miller, Neil A&lt;/author&gt;&lt;author&gt;Farrow, Emily G&lt;/author&gt;&lt;author&gt;Gibson, Margaret&lt;/author&gt;&lt;author&gt;Willig, Laurel K&lt;/author&gt;&lt;author&gt;Twist, Greyson&lt;/author&gt;&lt;author&gt;Yoo, Byunggil&lt;/author&gt;&lt;author&gt;Marrs, Tyler&lt;/author&gt;&lt;author&gt;Corder, Shane&lt;/author&gt;&lt;author&gt;Krivohlavek, Lisa&lt;/author&gt;&lt;author&gt;Walter, Adam&lt;/author&gt;&lt;/authors&gt;&lt;/contributors&gt;&lt;titles&gt;&lt;title&gt;A 26-hour system of highly sensitive whole genome sequencing for emergency management of genetic diseases&lt;/title&gt;&lt;secondary-title&gt;Genome medicine&lt;/secondary-title&gt;&lt;/titles&gt;&lt;periodical&gt;&lt;full-title&gt;Genome medicine&lt;/full-title&gt;&lt;/periodical&gt;&lt;pages&gt;100&lt;/pages&gt;&lt;volume&gt;7&lt;/volume&gt;&lt;number&gt;1&lt;/number&gt;&lt;dates&gt;&lt;year&gt;2015&lt;/year&gt;&lt;/dates&gt;&lt;isbn&gt;1756-994X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[6]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v3.8 multi-sample calling. After genotype calling, variant quality refinement was conducted using GATK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&lt;EndNote&gt;&lt;Cite&gt;&lt;Author&gt;McKenna&lt;/Author&gt;&lt;Year&gt;2010&lt;/Year&gt;&lt;RecNum&gt;59&lt;/RecNum&gt;&lt;DisplayText&gt;[7]&lt;/DisplayText&gt;&lt;record&gt;&lt;rec-number&gt;59&lt;/rec-number&gt;&lt;foreign-keys&gt;&lt;key app="EN" db-id="pe0saf20pdrvxge2097vrtdy50stvwpwaexz" timestamp="1763105956"&gt;59&lt;/key&gt;&lt;/foreign-keys&gt;&lt;ref-type name="Journal Article"&gt;17&lt;/ref-type&gt;&lt;contributors&gt;&lt;authors&gt;&lt;author&gt;McKenna, Aaron&lt;/author&gt;&lt;author&gt;Hanna, Matthew&lt;/author&gt;&lt;author&gt;Banks, Eric&lt;/author&gt;&lt;author&gt;Sivachenko, Andrey&lt;/author&gt;&lt;author&gt;Cibulskis, Kristian&lt;/author&gt;&lt;author&gt;Kernytsky, Andrew&lt;/author&gt;&lt;author&gt;Garimella, Kiran&lt;/author&gt;&lt;author&gt;Altshuler, David&lt;/author&gt;&lt;author&gt;Gabriel, Stacey&lt;/author&gt;&lt;author&gt;Daly, Mark&lt;/author&gt;&lt;/authors&gt;&lt;/contributors&gt;&lt;titles&gt;&lt;title&gt;The Genome Analysis Toolkit: a MapReduce framework for analyzing next-generation DNA sequencing data&lt;/title&gt;&lt;secondary-title&gt;Genome research&lt;/secondary-title&gt;&lt;/titles&gt;&lt;periodical&gt;&lt;full-title&gt;Genome research&lt;/full-title&gt;&lt;/periodical&gt;&lt;pages&gt;1297-1303&lt;/pages&gt;&lt;volume&gt;20&lt;/volume&gt;&lt;number&gt;9&lt;/number&gt;&lt;dates&gt;&lt;year&gt;2010&lt;/year&gt;&lt;/dates&gt;&lt;isbn&gt;1088-9051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[7]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Variant Quality Score Recalibration (VQSR), retaining only those variants classified as “PASS”, “VQSRTrancheSNP99.90to100.00”, or “VQSRTrancheINDEL99.90to100.00”. Sample-level quality control (QC) excluded individuals with genotype call rates below 95% and samples identified as second-degree or closer relations. Variant-level QC involved the removal of INDELs with low alternative allele counts (≤10), variants with call rate &lt;</w:t>
      </w:r>
      <w:r w:rsidR="0037712B">
        <w:rPr>
          <w:rFonts w:ascii="Times New Roman" w:eastAsia="맑은 고딕" w:hAnsi="Times New Roman" w:cs="Times New Roman" w:hint="eastAsia"/>
          <w:color w:val="1B1C1D"/>
        </w:rPr>
        <w:t xml:space="preserve"> 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95%, singleton variants (allele count </w:t>
      </w:r>
      <w:r w:rsidR="0037712B">
        <w:rPr>
          <w:rFonts w:ascii="Times New Roman" w:eastAsia="맑은 고딕" w:hAnsi="Times New Roman" w:cs="Times New Roman"/>
          <w:color w:val="1B1C1D"/>
        </w:rPr>
        <w:t>&lt;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2), variants failing Hardy–Weinberg equilibrium criteria (HWE </w:t>
      </w:r>
      <w:r w:rsidRPr="0037712B">
        <w:rPr>
          <w:rFonts w:ascii="Times New Roman" w:eastAsia="맑은 고딕" w:hAnsi="Times New Roman" w:cs="Times New Roman"/>
          <w:i/>
          <w:color w:val="1B1C1D"/>
        </w:rPr>
        <w:t>P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-value &lt; 1×10⁻⁶), and variants located in low-complexity regions defined by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RepeatMasker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annotations (UCSC Genome browser)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&lt;EndNote&gt;&lt;Cite&gt;&lt;Author&gt;Kim&lt;/Author&gt;&lt;Year&gt;2022&lt;/Year&gt;&lt;RecNum&gt;34&lt;/RecNum&gt;&lt;DisplayText&gt;[8]&lt;/DisplayText&gt;&lt;record&gt;&lt;rec-number&gt;34&lt;/rec-number&gt;&lt;foreign-keys&gt;&lt;key app="EN" db-id="pe0saf20pdrvxge2097vrtdy50stvwpwaexz" timestamp="1757316682"&gt;34&lt;/key&gt;&lt;/foreign-keys&gt;&lt;ref-type name="Journal Article"&gt;17&lt;/ref-type&gt;&lt;contributors&gt;&lt;authors&gt;&lt;author&gt;Kim, Young Jin&lt;/author&gt;&lt;author&gt;Moon, Sanghoon&lt;/author&gt;&lt;author&gt;Hwang, Mi Yeong&lt;/author&gt;&lt;author&gt;Han, Sohee&lt;/author&gt;&lt;author&gt;Jang, Hye-Mi&lt;/author&gt;&lt;author&gt;Kong, Jinhwa&lt;/author&gt;&lt;author&gt;Shin, Dong Mun&lt;/author&gt;&lt;author&gt;Yoon, Kyungheon&lt;/author&gt;&lt;author&gt;Kim, Sung Min&lt;/author&gt;&lt;author&gt;Lee, Jong-Eun&lt;/author&gt;&lt;/authors&gt;&lt;/contributors&gt;&lt;titles&gt;&lt;title&gt;The contribution of common and rare genetic variants to variation in metabolic traits in 288,137 East Asians&lt;/title&gt;&lt;secondary-title&gt;Nature communications&lt;/secondary-title&gt;&lt;/titles&gt;&lt;periodical&gt;&lt;full-title&gt;Nature communications&lt;/full-title&gt;&lt;/periodical&gt;&lt;pages&gt;6642&lt;/pages&gt;&lt;volume&gt;13&lt;/volume&gt;&lt;number&gt;1&lt;/number&gt;&lt;dates&gt;&lt;year&gt;2022&lt;/year&gt;&lt;/dates&gt;&lt;isbn&gt;2041-1723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[8]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. The resulting high-confidence Korean variant set was subsequently processed using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Thermo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Fisher’s imputation boosting algorithm to refine marker selection for optimized genome-wide imputation performance.</w:t>
      </w:r>
    </w:p>
    <w:p w:rsidR="008748C9" w:rsidRPr="00747AC7" w:rsidRDefault="008748C9" w:rsidP="008748C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color w:val="1B1C1D"/>
        </w:rPr>
        <w:t xml:space="preserve">To extend coverage to rare and functionally important variants, we incorporated whole-genome sequencing data from approximately 27,000 Korean and </w:t>
      </w:r>
      <w:r w:rsidRPr="00747AC7">
        <w:rPr>
          <w:rFonts w:ascii="Times New Roman" w:eastAsia="Google Sans Text" w:hAnsi="Times New Roman" w:cs="Times New Roman"/>
        </w:rPr>
        <w:t>EAS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individuals, yielding 39</w:t>
      </w:r>
      <w:r w:rsidR="0037712B">
        <w:rPr>
          <w:rFonts w:ascii="Times New Roman" w:eastAsia="맑은 고딕" w:hAnsi="Times New Roman" w:cs="Times New Roman"/>
          <w:color w:val="1B1C1D"/>
        </w:rPr>
        <w:t>8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million unique variants. These variants were functionally annotated using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dbNSFP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v2.9.3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&lt;EndNote&gt;&lt;Cite&gt;&lt;Author&gt;Liu&lt;/Author&gt;&lt;Year&gt;2013&lt;/Year&gt;&lt;RecNum&gt;48&lt;/RecNum&gt;&lt;DisplayText&gt;[9]&lt;/DisplayText&gt;&lt;record&gt;&lt;rec-number&gt;48&lt;/rec-number&gt;&lt;foreign-keys&gt;&lt;key app="EN" db-id="pe0saf20pdrvxge2097vrtdy50stvwpwaexz" timestamp="1757319845"&gt;48&lt;/key&gt;&lt;/foreign-keys&gt;&lt;ref-type name="Journal Article"&gt;17&lt;/ref-type&gt;&lt;contributors&gt;&lt;authors&gt;&lt;author&gt;Liu, Xiaoming&lt;/author&gt;&lt;author&gt;Jian, Xueqiu&lt;/author&gt;&lt;author&gt;Boerwinkle, Eric&lt;/author&gt;&lt;/authors&gt;&lt;/contributors&gt;&lt;titles&gt;&lt;title&gt;dbNSFP v2. 0: a database of human non‐synonymous SNVs and their functional predictions and annotations&lt;/title&gt;&lt;secondary-title&gt;Human mutation&lt;/secondary-title&gt;&lt;/titles&gt;&lt;periodical&gt;&lt;full-title&gt;Human mutation&lt;/full-title&gt;&lt;/periodical&gt;&lt;pages&gt;E2393-E2402&lt;/pages&gt;&lt;volume&gt;34&lt;/volume&gt;&lt;number&gt;9&lt;/number&gt;&lt;dates&gt;&lt;year&gt;2013&lt;/year&gt;&lt;/dates&gt;&lt;isbn&gt;1059-7794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[9]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and v4.1a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&lt;EndNote&gt;&lt;Cite&gt;&lt;Author&gt;Liu&lt;/Author&gt;&lt;Year&gt;2020&lt;/Year&gt;&lt;RecNum&gt;50&lt;/RecNum&gt;&lt;DisplayText&gt;[10]&lt;/DisplayText&gt;&lt;record&gt;&lt;rec-number&gt;50&lt;/rec-number&gt;&lt;foreign-keys&gt;&lt;key app="EN" db-id="pe0saf20pdrvxge2097vrtdy50stvwpwaexz" timestamp="1757319857"&gt;50&lt;/key&gt;&lt;/foreign-keys&gt;&lt;ref-type name="Journal Article"&gt;17&lt;/ref-type&gt;&lt;contributors&gt;&lt;authors&gt;&lt;author&gt;Liu, Xiaoming&lt;/author&gt;&lt;author&gt;Li, Chang&lt;/author&gt;&lt;author&gt;Mou, Chengcheng&lt;/author&gt;&lt;author&gt;Dong, Yibo&lt;/author&gt;&lt;author&gt;Tu, Yicheng&lt;/author&gt;&lt;/authors&gt;&lt;/contributors&gt;&lt;titles&gt;&lt;title&gt;dbNSFP v4: a comprehensive database of transcript-specific functional predictions and annotations for human nonsynonymous and splice-site SNVs&lt;/title&gt;&lt;secondary-title&gt;Genome medicine&lt;/secondary-title&gt;&lt;/titles&gt;&lt;periodical&gt;&lt;full-title&gt;Genome medicine&lt;/full-title&gt;&lt;/periodical&gt;&lt;pages&gt;103&lt;/pages&gt;&lt;volume&gt;12&lt;/volume&gt;&lt;number&gt;1&lt;/number&gt;&lt;dates&gt;&lt;year&gt;2020&lt;/year&gt;&lt;/dates&gt;&lt;isbn&gt;1756-994X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[10]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via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SnpEff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v4.3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&lt;EndNote&gt;&lt;Cite&gt;&lt;Author&gt;Cingolani&lt;/Author&gt;&lt;Year&gt;2012&lt;/Year&gt;&lt;RecNum&gt;51&lt;/RecNum&gt;&lt;DisplayText&gt;[11]&lt;/DisplayText&gt;&lt;record&gt;&lt;rec-number&gt;51&lt;/rec-number&gt;&lt;foreign-keys&gt;&lt;key app="EN" db-id="pe0saf20pdrvxge2097vrtdy50stvwpwaexz" timestamp="1757319872"&gt;51&lt;/key&gt;&lt;/foreign-keys&gt;&lt;ref-type name="Journal Article"&gt;17&lt;/ref-type&gt;&lt;contributors&gt;&lt;authors&gt;&lt;author&gt;Cingolani, Pablo&lt;/author&gt;&lt;author&gt;Platts, Adrian&lt;/author&gt;&lt;author&gt;Wang, Le Lily&lt;/author&gt;&lt;author&gt;Coon, Melissa&lt;/author&gt;&lt;author&gt;Nguyen, Tung&lt;/author&gt;&lt;author&gt;Wang, Luan&lt;/author&gt;&lt;author&gt;Land, Susan J&lt;/author&gt;&lt;author&gt;Lu, Xiangyi&lt;/author&gt;&lt;author&gt;Ruden, Douglas M&lt;/author&gt;&lt;/authors&gt;&lt;/contributors&gt;&lt;titles&gt;&lt;title&gt;A program for annotating and predicting the effects of single nucleotide polymorphisms, SnpEff: SNPs in the genome of Drosophila melanogaster strain w1118; iso-2; iso-3&lt;/title&gt;&lt;secondary-title&gt;fly&lt;/secondary-title&gt;&lt;/titles&gt;&lt;periodical&gt;&lt;full-title&gt;fly&lt;/full-title&gt;&lt;/periodical&gt;&lt;pages&gt;80-92&lt;/pages&gt;&lt;volume&gt;6&lt;/volume&gt;&lt;number&gt;2&lt;/number&gt;&lt;dates&gt;&lt;year&gt;2012&lt;/year&gt;&lt;/dates&gt;&lt;isbn&gt;1933-6934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[11]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and VEP v110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&lt;EndNote&gt;&lt;Cite&gt;&lt;Author&gt;Zhang&lt;/Author&gt;&lt;Year&gt;2024&lt;/Year&gt;&lt;RecNum&gt;52&lt;/RecNum&gt;&lt;DisplayText&gt;[12]&lt;/DisplayText&gt;&lt;record&gt;&lt;rec-number&gt;52&lt;/rec-number&gt;&lt;foreign-keys&gt;&lt;key app="EN" db-id="pe0saf20pdrvxge2097vrtdy50stvwpwaexz" timestamp="1757319886"&gt;52&lt;/key&gt;&lt;/foreign-keys&gt;&lt;ref-type name="Journal Article"&gt;17&lt;/ref-type&gt;&lt;contributors&gt;&lt;authors&gt;&lt;author&gt;Zhang, Cindy&lt;/author&gt;&lt;author&gt;Roth, Frederick P&lt;/author&gt;&lt;/authors&gt;&lt;/contributors&gt;&lt;titles&gt;&lt;title&gt;VEPerform: a web resource for evaluating the performance of variant effect predictors&lt;/title&gt;&lt;secondary-title&gt;ArXiv&lt;/secondary-title&gt;&lt;/titles&gt;&lt;periodical&gt;&lt;full-title&gt;ArXiv&lt;/full-title&gt;&lt;/periodical&gt;&lt;pages&gt;arXiv: 2412.10262 v1&lt;/pages&gt;&lt;dates&gt;&lt;year&gt;2024&lt;/year&gt;&lt;/dates&gt;&lt;urls&gt;&lt;/urls&gt;&lt;/record&gt;&lt;/Cite&gt;&lt;/EndNote&gt;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[12]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>. A schematic overview of the marker selection pipeline and reference data integration is shown in Fig. 1a. Three major categories of functional variants were prioritized for inclusion: nonsynonymous markers, loss-of-function (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LoF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) markers, and deleterious variants. Specifically, nonsynonymous and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LoF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variants were identified based on annotation terms including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stop_gained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stop_lost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splicing_acceptor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splicing_donor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‘missense,’ ‘coding,’ ‘frameshift,’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gene_fusion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‘deletion,’ ‘insertion,’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splice_region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start_lost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start_retained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>,’ and ‘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stop_retained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,’ </w:t>
      </w:r>
      <w:r w:rsidRPr="00747AC7">
        <w:rPr>
          <w:rFonts w:ascii="Times New Roman" w:eastAsia="맑은 고딕" w:hAnsi="Times New Roman" w:cs="Times New Roman"/>
          <w:color w:val="1B1C1D"/>
        </w:rPr>
        <w:lastRenderedPageBreak/>
        <w:t xml:space="preserve">as predicted by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SnpEff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and VEP. Deleterious variants were selected using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dbNSFP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-based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SnpSift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predictions, retaining those labeled as D (Damaging), P (Probably damaging), A (Affecting function), or H (High confidence deleterious).</w:t>
      </w:r>
    </w:p>
    <w:p w:rsidR="008748C9" w:rsidRPr="00747AC7" w:rsidRDefault="008748C9" w:rsidP="008748C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color w:val="1B1C1D"/>
        </w:rPr>
        <w:t xml:space="preserve">Clinical markers were included based on known associations with pathogenicity, likely pathogenicity, or drug response. These were curated using the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ClinVar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database (release 20230917)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&lt;EndNote&gt;&lt;Cite&gt;&lt;Author&gt;Landrum&lt;/Author&gt;&lt;Year&gt;2025&lt;/Year&gt;&lt;RecNum&gt;32&lt;/RecNum&gt;&lt;DisplayText&gt;[13]&lt;/DisplayText&gt;&lt;record&gt;&lt;rec-number&gt;32&lt;/rec-number&gt;&lt;foreign-keys&gt;&lt;key app="EN" db-id="pe0saf20pdrvxge2097vrtdy50stvwpwaexz" timestamp="1757316284"&gt;32&lt;/key&gt;&lt;/foreign-keys&gt;&lt;ref-type name="Journal Article"&gt;17&lt;/ref-type&gt;&lt;contributors&gt;&lt;authors&gt;&lt;author&gt;Landrum, Melissa J&lt;/author&gt;&lt;author&gt;Chitipiralla, Shanmuga&lt;/author&gt;&lt;author&gt;Kaur, Kuljeet&lt;/author&gt;&lt;author&gt;Brown, Garth&lt;/author&gt;&lt;author&gt;Chen, Chao&lt;/author&gt;&lt;author&gt;Hart, Jennifer&lt;/author&gt;&lt;author&gt;Hoffman, Douglas&lt;/author&gt;&lt;author&gt;Jang, Wonhee&lt;/author&gt;&lt;author&gt;Liu, Chunlei&lt;/author&gt;&lt;author&gt;Maddipatla, Zenith&lt;/author&gt;&lt;/authors&gt;&lt;/contributors&gt;&lt;titles&gt;&lt;title&gt;ClinVar: updates to support classifications of both germline and somatic variants&lt;/title&gt;&lt;secondary-title&gt;Nucleic Acids Research&lt;/secondary-title&gt;&lt;/titles&gt;&lt;periodical&gt;&lt;full-title&gt;Nucleic acids research&lt;/full-title&gt;&lt;/periodical&gt;&lt;pages&gt;D1313-D1321&lt;/pages&gt;&lt;volume&gt;53&lt;/volume&gt;&lt;number&gt;D1&lt;/number&gt;&lt;dates&gt;&lt;year&gt;2025&lt;/year&gt;&lt;/dates&gt;&lt;isbn&gt;0305-1048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[13]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and the LOVD v2.0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&lt;EndNote&gt;&lt;Cite&gt;&lt;Author&gt;Fokkema&lt;/Author&gt;&lt;Year&gt;2011&lt;/Year&gt;&lt;RecNum&gt;33&lt;/RecNum&gt;&lt;DisplayText&gt;[14]&lt;/DisplayText&gt;&lt;record&gt;&lt;rec-number&gt;33&lt;/rec-number&gt;&lt;foreign-keys&gt;&lt;key app="EN" db-id="pe0saf20pdrvxge2097vrtdy50stvwpwaexz" timestamp="1757316294"&gt;33&lt;/key&gt;&lt;/foreign-keys&gt;&lt;ref-type name="Journal Article"&gt;17&lt;/ref-type&gt;&lt;contributors&gt;&lt;authors&gt;&lt;author&gt;Fokkema, Ivo FAC&lt;/author&gt;&lt;author&gt;Taschner, Peter EM&lt;/author&gt;&lt;author&gt;Schaafsma, Gerard CP&lt;/author&gt;&lt;author&gt;Celli, J&lt;/author&gt;&lt;author&gt;Laros, Jeroen FJ&lt;/author&gt;&lt;author&gt;den Dunnen, Johan T&lt;/author&gt;&lt;/authors&gt;&lt;/contributors&gt;&lt;titles&gt;&lt;title&gt;LOVD v. 2.0: the next generation in gene variant databases&lt;/title&gt;&lt;secondary-title&gt;Human mutation&lt;/secondary-title&gt;&lt;/titles&gt;&lt;periodical&gt;&lt;full-title&gt;Human mutation&lt;/full-title&gt;&lt;/periodical&gt;&lt;pages&gt;557-563&lt;/pages&gt;&lt;volume&gt;32&lt;/volume&gt;&lt;number&gt;5&lt;/number&gt;&lt;dates&gt;&lt;year&gt;2011&lt;/year&gt;&lt;/dates&gt;&lt;isbn&gt;1059-7794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[14]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. Pharmacogenomic markers were also comprehensively included, focusing on variants within 73 genes recommended by the American College of Medical Genetics and Genomics (ACMG)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&lt;EndNote&gt;&lt;Cite&gt;&lt;Author&gt;Richards&lt;/Author&gt;&lt;Year&gt;2015&lt;/Year&gt;&lt;RecNum&gt;53&lt;/RecNum&gt;&lt;DisplayText&gt;[15]&lt;/DisplayText&gt;&lt;record&gt;&lt;rec-number&gt;53&lt;/rec-number&gt;&lt;foreign-keys&gt;&lt;key app="EN" db-id="pe0saf20pdrvxge2097vrtdy50stvwpwaexz" timestamp="1757320256"&gt;53&lt;/key&gt;&lt;/foreign-keys&gt;&lt;ref-type name="Journal Article"&gt;17&lt;/ref-type&gt;&lt;contributors&gt;&lt;authors&gt;&lt;author&gt;Richards, Sue&lt;/author&gt;&lt;author&gt;Aziz, Nazneen&lt;/author&gt;&lt;author&gt;Bale, Sherri&lt;/author&gt;&lt;author&gt;Bick, David&lt;/author&gt;&lt;author&gt;Das, Soma&lt;/author&gt;&lt;author&gt;Gastier-Foster, Julie&lt;/author&gt;&lt;author&gt;Grody, Wayne W&lt;/author&gt;&lt;author&gt;Hegde, Madhuri&lt;/author&gt;&lt;author&gt;Lyon, Elaine&lt;/author&gt;&lt;author&gt;Spector, Elaine&lt;/author&gt;&lt;/authors&gt;&lt;/contributors&gt;&lt;titles&gt;&lt;title&gt;Standards and guidelines for the interpretation of sequence variants: a joint consensus recommendation of the American College of Medical Genetics and Genomics and the Association for Molecular Pathology&lt;/title&gt;&lt;secondary-title&gt;Genetics in medicine&lt;/secondary-title&gt;&lt;/titles&gt;&lt;periodical&gt;&lt;full-title&gt;Genetics in Medicine&lt;/full-title&gt;&lt;/periodical&gt;&lt;pages&gt;405-423&lt;/pages&gt;&lt;volume&gt;17&lt;/volume&gt;&lt;number&gt;5&lt;/number&gt;&lt;dates&gt;&lt;year&gt;2015&lt;/year&gt;&lt;/dates&gt;&lt;isbn&gt;1530-0366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[15]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and 68 genes from the ADME (Absorption, Distribution, Metabolism, and Excretion)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&lt;EndNote&gt;&lt;Cite&gt;&lt;Author&gt;Grossman&lt;/Author&gt;&lt;Year&gt;2009&lt;/Year&gt;&lt;RecNum&gt;54&lt;/RecNum&gt;&lt;DisplayText&gt;[16]&lt;/DisplayText&gt;&lt;record&gt;&lt;rec-number&gt;54&lt;/rec-number&gt;&lt;foreign-keys&gt;&lt;key app="EN" db-id="pe0saf20pdrvxge2097vrtdy50stvwpwaexz" timestamp="1757320270"&gt;54&lt;/key&gt;&lt;/foreign-keys&gt;&lt;ref-type name="Journal Article"&gt;17&lt;/ref-type&gt;&lt;contributors&gt;&lt;authors&gt;&lt;author&gt;Grossman, Iris&lt;/author&gt;&lt;/authors&gt;&lt;/contributors&gt;&lt;titles&gt;&lt;title&gt;ADME pharmacogenetics: current practices and future outlook&lt;/title&gt;&lt;secondary-title&gt;Expert opinion on drug metabolism &amp;amp; toxicology&lt;/secondary-title&gt;&lt;/titles&gt;&lt;periodical&gt;&lt;full-title&gt;Expert opinion on drug metabolism &amp;amp; toxicology&lt;/full-title&gt;&lt;/periodical&gt;&lt;pages&gt;449-462&lt;/pages&gt;&lt;volume&gt;5&lt;/volume&gt;&lt;number&gt;5&lt;/number&gt;&lt;dates&gt;&lt;year&gt;2009&lt;/year&gt;&lt;/dates&gt;&lt;isbn&gt;1742-5255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[16]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pharmacogenetics framework (Supplementary Table 1). In addition, for HLA (human leukocyte antigen) related genetic variation, variants located in the HLA region </w:t>
      </w:r>
      <w:r w:rsidR="00FF4224">
        <w:rPr>
          <w:rFonts w:ascii="Times New Roman" w:eastAsia="맑은 고딕" w:hAnsi="Times New Roman" w:cs="Times New Roman"/>
          <w:color w:val="1B1C1D"/>
        </w:rPr>
        <w:fldChar w:fldCharType="begin"/>
      </w:r>
      <w:r w:rsidR="00FF4224">
        <w:rPr>
          <w:rFonts w:ascii="Times New Roman" w:eastAsia="맑은 고딕" w:hAnsi="Times New Roman" w:cs="Times New Roman"/>
          <w:color w:val="1B1C1D"/>
        </w:rPr>
        <w:instrText xml:space="preserve"> ADDIN EN.CITE &lt;EndNote&gt;&lt;Cite&gt;&lt;Author&gt;Barker&lt;/Author&gt;&lt;Year&gt;2023&lt;/Year&gt;&lt;RecNum&gt;56&lt;/RecNum&gt;&lt;DisplayText&gt;[17]&lt;/DisplayText&gt;&lt;record&gt;&lt;rec-number&gt;56&lt;/rec-number&gt;&lt;foreign-keys&gt;&lt;key app="EN" db-id="pe0saf20pdrvxge2097vrtdy50stvwpwaexz" timestamp="1757320472"&gt;56&lt;/key&gt;&lt;/foreign-keys&gt;&lt;ref-type name="Journal Article"&gt;17&lt;/ref-type&gt;&lt;contributors&gt;&lt;authors&gt;&lt;author&gt;Barker, Dominic J&lt;/author&gt;&lt;author&gt;Maccari, Giuseppe&lt;/author&gt;&lt;author&gt;Georgiou, Xenia&lt;/author&gt;&lt;author&gt;Cooper, Michael A&lt;/author&gt;&lt;author&gt;Flicek, Paul&lt;/author&gt;&lt;author&gt;Robinson, James&lt;/author&gt;&lt;author&gt;Marsh, Steven GE&lt;/author&gt;&lt;/authors&gt;&lt;/contributors&gt;&lt;titles&gt;&lt;title&gt;The ipd-imgt/hla database&lt;/title&gt;&lt;secondary-title&gt;Nucleic acids research&lt;/secondary-title&gt;&lt;/titles&gt;&lt;periodical&gt;&lt;full-title&gt;Nucleic acids research&lt;/full-title&gt;&lt;/periodical&gt;&lt;pages&gt;D1053-D1060&lt;/pages&gt;&lt;volume&gt;51&lt;/volume&gt;&lt;number&gt;D1&lt;/number&gt;&lt;dates&gt;&lt;year&gt;2023&lt;/year&gt;&lt;/dates&gt;&lt;isbn&gt;0305-1048&lt;/isbn&gt;&lt;urls&gt;&lt;/urls&gt;&lt;/record&gt;&lt;/Cite&gt;&lt;/EndNote&gt;</w:instrText>
      </w:r>
      <w:r w:rsidR="00FF4224">
        <w:rPr>
          <w:rFonts w:ascii="Times New Roman" w:eastAsia="맑은 고딕" w:hAnsi="Times New Roman" w:cs="Times New Roman"/>
          <w:color w:val="1B1C1D"/>
        </w:rPr>
        <w:fldChar w:fldCharType="separate"/>
      </w:r>
      <w:r w:rsidR="00FF4224">
        <w:rPr>
          <w:rFonts w:ascii="Times New Roman" w:eastAsia="맑은 고딕" w:hAnsi="Times New Roman" w:cs="Times New Roman"/>
          <w:noProof/>
          <w:color w:val="1B1C1D"/>
        </w:rPr>
        <w:t>[17]</w:t>
      </w:r>
      <w:r w:rsidR="00FF4224">
        <w:rPr>
          <w:rFonts w:ascii="Times New Roman" w:eastAsia="맑은 고딕" w:hAnsi="Times New Roman" w:cs="Times New Roman"/>
          <w:color w:val="1B1C1D"/>
        </w:rPr>
        <w:fldChar w:fldCharType="end"/>
      </w:r>
      <w:r w:rsidRPr="00747AC7">
        <w:rPr>
          <w:rFonts w:ascii="Times New Roman" w:eastAsia="맑은 고딕" w:hAnsi="Times New Roman" w:cs="Times New Roman"/>
          <w:color w:val="1B1C1D"/>
        </w:rPr>
        <w:t xml:space="preserve"> with a MAF ≥ 1% in any of the five reference databases were retained.</w:t>
      </w:r>
    </w:p>
    <w:p w:rsidR="008748C9" w:rsidRPr="00747AC7" w:rsidRDefault="008748C9" w:rsidP="008748C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color w:val="1B1C1D"/>
        </w:rPr>
        <w:t xml:space="preserve">To validate initial probe designs of the approximately 3.7 million selected variants, we used six Axiom™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myDesign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 custom genotyping arrays. A total of 480 samples with matched WGS data were genotyped using the screening arrays. After genotyping and comparison analysis with sequencing data, variants with good genotyping clusters (recommended by </w:t>
      </w:r>
      <w:proofErr w:type="spellStart"/>
      <w:r w:rsidRPr="00747AC7">
        <w:rPr>
          <w:rFonts w:ascii="Times New Roman" w:eastAsia="맑은 고딕" w:hAnsi="Times New Roman" w:cs="Times New Roman"/>
          <w:color w:val="1B1C1D"/>
        </w:rPr>
        <w:t>SNPolisher</w:t>
      </w:r>
      <w:proofErr w:type="spellEnd"/>
      <w:r w:rsidRPr="00747AC7">
        <w:rPr>
          <w:rFonts w:ascii="Times New Roman" w:eastAsia="맑은 고딕" w:hAnsi="Times New Roman" w:cs="Times New Roman"/>
          <w:color w:val="1B1C1D"/>
        </w:rPr>
        <w:t xml:space="preserve">) and high concordance with WGS ≥ 99% were regarded as validated, yielding 3.07 million variants. Among 3.07 million validated markers, 1.67 million variants were selected based on the following: functional variants MAF ≥ 0.01%, pathogenic variants, HLA regional variants MAF ≥ 1%, and the remaining capacity was filled with tagging variants to enhance imputation performance, particularly for low-frequency variants. </w:t>
      </w:r>
    </w:p>
    <w:p w:rsidR="008748C9" w:rsidRPr="00747AC7" w:rsidRDefault="008748C9" w:rsidP="008748C9">
      <w:pPr>
        <w:spacing w:line="480" w:lineRule="auto"/>
        <w:jc w:val="both"/>
        <w:rPr>
          <w:rFonts w:ascii="Times New Roman" w:eastAsia="맑은 고딕" w:hAnsi="Times New Roman" w:cs="Times New Roman"/>
          <w:color w:val="1B1C1D"/>
        </w:rPr>
      </w:pPr>
      <w:r w:rsidRPr="00747AC7">
        <w:rPr>
          <w:rFonts w:ascii="Times New Roman" w:eastAsia="맑은 고딕" w:hAnsi="Times New Roman" w:cs="Times New Roman"/>
          <w:color w:val="1B1C1D"/>
        </w:rPr>
        <w:t xml:space="preserve">This comprehensive marker selection pipeline resulted in Korean-specific genotyping array optimized for GWAS, pharmacogenomics, and precision medicine research in </w:t>
      </w:r>
      <w:r w:rsidRPr="00747AC7">
        <w:rPr>
          <w:rFonts w:ascii="Times New Roman" w:eastAsia="Google Sans Text" w:hAnsi="Times New Roman" w:cs="Times New Roman"/>
        </w:rPr>
        <w:t>EAS</w:t>
      </w:r>
      <w:r w:rsidRPr="00747AC7">
        <w:rPr>
          <w:rFonts w:ascii="Times New Roman" w:eastAsia="맑은 고딕" w:hAnsi="Times New Roman" w:cs="Times New Roman"/>
          <w:color w:val="1B1C1D"/>
        </w:rPr>
        <w:t xml:space="preserve"> populations.</w:t>
      </w:r>
    </w:p>
    <w:p w:rsidR="00312C5B" w:rsidRPr="008748C9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</w:p>
    <w:p w:rsidR="00312C5B" w:rsidRPr="00312C5B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</w:p>
    <w:p w:rsidR="00312C5B" w:rsidRPr="00312C5B" w:rsidRDefault="00312C5B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</w:p>
    <w:p w:rsidR="00FF4224" w:rsidRDefault="00FF4224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</w:p>
    <w:p w:rsidR="00FF4224" w:rsidRDefault="00FF4224">
      <w:pPr>
        <w:widowControl/>
        <w:jc w:val="both"/>
      </w:pPr>
      <w:r>
        <w:br w:type="page"/>
      </w:r>
    </w:p>
    <w:p w:rsidR="00FF4224" w:rsidRDefault="001F2775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 w:rsidRPr="00243356">
        <w:rPr>
          <w:rFonts w:ascii="Times New Roman" w:hAnsi="Times New Roman" w:cs="Times New Roman"/>
          <w:b/>
        </w:rPr>
        <w:lastRenderedPageBreak/>
        <w:t>References</w:t>
      </w:r>
      <w:bookmarkStart w:id="0" w:name="_GoBack"/>
      <w:bookmarkEnd w:id="0"/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F4224">
        <w:rPr>
          <w:noProof/>
        </w:rPr>
        <w:t>1.</w:t>
      </w:r>
      <w:r w:rsidRPr="00FF4224">
        <w:rPr>
          <w:noProof/>
        </w:rPr>
        <w:tab/>
      </w:r>
      <w:proofErr w:type="spellStart"/>
      <w:r w:rsidR="001F2775" w:rsidRPr="00243356">
        <w:rPr>
          <w:rFonts w:ascii="Times New Roman" w:eastAsia="Arial" w:hAnsi="Times New Roman" w:cs="Times New Roman"/>
        </w:rPr>
        <w:t>Karczewski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KJ, </w:t>
      </w:r>
      <w:proofErr w:type="spellStart"/>
      <w:r w:rsidR="001F2775" w:rsidRPr="00243356">
        <w:rPr>
          <w:rFonts w:ascii="Times New Roman" w:eastAsia="Arial" w:hAnsi="Times New Roman" w:cs="Times New Roman"/>
        </w:rPr>
        <w:t>Francioli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LC, </w:t>
      </w:r>
      <w:proofErr w:type="spellStart"/>
      <w:r w:rsidR="001F2775" w:rsidRPr="00243356">
        <w:rPr>
          <w:rFonts w:ascii="Times New Roman" w:eastAsia="Arial" w:hAnsi="Times New Roman" w:cs="Times New Roman"/>
        </w:rPr>
        <w:t>Tiao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G, Cummings BB, </w:t>
      </w:r>
      <w:proofErr w:type="spellStart"/>
      <w:r w:rsidR="001F2775" w:rsidRPr="00243356">
        <w:rPr>
          <w:rFonts w:ascii="Times New Roman" w:eastAsia="Arial" w:hAnsi="Times New Roman" w:cs="Times New Roman"/>
        </w:rPr>
        <w:t>Alföldi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J, Wang Q, et al. The mutational constraint spectrum quantified from variation in 141,456 humans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Nature. 2020;581:434–43. </w:t>
      </w:r>
      <w:hyperlink r:id="rId11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https://doi.org/10.1038/s41586-020-2308-7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2.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1000 Genomes Project Consortium, </w:t>
      </w:r>
      <w:proofErr w:type="spellStart"/>
      <w:r w:rsidR="001F2775" w:rsidRPr="00243356">
        <w:rPr>
          <w:rFonts w:ascii="Times New Roman" w:eastAsia="Arial" w:hAnsi="Times New Roman" w:cs="Times New Roman"/>
        </w:rPr>
        <w:t>Auton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A, Brooks LD, Durbin RM, Garrison EP, Kang HM, et al. A global reference for human genetic variation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Nature. 2015;526:68–74. </w:t>
      </w:r>
      <w:hyperlink r:id="rId12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https://doi.org/10.1038/nature15393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3.</w:t>
      </w:r>
      <w:r w:rsidRPr="00FF4224">
        <w:rPr>
          <w:noProof/>
        </w:rPr>
        <w:tab/>
      </w:r>
      <w:proofErr w:type="spellStart"/>
      <w:r w:rsidR="001F2775" w:rsidRPr="00243356">
        <w:rPr>
          <w:rFonts w:ascii="Times New Roman" w:eastAsia="Arial" w:hAnsi="Times New Roman" w:cs="Times New Roman"/>
        </w:rPr>
        <w:t>Mitsuhashi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N, Toyo-Oka L, Katayama T, Kawashima M, Kawashima S, Miyazaki K, et al. </w:t>
      </w:r>
      <w:proofErr w:type="spellStart"/>
      <w:r w:rsidR="001F2775" w:rsidRPr="00243356">
        <w:rPr>
          <w:rFonts w:ascii="Times New Roman" w:eastAsia="Arial" w:hAnsi="Times New Roman" w:cs="Times New Roman"/>
        </w:rPr>
        <w:t>TogoVar</w:t>
      </w:r>
      <w:proofErr w:type="spellEnd"/>
      <w:r w:rsidR="001F2775" w:rsidRPr="00243356">
        <w:rPr>
          <w:rFonts w:ascii="Times New Roman" w:eastAsia="Arial" w:hAnsi="Times New Roman" w:cs="Times New Roman"/>
        </w:rPr>
        <w:t>: A comprehensive Japanese genetic variation database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Hum Genome Var. 2022;9:44. </w:t>
      </w:r>
      <w:hyperlink r:id="rId13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https://doi.org/10.1038/s41439-022-00222-9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4.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GenomeAsia100K Consortium. The </w:t>
      </w:r>
      <w:proofErr w:type="spellStart"/>
      <w:r w:rsidR="001F2775" w:rsidRPr="00243356">
        <w:rPr>
          <w:rFonts w:ascii="Times New Roman" w:eastAsia="Arial" w:hAnsi="Times New Roman" w:cs="Times New Roman"/>
        </w:rPr>
        <w:t>GenomeAsia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100K Project enables genetic discoveries across Asia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Nature. 2019;576:106–11. </w:t>
      </w:r>
      <w:hyperlink r:id="rId14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https://doi.org/10.1038/s41586-019-1793-z</w:t>
        </w:r>
      </w:hyperlink>
    </w:p>
    <w:p w:rsidR="001F2775" w:rsidRDefault="00FF4224" w:rsidP="00FF4224">
      <w:pPr>
        <w:pStyle w:val="EndNoteBibliography"/>
        <w:ind w:left="720" w:hanging="720"/>
        <w:rPr>
          <w:rFonts w:ascii="Times New Roman" w:eastAsia="Arial" w:hAnsi="Times New Roman" w:cs="Times New Roman"/>
        </w:rPr>
      </w:pPr>
      <w:r w:rsidRPr="00FF4224">
        <w:rPr>
          <w:noProof/>
        </w:rPr>
        <w:t>5.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Jeon S, </w:t>
      </w:r>
      <w:proofErr w:type="spellStart"/>
      <w:r w:rsidR="001F2775" w:rsidRPr="00243356">
        <w:rPr>
          <w:rFonts w:ascii="Times New Roman" w:eastAsia="Arial" w:hAnsi="Times New Roman" w:cs="Times New Roman"/>
        </w:rPr>
        <w:t>Bhak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Y, Choi Y, Jeon Y, Kim S, Jang J, et al. Korean Genome Project: 1094 Korean personal genomes with clinical information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Sci Adv. 2020;6:eaaz7835. </w:t>
      </w:r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6.</w:t>
      </w:r>
      <w:r w:rsidRPr="00FF4224">
        <w:rPr>
          <w:noProof/>
        </w:rPr>
        <w:tab/>
        <w:t xml:space="preserve">Miller, N.A., et al., </w:t>
      </w:r>
      <w:r w:rsidRPr="00FF4224">
        <w:rPr>
          <w:i/>
          <w:noProof/>
        </w:rPr>
        <w:t>A 26-hour system of highly sensitive whole genome sequencing for emergency management of genetic diseases.</w:t>
      </w:r>
      <w:r w:rsidRPr="00FF4224">
        <w:rPr>
          <w:noProof/>
        </w:rPr>
        <w:t xml:space="preserve"> Genome medicine, 2015. </w:t>
      </w:r>
      <w:r w:rsidRPr="00FF4224">
        <w:rPr>
          <w:b/>
          <w:noProof/>
        </w:rPr>
        <w:t>7</w:t>
      </w:r>
      <w:r w:rsidRPr="00FF4224">
        <w:rPr>
          <w:noProof/>
        </w:rPr>
        <w:t>(1): p. 100.</w:t>
      </w:r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7.</w:t>
      </w:r>
      <w:r w:rsidRPr="00FF4224">
        <w:rPr>
          <w:noProof/>
        </w:rPr>
        <w:tab/>
        <w:t xml:space="preserve">McKenna, A., et al., </w:t>
      </w:r>
      <w:r w:rsidRPr="00FF4224">
        <w:rPr>
          <w:i/>
          <w:noProof/>
        </w:rPr>
        <w:t>The Genome Analysis Toolkit: a MapReduce framework for analyzing next-generation DNA sequencing data.</w:t>
      </w:r>
      <w:r w:rsidRPr="00FF4224">
        <w:rPr>
          <w:noProof/>
        </w:rPr>
        <w:t xml:space="preserve"> Genome research, 2010. </w:t>
      </w:r>
      <w:r w:rsidRPr="00FF4224">
        <w:rPr>
          <w:b/>
          <w:noProof/>
        </w:rPr>
        <w:t>20</w:t>
      </w:r>
      <w:r w:rsidRPr="00FF4224">
        <w:rPr>
          <w:noProof/>
        </w:rPr>
        <w:t>(9): p. 1297–1303.</w:t>
      </w:r>
    </w:p>
    <w:p w:rsidR="001F2775" w:rsidRPr="00243356" w:rsidRDefault="00FF4224" w:rsidP="001F2775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F4224">
        <w:rPr>
          <w:noProof/>
        </w:rPr>
        <w:t>8.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Miller NA, Farrow EG, Gibson M, </w:t>
      </w:r>
      <w:proofErr w:type="spellStart"/>
      <w:r w:rsidR="001F2775" w:rsidRPr="00243356">
        <w:rPr>
          <w:rFonts w:ascii="Times New Roman" w:eastAsia="Arial" w:hAnsi="Times New Roman" w:cs="Times New Roman"/>
        </w:rPr>
        <w:t>Willig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LK, Twist G, </w:t>
      </w:r>
      <w:proofErr w:type="spellStart"/>
      <w:r w:rsidR="001F2775" w:rsidRPr="00243356">
        <w:rPr>
          <w:rFonts w:ascii="Times New Roman" w:eastAsia="Arial" w:hAnsi="Times New Roman" w:cs="Times New Roman"/>
        </w:rPr>
        <w:t>Yoo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B, et al. A 26-hour system of highly sensitive whole genome sequencing for emergency management of genetic diseases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Genome Med. 2015;7:100. </w:t>
      </w:r>
      <w:hyperlink r:id="rId15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https://doi.org/10.1186/s13073-015-0221-8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9.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Liu X, Jian X, </w:t>
      </w:r>
      <w:proofErr w:type="spellStart"/>
      <w:r w:rsidR="001F2775" w:rsidRPr="00243356">
        <w:rPr>
          <w:rFonts w:ascii="Times New Roman" w:eastAsia="Arial" w:hAnsi="Times New Roman" w:cs="Times New Roman"/>
        </w:rPr>
        <w:t>Boerwinkle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E. </w:t>
      </w:r>
      <w:proofErr w:type="spellStart"/>
      <w:r w:rsidR="001F2775" w:rsidRPr="00243356">
        <w:rPr>
          <w:rFonts w:ascii="Times New Roman" w:eastAsia="Arial" w:hAnsi="Times New Roman" w:cs="Times New Roman"/>
          <w:i/>
        </w:rPr>
        <w:t>dbNSFP</w:t>
      </w:r>
      <w:proofErr w:type="spellEnd"/>
      <w:r w:rsidR="001F2775" w:rsidRPr="00243356">
        <w:rPr>
          <w:rFonts w:ascii="Times New Roman" w:eastAsia="Arial" w:hAnsi="Times New Roman" w:cs="Times New Roman"/>
          <w:i/>
        </w:rPr>
        <w:t xml:space="preserve"> v2.</w:t>
      </w:r>
      <w:r w:rsidR="001F2775" w:rsidRPr="00243356">
        <w:rPr>
          <w:rFonts w:ascii="Times New Roman" w:eastAsia="Arial" w:hAnsi="Times New Roman" w:cs="Times New Roman"/>
        </w:rPr>
        <w:t>0</w:t>
      </w:r>
      <w:r w:rsidR="001F2775" w:rsidRPr="00243356">
        <w:rPr>
          <w:rFonts w:ascii="Times New Roman" w:eastAsia="Arial" w:hAnsi="Times New Roman" w:cs="Times New Roman"/>
          <w:i/>
        </w:rPr>
        <w:t>: A database of human non‐synonymous SNVs and their functional predictions and annotations.</w:t>
      </w:r>
      <w:r w:rsidR="001F2775" w:rsidRPr="00243356">
        <w:rPr>
          <w:rFonts w:ascii="Times New Roman" w:eastAsia="Arial" w:hAnsi="Times New Roman" w:cs="Times New Roman"/>
        </w:rPr>
        <w:t xml:space="preserve"> Hum </w:t>
      </w:r>
      <w:proofErr w:type="spellStart"/>
      <w:r w:rsidR="001F2775" w:rsidRPr="00243356">
        <w:rPr>
          <w:rFonts w:ascii="Times New Roman" w:eastAsia="Arial" w:hAnsi="Times New Roman" w:cs="Times New Roman"/>
        </w:rPr>
        <w:t>Mutat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. 2013;34:E2393–E402. </w:t>
      </w:r>
      <w:hyperlink r:id="rId16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https://doi.org/10.1002/humu.22376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10.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Liu X, Li C, </w:t>
      </w:r>
      <w:proofErr w:type="spellStart"/>
      <w:r w:rsidR="001F2775" w:rsidRPr="00243356">
        <w:rPr>
          <w:rFonts w:ascii="Times New Roman" w:eastAsia="Arial" w:hAnsi="Times New Roman" w:cs="Times New Roman"/>
        </w:rPr>
        <w:t>Mou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C, Dong Y, Tu Y. </w:t>
      </w:r>
      <w:proofErr w:type="spellStart"/>
      <w:r w:rsidR="001F2775" w:rsidRPr="00243356">
        <w:rPr>
          <w:rFonts w:ascii="Times New Roman" w:eastAsia="Arial" w:hAnsi="Times New Roman" w:cs="Times New Roman"/>
        </w:rPr>
        <w:t>dbNSFP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v4: a comprehensive database of transcript-specific functional predictions and annotations for human nonsynonymous and splice-site SNVs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Genome Med. 2020;12:103. </w:t>
      </w:r>
      <w:hyperlink r:id="rId17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https://doi.org/10.1186/s13073-020-00803-9</w:t>
        </w:r>
      </w:hyperlink>
    </w:p>
    <w:p w:rsidR="00FF4224" w:rsidRPr="001F2775" w:rsidRDefault="00FF4224" w:rsidP="001F2775">
      <w:pPr>
        <w:pStyle w:val="EndNoteBibliography"/>
        <w:ind w:left="720" w:hanging="720"/>
        <w:rPr>
          <w:rFonts w:ascii="Times New Roman" w:hAnsi="Times New Roman" w:cs="Times New Roman" w:hint="eastAsia"/>
        </w:rPr>
      </w:pPr>
      <w:r w:rsidRPr="00FF4224">
        <w:rPr>
          <w:noProof/>
        </w:rPr>
        <w:t>11.</w:t>
      </w:r>
      <w:r w:rsidRPr="00FF4224">
        <w:rPr>
          <w:noProof/>
        </w:rPr>
        <w:tab/>
      </w:r>
      <w:proofErr w:type="spellStart"/>
      <w:r w:rsidR="001F2775" w:rsidRPr="00243356">
        <w:rPr>
          <w:rFonts w:ascii="Times New Roman" w:eastAsia="Arial" w:hAnsi="Times New Roman" w:cs="Times New Roman"/>
        </w:rPr>
        <w:t>Cingolani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P, Platts A, Wang le L, Coon M, Nguyen T, Wang L, et al. A program for annotating and predicting the effects of single nucleotide polymorphisms, </w:t>
      </w:r>
      <w:proofErr w:type="spellStart"/>
      <w:r w:rsidR="001F2775" w:rsidRPr="00243356">
        <w:rPr>
          <w:rFonts w:ascii="Times New Roman" w:eastAsia="Arial" w:hAnsi="Times New Roman" w:cs="Times New Roman"/>
        </w:rPr>
        <w:t>SnpEff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: SNPs in the genome of Drosophila melanogaster strain w1118; iso-2; iso-3. Fly (Austin). 2012;6:80–92. </w:t>
      </w:r>
      <w:hyperlink r:id="rId18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https://doi.org/10.4161/fly.19695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12.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Zhang C, Roth FP. </w:t>
      </w:r>
      <w:proofErr w:type="spellStart"/>
      <w:r w:rsidR="001F2775" w:rsidRPr="00243356">
        <w:rPr>
          <w:rFonts w:ascii="Times New Roman" w:eastAsia="Arial" w:hAnsi="Times New Roman" w:cs="Times New Roman"/>
        </w:rPr>
        <w:t>VEPerform</w:t>
      </w:r>
      <w:proofErr w:type="spellEnd"/>
      <w:r w:rsidR="001F2775" w:rsidRPr="00243356">
        <w:rPr>
          <w:rFonts w:ascii="Times New Roman" w:eastAsia="Arial" w:hAnsi="Times New Roman" w:cs="Times New Roman"/>
        </w:rPr>
        <w:t>: a web resource for evaluating the performance of variant effect predictors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</w:t>
      </w:r>
      <w:proofErr w:type="spellStart"/>
      <w:r w:rsidR="001F2775" w:rsidRPr="00243356">
        <w:rPr>
          <w:rFonts w:ascii="Times New Roman" w:eastAsia="Arial" w:hAnsi="Times New Roman" w:cs="Times New Roman"/>
        </w:rPr>
        <w:t>ArXiv</w:t>
      </w:r>
      <w:proofErr w:type="spellEnd"/>
      <w:r w:rsidR="001F2775" w:rsidRPr="00243356">
        <w:rPr>
          <w:rFonts w:ascii="Times New Roman" w:eastAsia="Arial" w:hAnsi="Times New Roman" w:cs="Times New Roman"/>
        </w:rPr>
        <w:t>. 2024: p;2412:v1</w:t>
      </w:r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13.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Landrum MJ, </w:t>
      </w:r>
      <w:proofErr w:type="spellStart"/>
      <w:r w:rsidR="001F2775" w:rsidRPr="00243356">
        <w:rPr>
          <w:rFonts w:ascii="Times New Roman" w:eastAsia="Arial" w:hAnsi="Times New Roman" w:cs="Times New Roman"/>
        </w:rPr>
        <w:t>Chitipiralla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S, Kaur K, Brown G, Chen C, Hart J, et al. </w:t>
      </w:r>
      <w:proofErr w:type="spellStart"/>
      <w:r w:rsidR="001F2775" w:rsidRPr="00243356">
        <w:rPr>
          <w:rFonts w:ascii="Times New Roman" w:eastAsia="Arial" w:hAnsi="Times New Roman" w:cs="Times New Roman"/>
        </w:rPr>
        <w:t>ClinVar</w:t>
      </w:r>
      <w:proofErr w:type="spellEnd"/>
      <w:r w:rsidR="001F2775" w:rsidRPr="00243356">
        <w:rPr>
          <w:rFonts w:ascii="Times New Roman" w:eastAsia="Arial" w:hAnsi="Times New Roman" w:cs="Times New Roman"/>
        </w:rPr>
        <w:t>: updates to support classifications of both germline and somatic variants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Nucleic Acids Res. 2025;53:D1313–D21. </w:t>
      </w:r>
      <w:hyperlink r:id="rId19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https://doi.org/10.1093/nar/gkae1090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14.</w:t>
      </w:r>
      <w:r w:rsidRPr="00FF4224">
        <w:rPr>
          <w:noProof/>
        </w:rPr>
        <w:tab/>
      </w:r>
      <w:proofErr w:type="spellStart"/>
      <w:r w:rsidR="001F2775" w:rsidRPr="00243356">
        <w:rPr>
          <w:rFonts w:ascii="Times New Roman" w:eastAsia="Arial" w:hAnsi="Times New Roman" w:cs="Times New Roman"/>
        </w:rPr>
        <w:t>Fokkema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IF, </w:t>
      </w:r>
      <w:proofErr w:type="spellStart"/>
      <w:r w:rsidR="001F2775" w:rsidRPr="00243356">
        <w:rPr>
          <w:rFonts w:ascii="Times New Roman" w:eastAsia="Arial" w:hAnsi="Times New Roman" w:cs="Times New Roman"/>
        </w:rPr>
        <w:t>Taschner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PEM, </w:t>
      </w:r>
      <w:proofErr w:type="spellStart"/>
      <w:r w:rsidR="001F2775" w:rsidRPr="00243356">
        <w:rPr>
          <w:rFonts w:ascii="Times New Roman" w:eastAsia="Arial" w:hAnsi="Times New Roman" w:cs="Times New Roman"/>
        </w:rPr>
        <w:t>Schaafsma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GCP, Celli J, </w:t>
      </w:r>
      <w:proofErr w:type="spellStart"/>
      <w:r w:rsidR="001F2775" w:rsidRPr="00243356">
        <w:rPr>
          <w:rFonts w:ascii="Times New Roman" w:eastAsia="Arial" w:hAnsi="Times New Roman" w:cs="Times New Roman"/>
        </w:rPr>
        <w:t>Laros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JFJ, den </w:t>
      </w:r>
      <w:proofErr w:type="spellStart"/>
      <w:r w:rsidR="001F2775" w:rsidRPr="00243356">
        <w:rPr>
          <w:rFonts w:ascii="Times New Roman" w:eastAsia="Arial" w:hAnsi="Times New Roman" w:cs="Times New Roman"/>
        </w:rPr>
        <w:t>Dunnen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JT. LOVD v.2.0: the next generation in gene variant databases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Hum </w:t>
      </w:r>
      <w:proofErr w:type="spellStart"/>
      <w:r w:rsidR="001F2775" w:rsidRPr="00243356">
        <w:rPr>
          <w:rFonts w:ascii="Times New Roman" w:eastAsia="Arial" w:hAnsi="Times New Roman" w:cs="Times New Roman"/>
        </w:rPr>
        <w:t>Mutat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. 2011;32:557–63. </w:t>
      </w:r>
      <w:hyperlink r:id="rId20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https://doi.org/10.1002/humu.21438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15.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Richards S, Aziz N, Bale S, Bick D, Das S, </w:t>
      </w:r>
      <w:proofErr w:type="spellStart"/>
      <w:r w:rsidR="001F2775" w:rsidRPr="00243356">
        <w:rPr>
          <w:rFonts w:ascii="Times New Roman" w:eastAsia="Arial" w:hAnsi="Times New Roman" w:cs="Times New Roman"/>
        </w:rPr>
        <w:t>Gastier</w:t>
      </w:r>
      <w:proofErr w:type="spellEnd"/>
      <w:r w:rsidR="001F2775" w:rsidRPr="00243356">
        <w:rPr>
          <w:rFonts w:ascii="Times New Roman" w:eastAsia="Arial" w:hAnsi="Times New Roman" w:cs="Times New Roman"/>
        </w:rPr>
        <w:t>-Foster J, et al. Standards and guidelines for the interpretation of sequence variants: a joint consensus recommendation of the American College of Medical Genetics and Genomics and the Association for Molecular Pathology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Genet Med. 2015;17:405–24. </w:t>
      </w:r>
      <w:hyperlink r:id="rId21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https://doi.org/10.1038/gim.2015.30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16.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>Grossman I. ADME pharmacogenetics: current practices and future outlook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Expert </w:t>
      </w:r>
      <w:proofErr w:type="spellStart"/>
      <w:r w:rsidR="001F2775" w:rsidRPr="00243356">
        <w:rPr>
          <w:rFonts w:ascii="Times New Roman" w:eastAsia="Arial" w:hAnsi="Times New Roman" w:cs="Times New Roman"/>
        </w:rPr>
        <w:t>Opin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Drug </w:t>
      </w:r>
      <w:proofErr w:type="spellStart"/>
      <w:r w:rsidR="001F2775" w:rsidRPr="00243356">
        <w:rPr>
          <w:rFonts w:ascii="Times New Roman" w:eastAsia="Arial" w:hAnsi="Times New Roman" w:cs="Times New Roman"/>
        </w:rPr>
        <w:t>Metab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</w:t>
      </w:r>
      <w:proofErr w:type="spellStart"/>
      <w:r w:rsidR="001F2775" w:rsidRPr="00243356">
        <w:rPr>
          <w:rFonts w:ascii="Times New Roman" w:eastAsia="Arial" w:hAnsi="Times New Roman" w:cs="Times New Roman"/>
        </w:rPr>
        <w:t>Toxicol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. 2009;5:449–62. </w:t>
      </w:r>
      <w:hyperlink r:id="rId22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https://doi.org/10.1517/17425250902902322</w:t>
        </w:r>
      </w:hyperlink>
    </w:p>
    <w:p w:rsidR="00FF4224" w:rsidRPr="00FF4224" w:rsidRDefault="00FF4224" w:rsidP="00FF4224">
      <w:pPr>
        <w:pStyle w:val="EndNoteBibliography"/>
        <w:ind w:left="720" w:hanging="720"/>
        <w:rPr>
          <w:noProof/>
        </w:rPr>
      </w:pPr>
      <w:r w:rsidRPr="00FF4224">
        <w:rPr>
          <w:noProof/>
        </w:rPr>
        <w:t>17.</w:t>
      </w:r>
      <w:r w:rsidRPr="00FF4224">
        <w:rPr>
          <w:noProof/>
        </w:rPr>
        <w:tab/>
      </w:r>
      <w:r w:rsidR="001F2775" w:rsidRPr="00243356">
        <w:rPr>
          <w:rFonts w:ascii="Times New Roman" w:eastAsia="Arial" w:hAnsi="Times New Roman" w:cs="Times New Roman"/>
        </w:rPr>
        <w:t xml:space="preserve">Barker DJ, </w:t>
      </w:r>
      <w:proofErr w:type="spellStart"/>
      <w:r w:rsidR="001F2775" w:rsidRPr="00243356">
        <w:rPr>
          <w:rFonts w:ascii="Times New Roman" w:eastAsia="Arial" w:hAnsi="Times New Roman" w:cs="Times New Roman"/>
        </w:rPr>
        <w:t>Maccari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G, Georgiou X, Cooper MA, </w:t>
      </w:r>
      <w:proofErr w:type="spellStart"/>
      <w:r w:rsidR="001F2775" w:rsidRPr="00243356">
        <w:rPr>
          <w:rFonts w:ascii="Times New Roman" w:eastAsia="Arial" w:hAnsi="Times New Roman" w:cs="Times New Roman"/>
        </w:rPr>
        <w:t>Flicek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P, Robinson J, et al. The </w:t>
      </w:r>
      <w:proofErr w:type="spellStart"/>
      <w:r w:rsidR="001F2775" w:rsidRPr="00243356">
        <w:rPr>
          <w:rFonts w:ascii="Times New Roman" w:eastAsia="Arial" w:hAnsi="Times New Roman" w:cs="Times New Roman"/>
        </w:rPr>
        <w:t>ipd-imgt</w:t>
      </w:r>
      <w:proofErr w:type="spellEnd"/>
      <w:r w:rsidR="001F2775" w:rsidRPr="00243356">
        <w:rPr>
          <w:rFonts w:ascii="Times New Roman" w:eastAsia="Arial" w:hAnsi="Times New Roman" w:cs="Times New Roman"/>
        </w:rPr>
        <w:t>/</w:t>
      </w:r>
      <w:proofErr w:type="spellStart"/>
      <w:r w:rsidR="001F2775" w:rsidRPr="00243356">
        <w:rPr>
          <w:rFonts w:ascii="Times New Roman" w:eastAsia="Arial" w:hAnsi="Times New Roman" w:cs="Times New Roman"/>
        </w:rPr>
        <w:t>hla</w:t>
      </w:r>
      <w:proofErr w:type="spellEnd"/>
      <w:r w:rsidR="001F2775" w:rsidRPr="00243356">
        <w:rPr>
          <w:rFonts w:ascii="Times New Roman" w:eastAsia="Arial" w:hAnsi="Times New Roman" w:cs="Times New Roman"/>
        </w:rPr>
        <w:t xml:space="preserve"> database</w:t>
      </w:r>
      <w:r w:rsidR="001F2775" w:rsidRPr="00243356">
        <w:rPr>
          <w:rFonts w:ascii="Times New Roman" w:eastAsia="Arial" w:hAnsi="Times New Roman" w:cs="Times New Roman"/>
          <w:i/>
        </w:rPr>
        <w:t>.</w:t>
      </w:r>
      <w:r w:rsidR="001F2775" w:rsidRPr="00243356">
        <w:rPr>
          <w:rFonts w:ascii="Times New Roman" w:eastAsia="Arial" w:hAnsi="Times New Roman" w:cs="Times New Roman"/>
        </w:rPr>
        <w:t xml:space="preserve"> Nucleic Acids Res. 2023;51:D1053–D60. </w:t>
      </w:r>
      <w:hyperlink r:id="rId23" w:history="1">
        <w:r w:rsidR="001F2775" w:rsidRPr="00243356">
          <w:rPr>
            <w:rStyle w:val="a3"/>
            <w:rFonts w:ascii="Times New Roman" w:eastAsia="Arial" w:hAnsi="Times New Roman" w:cs="Times New Roman"/>
          </w:rPr>
          <w:t>https://doi.org/10.1093/nar/gkac1011</w:t>
        </w:r>
      </w:hyperlink>
    </w:p>
    <w:p w:rsidR="00FF4224" w:rsidRDefault="00FF4224" w:rsidP="00312C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  <w:r>
        <w:fldChar w:fldCharType="end"/>
      </w:r>
    </w:p>
    <w:sectPr w:rsidR="00FF4224" w:rsidSect="00726876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oogle Sans Text">
    <w:altName w:val="Calibri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0saf20pdrvxge2097vrtdy50stvwpwaexz&quot;&gt;KBAv2.0_Design&lt;record-ids&gt;&lt;item&gt;32&lt;/item&gt;&lt;item&gt;33&lt;/item&gt;&lt;item&gt;34&lt;/item&gt;&lt;item&gt;37&lt;/item&gt;&lt;item&gt;38&lt;/item&gt;&lt;item&gt;39&lt;/item&gt;&lt;item&gt;44&lt;/item&gt;&lt;item&gt;45&lt;/item&gt;&lt;item&gt;48&lt;/item&gt;&lt;item&gt;50&lt;/item&gt;&lt;item&gt;51&lt;/item&gt;&lt;item&gt;52&lt;/item&gt;&lt;item&gt;53&lt;/item&gt;&lt;item&gt;54&lt;/item&gt;&lt;item&gt;56&lt;/item&gt;&lt;item&gt;59&lt;/item&gt;&lt;item&gt;69&lt;/item&gt;&lt;/record-ids&gt;&lt;/item&gt;&lt;/Libraries&gt;"/>
  </w:docVars>
  <w:rsids>
    <w:rsidRoot w:val="00EB59EF"/>
    <w:rsid w:val="00011EB1"/>
    <w:rsid w:val="000D78D9"/>
    <w:rsid w:val="001F1E30"/>
    <w:rsid w:val="001F2775"/>
    <w:rsid w:val="002735C9"/>
    <w:rsid w:val="00312C5B"/>
    <w:rsid w:val="0037712B"/>
    <w:rsid w:val="00465457"/>
    <w:rsid w:val="00726876"/>
    <w:rsid w:val="008369A2"/>
    <w:rsid w:val="008748C9"/>
    <w:rsid w:val="008E1C37"/>
    <w:rsid w:val="00EB59EF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D6133"/>
  <w15:chartTrackingRefBased/>
  <w15:docId w15:val="{74D7F663-FE22-294E-AB50-3E4B3B3E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9EF"/>
    <w:pPr>
      <w:widowControl w:val="0"/>
      <w:jc w:val="left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FF4224"/>
    <w:pPr>
      <w:jc w:val="center"/>
    </w:pPr>
  </w:style>
  <w:style w:type="character" w:customStyle="1" w:styleId="EndNoteBibliographyTitleChar">
    <w:name w:val="EndNote Bibliography Title Char"/>
    <w:basedOn w:val="a0"/>
    <w:link w:val="EndNoteBibliographyTitle"/>
    <w:rsid w:val="00FF4224"/>
    <w:rPr>
      <w:rFonts w:ascii="Arial" w:hAnsi="Arial" w:cs="Arial"/>
      <w:kern w:val="0"/>
      <w:sz w:val="22"/>
      <w:szCs w:val="22"/>
    </w:rPr>
  </w:style>
  <w:style w:type="paragraph" w:customStyle="1" w:styleId="EndNoteBibliography">
    <w:name w:val="EndNote Bibliography"/>
    <w:basedOn w:val="a"/>
    <w:link w:val="EndNoteBibliographyChar"/>
    <w:rsid w:val="00FF4224"/>
    <w:pPr>
      <w:jc w:val="both"/>
    </w:pPr>
  </w:style>
  <w:style w:type="character" w:customStyle="1" w:styleId="EndNoteBibliographyChar">
    <w:name w:val="EndNote Bibliography Char"/>
    <w:basedOn w:val="a0"/>
    <w:link w:val="EndNoteBibliography"/>
    <w:rsid w:val="00FF4224"/>
    <w:rPr>
      <w:rFonts w:ascii="Arial" w:hAnsi="Arial" w:cs="Arial"/>
      <w:kern w:val="0"/>
      <w:sz w:val="22"/>
      <w:szCs w:val="22"/>
    </w:rPr>
  </w:style>
  <w:style w:type="character" w:styleId="a3">
    <w:name w:val="Hyperlink"/>
    <w:basedOn w:val="a0"/>
    <w:uiPriority w:val="99"/>
    <w:unhideWhenUsed/>
    <w:rsid w:val="001F27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hyperlink" Target="https://doi.org/10.1038/s41439-022-00222-9" TargetMode="External"/><Relationship Id="rId18" Type="http://schemas.openxmlformats.org/officeDocument/2006/relationships/hyperlink" Target="https://doi.org/10.4161/fly.196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38/gim.2015.30" TargetMode="External"/><Relationship Id="rId7" Type="http://schemas.openxmlformats.org/officeDocument/2006/relationships/image" Target="media/image4.tiff"/><Relationship Id="rId12" Type="http://schemas.openxmlformats.org/officeDocument/2006/relationships/hyperlink" Target="https://doi.org/10.1038/nature15393" TargetMode="External"/><Relationship Id="rId17" Type="http://schemas.openxmlformats.org/officeDocument/2006/relationships/hyperlink" Target="https://doi.org/10.1186/s13073-020-00803-9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i.org/10.1002/humu.22376" TargetMode="External"/><Relationship Id="rId20" Type="http://schemas.openxmlformats.org/officeDocument/2006/relationships/hyperlink" Target="https://doi.org/10.1002/humu.21438" TargetMode="Externa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hyperlink" Target="https://doi.org/10.1038/s41586-020-2308-7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tiff"/><Relationship Id="rId15" Type="http://schemas.openxmlformats.org/officeDocument/2006/relationships/hyperlink" Target="https://doi.org/10.1186/s13073-015-0221-8" TargetMode="External"/><Relationship Id="rId23" Type="http://schemas.openxmlformats.org/officeDocument/2006/relationships/hyperlink" Target="https://doi.org/10.1093/nar/gkac1011" TargetMode="External"/><Relationship Id="rId10" Type="http://schemas.openxmlformats.org/officeDocument/2006/relationships/image" Target="media/image7.tiff"/><Relationship Id="rId19" Type="http://schemas.openxmlformats.org/officeDocument/2006/relationships/hyperlink" Target="https://doi.org/10.1093/nar/gkae1090" TargetMode="Externa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hyperlink" Target="https://doi.org/10.1038/s41586-019-1793-z" TargetMode="External"/><Relationship Id="rId22" Type="http://schemas.openxmlformats.org/officeDocument/2006/relationships/hyperlink" Target="https://doi.org/10.1517/17425250902902322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9634</Words>
  <Characters>19269</Characters>
  <Application>Microsoft Office Word</Application>
  <DocSecurity>0</DocSecurity>
  <Lines>19269</Lines>
  <Paragraphs>9634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 INHAE</dc:creator>
  <cp:keywords/>
  <dc:description/>
  <cp:lastModifiedBy>JEONG INHAE</cp:lastModifiedBy>
  <cp:revision>3</cp:revision>
  <dcterms:created xsi:type="dcterms:W3CDTF">2026-05-28T02:15:00Z</dcterms:created>
  <dcterms:modified xsi:type="dcterms:W3CDTF">2026-06-01T04:59:00Z</dcterms:modified>
</cp:coreProperties>
</file>