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984A05" w14:textId="77777777">
      <w:pPr>
        <w:spacing w:after="200"/>
        <w:jc w:val="center"/>
      </w:pPr>
      <w:r>
        <w:rPr>
          <w:b/>
          <w:bCs/>
          <w:sz w:val="28"/>
          <w:szCs w:val="28"/>
        </w:rPr>
        <w:t>Supplementary Materials</w:t>
      </w:r>
    </w:p>
    <w:p w14:paraId="1DB33CB5" w14:textId="3A363714">
      <w:pPr>
        <w:jc w:val="center"/>
        <w:rPr>
          <w:b/>
          <w:bCs/>
        </w:rPr>
        <w:sectPr>
          <w:headerReference w:type="default" r:id="rId7"/>
          <w:footerReference w:type="default" r:id="rId8"/>
          <w:pgSz w:w="12240" w:h="15840"/>
          <w:pgMar w:top="1440" w:right="1440" w:bottom="1440" w:left="1440" w:header="708" w:footer="708" w:gutter="0"/>
          <w:lnNumType w:countBy="1" w:restart="continuous"/>
          <w:cols w:space="720"/>
          <w:docGrid w:linePitch="360"/>
        </w:sectPr>
      </w:pPr>
      <w:r>
        <w:rPr>
          <w:b/>
          <w:bCs/>
        </w:rPr>
        <w:t>Academic-Media Multitasking During Schoolwork and Digital Performance: Cross-National Evidence on Associations from ICILS 2023</w:t>
      </w:r>
    </w:p>
    <w:p w14:paraId="4D7A8E5C" w14:textId="42B45C36">
      <w:pPr>
        <w:spacing w:after="80"/>
      </w:pPr>
      <w:r>
        <w:rPr>
          <w:b/>
          <w:bCs/>
        </w:rPr>
        <w:lastRenderedPageBreak/>
        <w:t>Supplementary Table S1</w:t>
      </w:r>
    </w:p>
    <w:p w14:paraId="10A19E6A" w14:textId="0D0A986C">
      <w:pPr>
        <w:spacing w:after="200" w:line="276" w:lineRule="auto"/>
        <w:rPr>
          <w:rFonts w:ascii="Cambria" w:eastAsia="MS Mincho" w:hAnsi="Cambria"/>
        </w:rPr>
      </w:pPr>
      <w:r>
        <w:rPr>
          <w:i/>
          <w:sz w:val="21"/>
        </w:rPr>
        <w:t>Weighted Pearson Intercorrelation Matrix of Study Variables</w:t>
      </w:r>
    </w:p>
    <w:tbl>
      <w:tblPr>
        <w:tblStyle w:val="TableGrid"/>
        <w:tblW w:w="0" w:type="auto"/>
        <w:tblLayout w:type="fixed"/>
        <w:tblLook w:val="04A0" w:firstRow="1" w:lastRow="0" w:firstColumn="1" w:lastColumn="0" w:noHBand="0" w:noVBand="1"/>
      </w:tblPr>
      <w:tblGrid>
        <w:gridCol w:w="3499"/>
        <w:gridCol w:w="778"/>
        <w:gridCol w:w="778"/>
        <w:gridCol w:w="778"/>
        <w:gridCol w:w="778"/>
        <w:gridCol w:w="778"/>
        <w:gridCol w:w="778"/>
        <w:gridCol w:w="778"/>
        <w:gridCol w:w="778"/>
        <w:gridCol w:w="778"/>
        <w:gridCol w:w="778"/>
        <w:gridCol w:w="778"/>
        <w:gridCol w:w="835"/>
        <w:gridCol w:w="835"/>
      </w:tblGrid>
      <w:tr w14:paraId="4C5C4752" w14:textId="77777777">
        <w:tc>
          <w:tcPr>
            <w:tcW w:w="3499" w:type="dxa"/>
          </w:tcPr>
          <w:p w14:paraId="2346F11F" w14:textId="77777777">
            <w:pPr>
              <w:jc w:val="center"/>
            </w:pPr>
            <w:r>
              <w:rPr>
                <w:b/>
                <w:sz w:val="16"/>
              </w:rPr>
              <w:t>Variable</w:t>
            </w:r>
          </w:p>
        </w:tc>
        <w:tc>
          <w:tcPr>
            <w:tcW w:w="778" w:type="dxa"/>
          </w:tcPr>
          <w:p w14:paraId="739CF6F8" w14:textId="77777777">
            <w:pPr>
              <w:jc w:val="center"/>
            </w:pPr>
            <w:r>
              <w:rPr>
                <w:b/>
                <w:sz w:val="16"/>
              </w:rPr>
              <w:t>1</w:t>
            </w:r>
          </w:p>
        </w:tc>
        <w:tc>
          <w:tcPr>
            <w:tcW w:w="778" w:type="dxa"/>
          </w:tcPr>
          <w:p w14:paraId="67BB7796" w14:textId="77777777">
            <w:pPr>
              <w:jc w:val="center"/>
            </w:pPr>
            <w:r>
              <w:rPr>
                <w:b/>
                <w:sz w:val="16"/>
              </w:rPr>
              <w:t>2</w:t>
            </w:r>
          </w:p>
        </w:tc>
        <w:tc>
          <w:tcPr>
            <w:tcW w:w="778" w:type="dxa"/>
          </w:tcPr>
          <w:p w14:paraId="1DE79A20" w14:textId="77777777">
            <w:pPr>
              <w:jc w:val="center"/>
            </w:pPr>
            <w:r>
              <w:rPr>
                <w:b/>
                <w:sz w:val="16"/>
              </w:rPr>
              <w:t>3</w:t>
            </w:r>
          </w:p>
        </w:tc>
        <w:tc>
          <w:tcPr>
            <w:tcW w:w="778" w:type="dxa"/>
          </w:tcPr>
          <w:p w14:paraId="59106EED" w14:textId="77777777">
            <w:pPr>
              <w:jc w:val="center"/>
            </w:pPr>
            <w:r>
              <w:rPr>
                <w:b/>
                <w:sz w:val="16"/>
              </w:rPr>
              <w:t>4</w:t>
            </w:r>
          </w:p>
        </w:tc>
        <w:tc>
          <w:tcPr>
            <w:tcW w:w="778" w:type="dxa"/>
          </w:tcPr>
          <w:p w14:paraId="667C67DE" w14:textId="77777777">
            <w:pPr>
              <w:jc w:val="center"/>
            </w:pPr>
            <w:r>
              <w:rPr>
                <w:b/>
                <w:sz w:val="16"/>
              </w:rPr>
              <w:t>5</w:t>
            </w:r>
          </w:p>
        </w:tc>
        <w:tc>
          <w:tcPr>
            <w:tcW w:w="778" w:type="dxa"/>
          </w:tcPr>
          <w:p w14:paraId="4DA98D75" w14:textId="77777777">
            <w:pPr>
              <w:jc w:val="center"/>
            </w:pPr>
            <w:r>
              <w:rPr>
                <w:b/>
                <w:sz w:val="16"/>
              </w:rPr>
              <w:t>6</w:t>
            </w:r>
          </w:p>
        </w:tc>
        <w:tc>
          <w:tcPr>
            <w:tcW w:w="778" w:type="dxa"/>
          </w:tcPr>
          <w:p w14:paraId="7CA4AB39" w14:textId="77777777">
            <w:pPr>
              <w:jc w:val="center"/>
            </w:pPr>
            <w:r>
              <w:rPr>
                <w:b/>
                <w:sz w:val="16"/>
              </w:rPr>
              <w:t>7</w:t>
            </w:r>
          </w:p>
        </w:tc>
        <w:tc>
          <w:tcPr>
            <w:tcW w:w="778" w:type="dxa"/>
          </w:tcPr>
          <w:p w14:paraId="5449B539" w14:textId="77777777">
            <w:pPr>
              <w:jc w:val="center"/>
            </w:pPr>
            <w:r>
              <w:rPr>
                <w:b/>
                <w:sz w:val="16"/>
              </w:rPr>
              <w:t>8</w:t>
            </w:r>
          </w:p>
        </w:tc>
        <w:tc>
          <w:tcPr>
            <w:tcW w:w="778" w:type="dxa"/>
          </w:tcPr>
          <w:p w14:paraId="2ABA2DCA" w14:textId="77777777">
            <w:pPr>
              <w:jc w:val="center"/>
            </w:pPr>
            <w:r>
              <w:rPr>
                <w:b/>
                <w:sz w:val="16"/>
              </w:rPr>
              <w:t>9</w:t>
            </w:r>
          </w:p>
        </w:tc>
        <w:tc>
          <w:tcPr>
            <w:tcW w:w="778" w:type="dxa"/>
          </w:tcPr>
          <w:p w14:paraId="437B6F4E" w14:textId="77777777">
            <w:pPr>
              <w:jc w:val="center"/>
            </w:pPr>
            <w:r>
              <w:rPr>
                <w:b/>
                <w:sz w:val="16"/>
              </w:rPr>
              <w:t>10</w:t>
            </w:r>
          </w:p>
        </w:tc>
        <w:tc>
          <w:tcPr>
            <w:tcW w:w="778" w:type="dxa"/>
          </w:tcPr>
          <w:p w14:paraId="7169E3C4" w14:textId="77777777">
            <w:pPr>
              <w:jc w:val="center"/>
            </w:pPr>
            <w:r>
              <w:rPr>
                <w:b/>
                <w:sz w:val="16"/>
              </w:rPr>
              <w:t>11</w:t>
            </w:r>
          </w:p>
        </w:tc>
        <w:tc>
          <w:tcPr>
            <w:tcW w:w="835" w:type="dxa"/>
          </w:tcPr>
          <w:p w14:paraId="0653CDA5" w14:textId="77777777">
            <w:pPr>
              <w:jc w:val="center"/>
            </w:pPr>
            <w:r>
              <w:rPr>
                <w:b/>
                <w:sz w:val="16"/>
              </w:rPr>
              <w:t>M</w:t>
            </w:r>
          </w:p>
        </w:tc>
        <w:tc>
          <w:tcPr>
            <w:tcW w:w="835" w:type="dxa"/>
          </w:tcPr>
          <w:p w14:paraId="5804D495" w14:textId="77777777">
            <w:pPr>
              <w:jc w:val="center"/>
            </w:pPr>
            <w:r>
              <w:rPr>
                <w:b/>
                <w:sz w:val="16"/>
              </w:rPr>
              <w:t>SD</w:t>
            </w:r>
          </w:p>
        </w:tc>
      </w:tr>
      <w:tr w14:paraId="713A84C5" w14:textId="77777777">
        <w:tc>
          <w:tcPr>
            <w:tcW w:w="3499" w:type="dxa"/>
          </w:tcPr>
          <w:p w14:paraId="0B2903E9" w14:textId="77777777">
            <w:r>
              <w:rPr>
                <w:sz w:val="16"/>
              </w:rPr>
              <w:t>1. S_ACMULT</w:t>
            </w:r>
          </w:p>
        </w:tc>
        <w:tc>
          <w:tcPr>
            <w:tcW w:w="778" w:type="dxa"/>
          </w:tcPr>
          <w:p w14:paraId="3F87C36F" w14:textId="77777777">
            <w:pPr>
              <w:jc w:val="center"/>
            </w:pPr>
            <w:r>
              <w:rPr>
                <w:sz w:val="16"/>
              </w:rPr>
              <w:t>—</w:t>
            </w:r>
          </w:p>
        </w:tc>
        <w:tc>
          <w:tcPr>
            <w:tcW w:w="778" w:type="dxa"/>
          </w:tcPr>
          <w:p w14:paraId="56613F3B" w14:textId="77777777">
            <w:pPr>
              <w:jc w:val="center"/>
            </w:pPr>
          </w:p>
        </w:tc>
        <w:tc>
          <w:tcPr>
            <w:tcW w:w="778" w:type="dxa"/>
          </w:tcPr>
          <w:p w14:paraId="6BC3A654" w14:textId="77777777">
            <w:pPr>
              <w:jc w:val="center"/>
            </w:pPr>
          </w:p>
        </w:tc>
        <w:tc>
          <w:tcPr>
            <w:tcW w:w="778" w:type="dxa"/>
          </w:tcPr>
          <w:p w14:paraId="4BD0D3EF" w14:textId="77777777">
            <w:pPr>
              <w:jc w:val="center"/>
            </w:pPr>
          </w:p>
        </w:tc>
        <w:tc>
          <w:tcPr>
            <w:tcW w:w="778" w:type="dxa"/>
          </w:tcPr>
          <w:p w14:paraId="255F5590" w14:textId="77777777">
            <w:pPr>
              <w:jc w:val="center"/>
            </w:pPr>
          </w:p>
        </w:tc>
        <w:tc>
          <w:tcPr>
            <w:tcW w:w="778" w:type="dxa"/>
          </w:tcPr>
          <w:p w14:paraId="556231B4" w14:textId="77777777">
            <w:pPr>
              <w:jc w:val="center"/>
            </w:pPr>
          </w:p>
        </w:tc>
        <w:tc>
          <w:tcPr>
            <w:tcW w:w="778" w:type="dxa"/>
          </w:tcPr>
          <w:p w14:paraId="3319AFAA" w14:textId="77777777">
            <w:pPr>
              <w:jc w:val="center"/>
            </w:pPr>
          </w:p>
        </w:tc>
        <w:tc>
          <w:tcPr>
            <w:tcW w:w="778" w:type="dxa"/>
          </w:tcPr>
          <w:p w14:paraId="7B74EE76" w14:textId="77777777">
            <w:pPr>
              <w:jc w:val="center"/>
            </w:pPr>
          </w:p>
        </w:tc>
        <w:tc>
          <w:tcPr>
            <w:tcW w:w="778" w:type="dxa"/>
          </w:tcPr>
          <w:p w14:paraId="4FED1FAD" w14:textId="77777777">
            <w:pPr>
              <w:jc w:val="center"/>
            </w:pPr>
          </w:p>
        </w:tc>
        <w:tc>
          <w:tcPr>
            <w:tcW w:w="778" w:type="dxa"/>
          </w:tcPr>
          <w:p w14:paraId="56E4FE99" w14:textId="77777777">
            <w:pPr>
              <w:jc w:val="center"/>
            </w:pPr>
          </w:p>
        </w:tc>
        <w:tc>
          <w:tcPr>
            <w:tcW w:w="778" w:type="dxa"/>
          </w:tcPr>
          <w:p w14:paraId="2A0809C0" w14:textId="77777777">
            <w:pPr>
              <w:jc w:val="center"/>
            </w:pPr>
          </w:p>
        </w:tc>
        <w:tc>
          <w:tcPr>
            <w:tcW w:w="835" w:type="dxa"/>
          </w:tcPr>
          <w:p w14:paraId="116AE03F" w14:textId="77777777">
            <w:pPr>
              <w:jc w:val="center"/>
            </w:pPr>
            <w:r>
              <w:rPr>
                <w:sz w:val="16"/>
              </w:rPr>
              <w:t>50.7</w:t>
            </w:r>
          </w:p>
        </w:tc>
        <w:tc>
          <w:tcPr>
            <w:tcW w:w="835" w:type="dxa"/>
          </w:tcPr>
          <w:p w14:paraId="4C298E07" w14:textId="77777777">
            <w:pPr>
              <w:jc w:val="center"/>
            </w:pPr>
            <w:r>
              <w:rPr>
                <w:sz w:val="16"/>
              </w:rPr>
              <w:t>10.4</w:t>
            </w:r>
          </w:p>
        </w:tc>
      </w:tr>
      <w:tr w14:paraId="13C32520" w14:textId="77777777">
        <w:tc>
          <w:tcPr>
            <w:tcW w:w="3499" w:type="dxa"/>
          </w:tcPr>
          <w:p w14:paraId="6D047EC9" w14:textId="77777777">
            <w:r>
              <w:rPr>
                <w:sz w:val="16"/>
              </w:rPr>
              <w:t>2. CIL</w:t>
            </w:r>
          </w:p>
        </w:tc>
        <w:tc>
          <w:tcPr>
            <w:tcW w:w="778" w:type="dxa"/>
          </w:tcPr>
          <w:p w14:paraId="6080E392" w14:textId="77777777">
            <w:pPr>
              <w:jc w:val="center"/>
            </w:pPr>
            <w:r>
              <w:rPr>
                <w:sz w:val="16"/>
              </w:rPr>
              <w:t>.02***</w:t>
            </w:r>
          </w:p>
        </w:tc>
        <w:tc>
          <w:tcPr>
            <w:tcW w:w="778" w:type="dxa"/>
          </w:tcPr>
          <w:p w14:paraId="4BA7504C" w14:textId="77777777">
            <w:pPr>
              <w:jc w:val="center"/>
            </w:pPr>
            <w:r>
              <w:rPr>
                <w:sz w:val="16"/>
              </w:rPr>
              <w:t>—</w:t>
            </w:r>
          </w:p>
        </w:tc>
        <w:tc>
          <w:tcPr>
            <w:tcW w:w="778" w:type="dxa"/>
          </w:tcPr>
          <w:p w14:paraId="6CC061E7" w14:textId="77777777">
            <w:pPr>
              <w:jc w:val="center"/>
            </w:pPr>
          </w:p>
        </w:tc>
        <w:tc>
          <w:tcPr>
            <w:tcW w:w="778" w:type="dxa"/>
          </w:tcPr>
          <w:p w14:paraId="2B78C325" w14:textId="77777777">
            <w:pPr>
              <w:jc w:val="center"/>
            </w:pPr>
          </w:p>
        </w:tc>
        <w:tc>
          <w:tcPr>
            <w:tcW w:w="778" w:type="dxa"/>
          </w:tcPr>
          <w:p w14:paraId="52E32F64" w14:textId="77777777">
            <w:pPr>
              <w:jc w:val="center"/>
            </w:pPr>
          </w:p>
        </w:tc>
        <w:tc>
          <w:tcPr>
            <w:tcW w:w="778" w:type="dxa"/>
          </w:tcPr>
          <w:p w14:paraId="709DFE12" w14:textId="77777777">
            <w:pPr>
              <w:jc w:val="center"/>
            </w:pPr>
          </w:p>
        </w:tc>
        <w:tc>
          <w:tcPr>
            <w:tcW w:w="778" w:type="dxa"/>
          </w:tcPr>
          <w:p w14:paraId="7828E435" w14:textId="77777777">
            <w:pPr>
              <w:jc w:val="center"/>
            </w:pPr>
          </w:p>
        </w:tc>
        <w:tc>
          <w:tcPr>
            <w:tcW w:w="778" w:type="dxa"/>
          </w:tcPr>
          <w:p w14:paraId="53C7C634" w14:textId="77777777">
            <w:pPr>
              <w:jc w:val="center"/>
            </w:pPr>
          </w:p>
        </w:tc>
        <w:tc>
          <w:tcPr>
            <w:tcW w:w="778" w:type="dxa"/>
          </w:tcPr>
          <w:p w14:paraId="320BA9F5" w14:textId="77777777">
            <w:pPr>
              <w:jc w:val="center"/>
            </w:pPr>
          </w:p>
        </w:tc>
        <w:tc>
          <w:tcPr>
            <w:tcW w:w="778" w:type="dxa"/>
          </w:tcPr>
          <w:p w14:paraId="0483F985" w14:textId="77777777">
            <w:pPr>
              <w:jc w:val="center"/>
            </w:pPr>
          </w:p>
        </w:tc>
        <w:tc>
          <w:tcPr>
            <w:tcW w:w="778" w:type="dxa"/>
          </w:tcPr>
          <w:p w14:paraId="56080ACD" w14:textId="77777777">
            <w:pPr>
              <w:jc w:val="center"/>
            </w:pPr>
          </w:p>
        </w:tc>
        <w:tc>
          <w:tcPr>
            <w:tcW w:w="835" w:type="dxa"/>
          </w:tcPr>
          <w:p w14:paraId="0D93501D" w14:textId="77777777">
            <w:pPr>
              <w:jc w:val="center"/>
            </w:pPr>
            <w:r>
              <w:rPr>
                <w:sz w:val="16"/>
              </w:rPr>
              <w:t>481.7</w:t>
            </w:r>
          </w:p>
        </w:tc>
        <w:tc>
          <w:tcPr>
            <w:tcW w:w="835" w:type="dxa"/>
          </w:tcPr>
          <w:p w14:paraId="677522C1" w14:textId="77777777">
            <w:pPr>
              <w:jc w:val="center"/>
            </w:pPr>
            <w:r>
              <w:rPr>
                <w:sz w:val="16"/>
              </w:rPr>
              <w:t>101.0</w:t>
            </w:r>
          </w:p>
        </w:tc>
      </w:tr>
      <w:tr w14:paraId="640E5501" w14:textId="77777777">
        <w:tc>
          <w:tcPr>
            <w:tcW w:w="3499" w:type="dxa"/>
          </w:tcPr>
          <w:p w14:paraId="4073FC64" w14:textId="77777777">
            <w:r>
              <w:rPr>
                <w:sz w:val="16"/>
              </w:rPr>
              <w:t>3. CT</w:t>
            </w:r>
          </w:p>
        </w:tc>
        <w:tc>
          <w:tcPr>
            <w:tcW w:w="778" w:type="dxa"/>
          </w:tcPr>
          <w:p w14:paraId="3CA651E9" w14:textId="77777777">
            <w:pPr>
              <w:jc w:val="center"/>
            </w:pPr>
            <w:r>
              <w:rPr>
                <w:sz w:val="16"/>
              </w:rPr>
              <w:t>-.15***</w:t>
            </w:r>
          </w:p>
        </w:tc>
        <w:tc>
          <w:tcPr>
            <w:tcW w:w="778" w:type="dxa"/>
          </w:tcPr>
          <w:p w14:paraId="53A1195B" w14:textId="77777777">
            <w:pPr>
              <w:jc w:val="center"/>
            </w:pPr>
            <w:r>
              <w:rPr>
                <w:b/>
                <w:sz w:val="16"/>
              </w:rPr>
              <w:t>.76***</w:t>
            </w:r>
          </w:p>
        </w:tc>
        <w:tc>
          <w:tcPr>
            <w:tcW w:w="778" w:type="dxa"/>
          </w:tcPr>
          <w:p w14:paraId="66569D5C" w14:textId="77777777">
            <w:pPr>
              <w:jc w:val="center"/>
            </w:pPr>
            <w:r>
              <w:rPr>
                <w:sz w:val="16"/>
              </w:rPr>
              <w:t>—</w:t>
            </w:r>
          </w:p>
        </w:tc>
        <w:tc>
          <w:tcPr>
            <w:tcW w:w="778" w:type="dxa"/>
          </w:tcPr>
          <w:p w14:paraId="23DFC271" w14:textId="77777777">
            <w:pPr>
              <w:jc w:val="center"/>
            </w:pPr>
          </w:p>
        </w:tc>
        <w:tc>
          <w:tcPr>
            <w:tcW w:w="778" w:type="dxa"/>
          </w:tcPr>
          <w:p w14:paraId="5A3331BB" w14:textId="77777777">
            <w:pPr>
              <w:jc w:val="center"/>
            </w:pPr>
          </w:p>
        </w:tc>
        <w:tc>
          <w:tcPr>
            <w:tcW w:w="778" w:type="dxa"/>
          </w:tcPr>
          <w:p w14:paraId="7907B41D" w14:textId="77777777">
            <w:pPr>
              <w:jc w:val="center"/>
            </w:pPr>
          </w:p>
        </w:tc>
        <w:tc>
          <w:tcPr>
            <w:tcW w:w="778" w:type="dxa"/>
          </w:tcPr>
          <w:p w14:paraId="3795ACEE" w14:textId="77777777">
            <w:pPr>
              <w:jc w:val="center"/>
            </w:pPr>
          </w:p>
        </w:tc>
        <w:tc>
          <w:tcPr>
            <w:tcW w:w="778" w:type="dxa"/>
          </w:tcPr>
          <w:p w14:paraId="0417EBA0" w14:textId="77777777">
            <w:pPr>
              <w:jc w:val="center"/>
            </w:pPr>
          </w:p>
        </w:tc>
        <w:tc>
          <w:tcPr>
            <w:tcW w:w="778" w:type="dxa"/>
          </w:tcPr>
          <w:p w14:paraId="24B6FF57" w14:textId="77777777">
            <w:pPr>
              <w:jc w:val="center"/>
            </w:pPr>
          </w:p>
        </w:tc>
        <w:tc>
          <w:tcPr>
            <w:tcW w:w="778" w:type="dxa"/>
          </w:tcPr>
          <w:p w14:paraId="1B6E7883" w14:textId="77777777">
            <w:pPr>
              <w:jc w:val="center"/>
            </w:pPr>
          </w:p>
        </w:tc>
        <w:tc>
          <w:tcPr>
            <w:tcW w:w="778" w:type="dxa"/>
          </w:tcPr>
          <w:p w14:paraId="7811ED23" w14:textId="77777777">
            <w:pPr>
              <w:jc w:val="center"/>
            </w:pPr>
          </w:p>
        </w:tc>
        <w:tc>
          <w:tcPr>
            <w:tcW w:w="835" w:type="dxa"/>
          </w:tcPr>
          <w:p w14:paraId="62C356B7" w14:textId="77777777">
            <w:pPr>
              <w:jc w:val="center"/>
            </w:pPr>
            <w:r>
              <w:rPr>
                <w:sz w:val="16"/>
              </w:rPr>
              <w:t>477.2</w:t>
            </w:r>
          </w:p>
        </w:tc>
        <w:tc>
          <w:tcPr>
            <w:tcW w:w="835" w:type="dxa"/>
          </w:tcPr>
          <w:p w14:paraId="7AE2A62F" w14:textId="77777777">
            <w:pPr>
              <w:jc w:val="center"/>
            </w:pPr>
            <w:r>
              <w:rPr>
                <w:sz w:val="16"/>
              </w:rPr>
              <w:t>118.9</w:t>
            </w:r>
          </w:p>
        </w:tc>
      </w:tr>
      <w:tr w14:paraId="45C314C6" w14:textId="77777777">
        <w:tc>
          <w:tcPr>
            <w:tcW w:w="3499" w:type="dxa"/>
          </w:tcPr>
          <w:p w14:paraId="14DFF1D7" w14:textId="77777777">
            <w:r>
              <w:rPr>
                <w:sz w:val="16"/>
              </w:rPr>
              <w:t>4. Computer experience</w:t>
            </w:r>
          </w:p>
        </w:tc>
        <w:tc>
          <w:tcPr>
            <w:tcW w:w="778" w:type="dxa"/>
          </w:tcPr>
          <w:p w14:paraId="6E4D7CDA" w14:textId="77777777">
            <w:pPr>
              <w:jc w:val="center"/>
            </w:pPr>
            <w:r>
              <w:rPr>
                <w:sz w:val="16"/>
              </w:rPr>
              <w:t>.15***</w:t>
            </w:r>
          </w:p>
        </w:tc>
        <w:tc>
          <w:tcPr>
            <w:tcW w:w="778" w:type="dxa"/>
          </w:tcPr>
          <w:p w14:paraId="2DBB966E" w14:textId="77777777">
            <w:pPr>
              <w:jc w:val="center"/>
            </w:pPr>
            <w:r>
              <w:rPr>
                <w:sz w:val="16"/>
              </w:rPr>
              <w:t>.20***</w:t>
            </w:r>
          </w:p>
        </w:tc>
        <w:tc>
          <w:tcPr>
            <w:tcW w:w="778" w:type="dxa"/>
          </w:tcPr>
          <w:p w14:paraId="1086CEB5" w14:textId="77777777">
            <w:pPr>
              <w:jc w:val="center"/>
            </w:pPr>
            <w:r>
              <w:rPr>
                <w:sz w:val="16"/>
              </w:rPr>
              <w:t>.10***</w:t>
            </w:r>
          </w:p>
        </w:tc>
        <w:tc>
          <w:tcPr>
            <w:tcW w:w="778" w:type="dxa"/>
          </w:tcPr>
          <w:p w14:paraId="1EB4B9F1" w14:textId="77777777">
            <w:pPr>
              <w:jc w:val="center"/>
            </w:pPr>
            <w:r>
              <w:rPr>
                <w:sz w:val="16"/>
              </w:rPr>
              <w:t>—</w:t>
            </w:r>
          </w:p>
        </w:tc>
        <w:tc>
          <w:tcPr>
            <w:tcW w:w="778" w:type="dxa"/>
          </w:tcPr>
          <w:p w14:paraId="164E1145" w14:textId="77777777">
            <w:pPr>
              <w:jc w:val="center"/>
            </w:pPr>
          </w:p>
        </w:tc>
        <w:tc>
          <w:tcPr>
            <w:tcW w:w="778" w:type="dxa"/>
          </w:tcPr>
          <w:p w14:paraId="4BF938D1" w14:textId="77777777">
            <w:pPr>
              <w:jc w:val="center"/>
            </w:pPr>
          </w:p>
        </w:tc>
        <w:tc>
          <w:tcPr>
            <w:tcW w:w="778" w:type="dxa"/>
          </w:tcPr>
          <w:p w14:paraId="33057EF8" w14:textId="77777777">
            <w:pPr>
              <w:jc w:val="center"/>
            </w:pPr>
          </w:p>
        </w:tc>
        <w:tc>
          <w:tcPr>
            <w:tcW w:w="778" w:type="dxa"/>
          </w:tcPr>
          <w:p w14:paraId="74E4D026" w14:textId="77777777">
            <w:pPr>
              <w:jc w:val="center"/>
            </w:pPr>
          </w:p>
        </w:tc>
        <w:tc>
          <w:tcPr>
            <w:tcW w:w="778" w:type="dxa"/>
          </w:tcPr>
          <w:p w14:paraId="09123CC4" w14:textId="77777777">
            <w:pPr>
              <w:jc w:val="center"/>
            </w:pPr>
          </w:p>
        </w:tc>
        <w:tc>
          <w:tcPr>
            <w:tcW w:w="778" w:type="dxa"/>
          </w:tcPr>
          <w:p w14:paraId="1BB1E187" w14:textId="77777777">
            <w:pPr>
              <w:jc w:val="center"/>
            </w:pPr>
          </w:p>
        </w:tc>
        <w:tc>
          <w:tcPr>
            <w:tcW w:w="778" w:type="dxa"/>
          </w:tcPr>
          <w:p w14:paraId="1225C5F9" w14:textId="77777777">
            <w:pPr>
              <w:jc w:val="center"/>
            </w:pPr>
          </w:p>
        </w:tc>
        <w:tc>
          <w:tcPr>
            <w:tcW w:w="835" w:type="dxa"/>
          </w:tcPr>
          <w:p w14:paraId="4E289156" w14:textId="77777777">
            <w:pPr>
              <w:jc w:val="center"/>
            </w:pPr>
            <w:r>
              <w:rPr>
                <w:sz w:val="16"/>
              </w:rPr>
              <w:t>2.5</w:t>
            </w:r>
          </w:p>
        </w:tc>
        <w:tc>
          <w:tcPr>
            <w:tcW w:w="835" w:type="dxa"/>
          </w:tcPr>
          <w:p w14:paraId="055C6CB5" w14:textId="77777777">
            <w:pPr>
              <w:jc w:val="center"/>
            </w:pPr>
            <w:r>
              <w:rPr>
                <w:sz w:val="16"/>
              </w:rPr>
              <w:t>1.3</w:t>
            </w:r>
          </w:p>
        </w:tc>
      </w:tr>
      <w:tr w14:paraId="1CBB23BE" w14:textId="77777777">
        <w:tc>
          <w:tcPr>
            <w:tcW w:w="3499" w:type="dxa"/>
          </w:tcPr>
          <w:p w14:paraId="6800D288" w14:textId="77777777">
            <w:r>
              <w:rPr>
                <w:sz w:val="16"/>
              </w:rPr>
              <w:t>5. Safe-ICT instruction</w:t>
            </w:r>
          </w:p>
        </w:tc>
        <w:tc>
          <w:tcPr>
            <w:tcW w:w="778" w:type="dxa"/>
          </w:tcPr>
          <w:p w14:paraId="0299AD1C" w14:textId="77777777">
            <w:pPr>
              <w:jc w:val="center"/>
            </w:pPr>
            <w:r>
              <w:rPr>
                <w:sz w:val="16"/>
              </w:rPr>
              <w:t>.06***</w:t>
            </w:r>
          </w:p>
        </w:tc>
        <w:tc>
          <w:tcPr>
            <w:tcW w:w="778" w:type="dxa"/>
          </w:tcPr>
          <w:p w14:paraId="5C92CEC1" w14:textId="77777777">
            <w:pPr>
              <w:jc w:val="center"/>
            </w:pPr>
            <w:r>
              <w:rPr>
                <w:sz w:val="16"/>
              </w:rPr>
              <w:t>.06***</w:t>
            </w:r>
          </w:p>
        </w:tc>
        <w:tc>
          <w:tcPr>
            <w:tcW w:w="778" w:type="dxa"/>
          </w:tcPr>
          <w:p w14:paraId="0712BC2D" w14:textId="77777777">
            <w:pPr>
              <w:jc w:val="center"/>
            </w:pPr>
            <w:r>
              <w:rPr>
                <w:sz w:val="16"/>
              </w:rPr>
              <w:t>.03***</w:t>
            </w:r>
          </w:p>
        </w:tc>
        <w:tc>
          <w:tcPr>
            <w:tcW w:w="778" w:type="dxa"/>
          </w:tcPr>
          <w:p w14:paraId="74C9D0B4" w14:textId="77777777">
            <w:pPr>
              <w:jc w:val="center"/>
            </w:pPr>
            <w:r>
              <w:rPr>
                <w:sz w:val="16"/>
              </w:rPr>
              <w:t>.04***</w:t>
            </w:r>
          </w:p>
        </w:tc>
        <w:tc>
          <w:tcPr>
            <w:tcW w:w="778" w:type="dxa"/>
          </w:tcPr>
          <w:p w14:paraId="7D5878BB" w14:textId="77777777">
            <w:pPr>
              <w:jc w:val="center"/>
            </w:pPr>
            <w:r>
              <w:rPr>
                <w:sz w:val="16"/>
              </w:rPr>
              <w:t>—</w:t>
            </w:r>
          </w:p>
        </w:tc>
        <w:tc>
          <w:tcPr>
            <w:tcW w:w="778" w:type="dxa"/>
          </w:tcPr>
          <w:p w14:paraId="461C9AFD" w14:textId="77777777">
            <w:pPr>
              <w:jc w:val="center"/>
            </w:pPr>
          </w:p>
        </w:tc>
        <w:tc>
          <w:tcPr>
            <w:tcW w:w="778" w:type="dxa"/>
          </w:tcPr>
          <w:p w14:paraId="5272BBE4" w14:textId="77777777">
            <w:pPr>
              <w:jc w:val="center"/>
            </w:pPr>
          </w:p>
        </w:tc>
        <w:tc>
          <w:tcPr>
            <w:tcW w:w="778" w:type="dxa"/>
          </w:tcPr>
          <w:p w14:paraId="169F0DD2" w14:textId="77777777">
            <w:pPr>
              <w:jc w:val="center"/>
            </w:pPr>
          </w:p>
        </w:tc>
        <w:tc>
          <w:tcPr>
            <w:tcW w:w="778" w:type="dxa"/>
          </w:tcPr>
          <w:p w14:paraId="6EE1EBA8" w14:textId="77777777">
            <w:pPr>
              <w:jc w:val="center"/>
            </w:pPr>
          </w:p>
        </w:tc>
        <w:tc>
          <w:tcPr>
            <w:tcW w:w="778" w:type="dxa"/>
          </w:tcPr>
          <w:p w14:paraId="6C1A78FA" w14:textId="77777777">
            <w:pPr>
              <w:jc w:val="center"/>
            </w:pPr>
          </w:p>
        </w:tc>
        <w:tc>
          <w:tcPr>
            <w:tcW w:w="778" w:type="dxa"/>
          </w:tcPr>
          <w:p w14:paraId="4E9FECB4" w14:textId="77777777">
            <w:pPr>
              <w:jc w:val="center"/>
            </w:pPr>
          </w:p>
        </w:tc>
        <w:tc>
          <w:tcPr>
            <w:tcW w:w="835" w:type="dxa"/>
          </w:tcPr>
          <w:p w14:paraId="6848A628" w14:textId="77777777">
            <w:pPr>
              <w:jc w:val="center"/>
            </w:pPr>
            <w:r>
              <w:rPr>
                <w:sz w:val="16"/>
              </w:rPr>
              <w:t>50.6</w:t>
            </w:r>
          </w:p>
        </w:tc>
        <w:tc>
          <w:tcPr>
            <w:tcW w:w="835" w:type="dxa"/>
          </w:tcPr>
          <w:p w14:paraId="461B3488" w14:textId="77777777">
            <w:pPr>
              <w:jc w:val="center"/>
            </w:pPr>
            <w:r>
              <w:rPr>
                <w:sz w:val="16"/>
              </w:rPr>
              <w:t>10.0</w:t>
            </w:r>
          </w:p>
        </w:tc>
      </w:tr>
      <w:tr w14:paraId="1F42EC0D" w14:textId="77777777">
        <w:tc>
          <w:tcPr>
            <w:tcW w:w="3499" w:type="dxa"/>
          </w:tcPr>
          <w:p w14:paraId="5256FDCC" w14:textId="77777777">
            <w:r>
              <w:rPr>
                <w:sz w:val="16"/>
              </w:rPr>
              <w:t>6. A. Text chat</w:t>
            </w:r>
          </w:p>
        </w:tc>
        <w:tc>
          <w:tcPr>
            <w:tcW w:w="778" w:type="dxa"/>
          </w:tcPr>
          <w:p w14:paraId="6E5369C7" w14:textId="77777777">
            <w:pPr>
              <w:jc w:val="center"/>
            </w:pPr>
            <w:r>
              <w:rPr>
                <w:b/>
                <w:sz w:val="16"/>
              </w:rPr>
              <w:t>.72***</w:t>
            </w:r>
          </w:p>
        </w:tc>
        <w:tc>
          <w:tcPr>
            <w:tcW w:w="778" w:type="dxa"/>
          </w:tcPr>
          <w:p w14:paraId="110DDC00" w14:textId="77777777">
            <w:pPr>
              <w:jc w:val="center"/>
            </w:pPr>
            <w:r>
              <w:rPr>
                <w:sz w:val="16"/>
              </w:rPr>
              <w:t>.10***</w:t>
            </w:r>
          </w:p>
        </w:tc>
        <w:tc>
          <w:tcPr>
            <w:tcW w:w="778" w:type="dxa"/>
          </w:tcPr>
          <w:p w14:paraId="5BBDA445" w14:textId="77777777">
            <w:pPr>
              <w:jc w:val="center"/>
            </w:pPr>
            <w:r>
              <w:rPr>
                <w:sz w:val="16"/>
              </w:rPr>
              <w:t>-.07***</w:t>
            </w:r>
          </w:p>
        </w:tc>
        <w:tc>
          <w:tcPr>
            <w:tcW w:w="778" w:type="dxa"/>
          </w:tcPr>
          <w:p w14:paraId="1553D4B8" w14:textId="77777777">
            <w:pPr>
              <w:jc w:val="center"/>
            </w:pPr>
            <w:r>
              <w:rPr>
                <w:sz w:val="16"/>
              </w:rPr>
              <w:t>.12***</w:t>
            </w:r>
          </w:p>
        </w:tc>
        <w:tc>
          <w:tcPr>
            <w:tcW w:w="778" w:type="dxa"/>
          </w:tcPr>
          <w:p w14:paraId="4C144EAA" w14:textId="77777777">
            <w:pPr>
              <w:jc w:val="center"/>
            </w:pPr>
            <w:r>
              <w:rPr>
                <w:sz w:val="16"/>
              </w:rPr>
              <w:t>.03***</w:t>
            </w:r>
          </w:p>
        </w:tc>
        <w:tc>
          <w:tcPr>
            <w:tcW w:w="778" w:type="dxa"/>
          </w:tcPr>
          <w:p w14:paraId="421AB5F6" w14:textId="77777777">
            <w:pPr>
              <w:jc w:val="center"/>
            </w:pPr>
            <w:r>
              <w:rPr>
                <w:sz w:val="16"/>
              </w:rPr>
              <w:t>—</w:t>
            </w:r>
          </w:p>
        </w:tc>
        <w:tc>
          <w:tcPr>
            <w:tcW w:w="778" w:type="dxa"/>
          </w:tcPr>
          <w:p w14:paraId="15C36EEB" w14:textId="77777777">
            <w:pPr>
              <w:jc w:val="center"/>
            </w:pPr>
          </w:p>
        </w:tc>
        <w:tc>
          <w:tcPr>
            <w:tcW w:w="778" w:type="dxa"/>
          </w:tcPr>
          <w:p w14:paraId="0582EAF7" w14:textId="77777777">
            <w:pPr>
              <w:jc w:val="center"/>
            </w:pPr>
          </w:p>
        </w:tc>
        <w:tc>
          <w:tcPr>
            <w:tcW w:w="778" w:type="dxa"/>
          </w:tcPr>
          <w:p w14:paraId="0A7CC50C" w14:textId="77777777">
            <w:pPr>
              <w:jc w:val="center"/>
            </w:pPr>
          </w:p>
        </w:tc>
        <w:tc>
          <w:tcPr>
            <w:tcW w:w="778" w:type="dxa"/>
          </w:tcPr>
          <w:p w14:paraId="6FA0237D" w14:textId="77777777">
            <w:pPr>
              <w:jc w:val="center"/>
            </w:pPr>
          </w:p>
        </w:tc>
        <w:tc>
          <w:tcPr>
            <w:tcW w:w="778" w:type="dxa"/>
          </w:tcPr>
          <w:p w14:paraId="6D7E7336" w14:textId="77777777">
            <w:pPr>
              <w:jc w:val="center"/>
            </w:pPr>
          </w:p>
        </w:tc>
        <w:tc>
          <w:tcPr>
            <w:tcW w:w="835" w:type="dxa"/>
          </w:tcPr>
          <w:p w14:paraId="2716C1C0" w14:textId="77777777">
            <w:pPr>
              <w:jc w:val="center"/>
            </w:pPr>
            <w:r>
              <w:rPr>
                <w:sz w:val="16"/>
              </w:rPr>
              <w:t>3.9</w:t>
            </w:r>
          </w:p>
        </w:tc>
        <w:tc>
          <w:tcPr>
            <w:tcW w:w="835" w:type="dxa"/>
          </w:tcPr>
          <w:p w14:paraId="2F13A237" w14:textId="77777777">
            <w:pPr>
              <w:jc w:val="center"/>
            </w:pPr>
            <w:r>
              <w:rPr>
                <w:sz w:val="16"/>
              </w:rPr>
              <w:t>1.2</w:t>
            </w:r>
          </w:p>
        </w:tc>
      </w:tr>
      <w:tr w14:paraId="42DAA809" w14:textId="77777777">
        <w:tc>
          <w:tcPr>
            <w:tcW w:w="3499" w:type="dxa"/>
          </w:tcPr>
          <w:p w14:paraId="656680EB" w14:textId="77777777">
            <w:r>
              <w:rPr>
                <w:sz w:val="16"/>
              </w:rPr>
              <w:t>7. B. Social media use/post</w:t>
            </w:r>
          </w:p>
        </w:tc>
        <w:tc>
          <w:tcPr>
            <w:tcW w:w="778" w:type="dxa"/>
          </w:tcPr>
          <w:p w14:paraId="286C9B2D" w14:textId="77777777">
            <w:pPr>
              <w:jc w:val="center"/>
            </w:pPr>
            <w:r>
              <w:rPr>
                <w:b/>
                <w:sz w:val="16"/>
              </w:rPr>
              <w:t>.74***</w:t>
            </w:r>
          </w:p>
        </w:tc>
        <w:tc>
          <w:tcPr>
            <w:tcW w:w="778" w:type="dxa"/>
          </w:tcPr>
          <w:p w14:paraId="6989E516" w14:textId="77777777">
            <w:pPr>
              <w:jc w:val="center"/>
            </w:pPr>
            <w:r>
              <w:rPr>
                <w:sz w:val="16"/>
              </w:rPr>
              <w:t>-.02***</w:t>
            </w:r>
          </w:p>
        </w:tc>
        <w:tc>
          <w:tcPr>
            <w:tcW w:w="778" w:type="dxa"/>
          </w:tcPr>
          <w:p w14:paraId="6A2671BA" w14:textId="77777777">
            <w:pPr>
              <w:jc w:val="center"/>
            </w:pPr>
            <w:r>
              <w:rPr>
                <w:sz w:val="16"/>
              </w:rPr>
              <w:t>-.18***</w:t>
            </w:r>
          </w:p>
        </w:tc>
        <w:tc>
          <w:tcPr>
            <w:tcW w:w="778" w:type="dxa"/>
          </w:tcPr>
          <w:p w14:paraId="5FE5EC9F" w14:textId="77777777">
            <w:pPr>
              <w:jc w:val="center"/>
            </w:pPr>
            <w:r>
              <w:rPr>
                <w:sz w:val="16"/>
              </w:rPr>
              <w:t>.09***</w:t>
            </w:r>
          </w:p>
        </w:tc>
        <w:tc>
          <w:tcPr>
            <w:tcW w:w="778" w:type="dxa"/>
          </w:tcPr>
          <w:p w14:paraId="12B379DD" w14:textId="77777777">
            <w:pPr>
              <w:jc w:val="center"/>
            </w:pPr>
            <w:r>
              <w:rPr>
                <w:sz w:val="16"/>
              </w:rPr>
              <w:t>.02***</w:t>
            </w:r>
          </w:p>
        </w:tc>
        <w:tc>
          <w:tcPr>
            <w:tcW w:w="778" w:type="dxa"/>
          </w:tcPr>
          <w:p w14:paraId="0A56CE8F" w14:textId="77777777">
            <w:pPr>
              <w:jc w:val="center"/>
            </w:pPr>
            <w:r>
              <w:rPr>
                <w:b/>
                <w:sz w:val="16"/>
              </w:rPr>
              <w:t>.60***</w:t>
            </w:r>
          </w:p>
        </w:tc>
        <w:tc>
          <w:tcPr>
            <w:tcW w:w="778" w:type="dxa"/>
          </w:tcPr>
          <w:p w14:paraId="3F3EEB10" w14:textId="77777777">
            <w:pPr>
              <w:jc w:val="center"/>
            </w:pPr>
            <w:r>
              <w:rPr>
                <w:sz w:val="16"/>
              </w:rPr>
              <w:t>—</w:t>
            </w:r>
          </w:p>
        </w:tc>
        <w:tc>
          <w:tcPr>
            <w:tcW w:w="778" w:type="dxa"/>
          </w:tcPr>
          <w:p w14:paraId="6BCC979B" w14:textId="77777777">
            <w:pPr>
              <w:jc w:val="center"/>
            </w:pPr>
          </w:p>
        </w:tc>
        <w:tc>
          <w:tcPr>
            <w:tcW w:w="778" w:type="dxa"/>
          </w:tcPr>
          <w:p w14:paraId="22E10A80" w14:textId="77777777">
            <w:pPr>
              <w:jc w:val="center"/>
            </w:pPr>
          </w:p>
        </w:tc>
        <w:tc>
          <w:tcPr>
            <w:tcW w:w="778" w:type="dxa"/>
          </w:tcPr>
          <w:p w14:paraId="2E5C8746" w14:textId="77777777">
            <w:pPr>
              <w:jc w:val="center"/>
            </w:pPr>
          </w:p>
        </w:tc>
        <w:tc>
          <w:tcPr>
            <w:tcW w:w="778" w:type="dxa"/>
          </w:tcPr>
          <w:p w14:paraId="2EBE59CE" w14:textId="77777777">
            <w:pPr>
              <w:jc w:val="center"/>
            </w:pPr>
          </w:p>
        </w:tc>
        <w:tc>
          <w:tcPr>
            <w:tcW w:w="835" w:type="dxa"/>
          </w:tcPr>
          <w:p w14:paraId="5787F15A" w14:textId="77777777">
            <w:pPr>
              <w:jc w:val="center"/>
            </w:pPr>
            <w:r>
              <w:rPr>
                <w:sz w:val="16"/>
              </w:rPr>
              <w:t>3.7</w:t>
            </w:r>
          </w:p>
        </w:tc>
        <w:tc>
          <w:tcPr>
            <w:tcW w:w="835" w:type="dxa"/>
          </w:tcPr>
          <w:p w14:paraId="1542E868" w14:textId="77777777">
            <w:pPr>
              <w:jc w:val="center"/>
            </w:pPr>
            <w:r>
              <w:rPr>
                <w:sz w:val="16"/>
              </w:rPr>
              <w:t>1.4</w:t>
            </w:r>
          </w:p>
        </w:tc>
      </w:tr>
      <w:tr w14:paraId="7C5CB9F5" w14:textId="77777777">
        <w:tc>
          <w:tcPr>
            <w:tcW w:w="3499" w:type="dxa"/>
          </w:tcPr>
          <w:p w14:paraId="596D3B55" w14:textId="77777777">
            <w:r>
              <w:rPr>
                <w:sz w:val="16"/>
              </w:rPr>
              <w:t>8. C. Check social media</w:t>
            </w:r>
          </w:p>
        </w:tc>
        <w:tc>
          <w:tcPr>
            <w:tcW w:w="778" w:type="dxa"/>
          </w:tcPr>
          <w:p w14:paraId="4E8A1275" w14:textId="77777777">
            <w:pPr>
              <w:jc w:val="center"/>
            </w:pPr>
            <w:r>
              <w:rPr>
                <w:b/>
                <w:sz w:val="16"/>
              </w:rPr>
              <w:t>.77***</w:t>
            </w:r>
          </w:p>
        </w:tc>
        <w:tc>
          <w:tcPr>
            <w:tcW w:w="778" w:type="dxa"/>
          </w:tcPr>
          <w:p w14:paraId="21F2DF88" w14:textId="77777777">
            <w:pPr>
              <w:jc w:val="center"/>
            </w:pPr>
            <w:r>
              <w:rPr>
                <w:sz w:val="16"/>
              </w:rPr>
              <w:t>-.09***</w:t>
            </w:r>
          </w:p>
        </w:tc>
        <w:tc>
          <w:tcPr>
            <w:tcW w:w="778" w:type="dxa"/>
          </w:tcPr>
          <w:p w14:paraId="7D7633C0" w14:textId="77777777">
            <w:pPr>
              <w:jc w:val="center"/>
            </w:pPr>
            <w:r>
              <w:rPr>
                <w:sz w:val="16"/>
              </w:rPr>
              <w:t>-.22***</w:t>
            </w:r>
          </w:p>
        </w:tc>
        <w:tc>
          <w:tcPr>
            <w:tcW w:w="778" w:type="dxa"/>
          </w:tcPr>
          <w:p w14:paraId="3AAC5AAA" w14:textId="77777777">
            <w:pPr>
              <w:jc w:val="center"/>
            </w:pPr>
            <w:r>
              <w:rPr>
                <w:sz w:val="16"/>
              </w:rPr>
              <w:t>.07***</w:t>
            </w:r>
          </w:p>
        </w:tc>
        <w:tc>
          <w:tcPr>
            <w:tcW w:w="778" w:type="dxa"/>
          </w:tcPr>
          <w:p w14:paraId="011F06A6" w14:textId="77777777">
            <w:pPr>
              <w:jc w:val="center"/>
            </w:pPr>
            <w:r>
              <w:rPr>
                <w:sz w:val="16"/>
              </w:rPr>
              <w:t>.03***</w:t>
            </w:r>
          </w:p>
        </w:tc>
        <w:tc>
          <w:tcPr>
            <w:tcW w:w="778" w:type="dxa"/>
          </w:tcPr>
          <w:p w14:paraId="1E4ECE72" w14:textId="77777777">
            <w:pPr>
              <w:jc w:val="center"/>
            </w:pPr>
            <w:r>
              <w:rPr>
                <w:b/>
                <w:sz w:val="16"/>
              </w:rPr>
              <w:t>.54***</w:t>
            </w:r>
          </w:p>
        </w:tc>
        <w:tc>
          <w:tcPr>
            <w:tcW w:w="778" w:type="dxa"/>
          </w:tcPr>
          <w:p w14:paraId="5052B179" w14:textId="77777777">
            <w:pPr>
              <w:jc w:val="center"/>
            </w:pPr>
            <w:r>
              <w:rPr>
                <w:b/>
                <w:sz w:val="16"/>
              </w:rPr>
              <w:t>.68***</w:t>
            </w:r>
          </w:p>
        </w:tc>
        <w:tc>
          <w:tcPr>
            <w:tcW w:w="778" w:type="dxa"/>
          </w:tcPr>
          <w:p w14:paraId="0F6F4DEF" w14:textId="77777777">
            <w:pPr>
              <w:jc w:val="center"/>
            </w:pPr>
            <w:r>
              <w:rPr>
                <w:sz w:val="16"/>
              </w:rPr>
              <w:t>—</w:t>
            </w:r>
          </w:p>
        </w:tc>
        <w:tc>
          <w:tcPr>
            <w:tcW w:w="778" w:type="dxa"/>
          </w:tcPr>
          <w:p w14:paraId="3C0D72F6" w14:textId="77777777">
            <w:pPr>
              <w:jc w:val="center"/>
            </w:pPr>
          </w:p>
        </w:tc>
        <w:tc>
          <w:tcPr>
            <w:tcW w:w="778" w:type="dxa"/>
          </w:tcPr>
          <w:p w14:paraId="6B00167D" w14:textId="77777777">
            <w:pPr>
              <w:jc w:val="center"/>
            </w:pPr>
          </w:p>
        </w:tc>
        <w:tc>
          <w:tcPr>
            <w:tcW w:w="778" w:type="dxa"/>
          </w:tcPr>
          <w:p w14:paraId="7D6BB26A" w14:textId="77777777">
            <w:pPr>
              <w:jc w:val="center"/>
            </w:pPr>
          </w:p>
        </w:tc>
        <w:tc>
          <w:tcPr>
            <w:tcW w:w="835" w:type="dxa"/>
          </w:tcPr>
          <w:p w14:paraId="27A89A33" w14:textId="77777777">
            <w:pPr>
              <w:jc w:val="center"/>
            </w:pPr>
            <w:r>
              <w:rPr>
                <w:sz w:val="16"/>
              </w:rPr>
              <w:t>3.3</w:t>
            </w:r>
          </w:p>
        </w:tc>
        <w:tc>
          <w:tcPr>
            <w:tcW w:w="835" w:type="dxa"/>
          </w:tcPr>
          <w:p w14:paraId="0A305C97" w14:textId="77777777">
            <w:pPr>
              <w:jc w:val="center"/>
            </w:pPr>
            <w:r>
              <w:rPr>
                <w:sz w:val="16"/>
              </w:rPr>
              <w:t>1.4</w:t>
            </w:r>
          </w:p>
        </w:tc>
      </w:tr>
      <w:tr w14:paraId="18D2DDB4" w14:textId="77777777">
        <w:tc>
          <w:tcPr>
            <w:tcW w:w="3499" w:type="dxa"/>
          </w:tcPr>
          <w:p w14:paraId="0C56F98C" w14:textId="77777777">
            <w:r>
              <w:rPr>
                <w:sz w:val="16"/>
              </w:rPr>
              <w:t>9. D. Internet for info</w:t>
            </w:r>
          </w:p>
        </w:tc>
        <w:tc>
          <w:tcPr>
            <w:tcW w:w="778" w:type="dxa"/>
          </w:tcPr>
          <w:p w14:paraId="7FB027FA" w14:textId="77777777">
            <w:pPr>
              <w:jc w:val="center"/>
            </w:pPr>
            <w:r>
              <w:rPr>
                <w:b/>
                <w:sz w:val="16"/>
              </w:rPr>
              <w:t>.66***</w:t>
            </w:r>
          </w:p>
        </w:tc>
        <w:tc>
          <w:tcPr>
            <w:tcW w:w="778" w:type="dxa"/>
          </w:tcPr>
          <w:p w14:paraId="23FAA3E6" w14:textId="77777777">
            <w:pPr>
              <w:jc w:val="center"/>
            </w:pPr>
            <w:r>
              <w:rPr>
                <w:sz w:val="16"/>
              </w:rPr>
              <w:t>.03***</w:t>
            </w:r>
          </w:p>
        </w:tc>
        <w:tc>
          <w:tcPr>
            <w:tcW w:w="778" w:type="dxa"/>
          </w:tcPr>
          <w:p w14:paraId="616E6E9E" w14:textId="77777777">
            <w:pPr>
              <w:jc w:val="center"/>
            </w:pPr>
            <w:r>
              <w:rPr>
                <w:sz w:val="16"/>
              </w:rPr>
              <w:t>-.05***</w:t>
            </w:r>
          </w:p>
        </w:tc>
        <w:tc>
          <w:tcPr>
            <w:tcW w:w="778" w:type="dxa"/>
          </w:tcPr>
          <w:p w14:paraId="649688D9" w14:textId="77777777">
            <w:pPr>
              <w:jc w:val="center"/>
            </w:pPr>
            <w:r>
              <w:rPr>
                <w:sz w:val="16"/>
              </w:rPr>
              <w:t>.10***</w:t>
            </w:r>
          </w:p>
        </w:tc>
        <w:tc>
          <w:tcPr>
            <w:tcW w:w="778" w:type="dxa"/>
          </w:tcPr>
          <w:p w14:paraId="7E0CEAC8" w14:textId="77777777">
            <w:pPr>
              <w:jc w:val="center"/>
            </w:pPr>
            <w:r>
              <w:rPr>
                <w:sz w:val="16"/>
              </w:rPr>
              <w:t>.08***</w:t>
            </w:r>
          </w:p>
        </w:tc>
        <w:tc>
          <w:tcPr>
            <w:tcW w:w="778" w:type="dxa"/>
          </w:tcPr>
          <w:p w14:paraId="509807D2" w14:textId="77777777">
            <w:pPr>
              <w:jc w:val="center"/>
            </w:pPr>
            <w:r>
              <w:rPr>
                <w:sz w:val="16"/>
              </w:rPr>
              <w:t>.42***</w:t>
            </w:r>
          </w:p>
        </w:tc>
        <w:tc>
          <w:tcPr>
            <w:tcW w:w="778" w:type="dxa"/>
          </w:tcPr>
          <w:p w14:paraId="7370E538" w14:textId="77777777">
            <w:pPr>
              <w:jc w:val="center"/>
            </w:pPr>
            <w:r>
              <w:rPr>
                <w:sz w:val="16"/>
              </w:rPr>
              <w:t>.38***</w:t>
            </w:r>
          </w:p>
        </w:tc>
        <w:tc>
          <w:tcPr>
            <w:tcW w:w="778" w:type="dxa"/>
          </w:tcPr>
          <w:p w14:paraId="4D167EB1" w14:textId="77777777">
            <w:pPr>
              <w:jc w:val="center"/>
            </w:pPr>
            <w:r>
              <w:rPr>
                <w:sz w:val="16"/>
              </w:rPr>
              <w:t>.40***</w:t>
            </w:r>
          </w:p>
        </w:tc>
        <w:tc>
          <w:tcPr>
            <w:tcW w:w="778" w:type="dxa"/>
          </w:tcPr>
          <w:p w14:paraId="730734F9" w14:textId="77777777">
            <w:pPr>
              <w:jc w:val="center"/>
            </w:pPr>
            <w:r>
              <w:rPr>
                <w:sz w:val="16"/>
              </w:rPr>
              <w:t>—</w:t>
            </w:r>
          </w:p>
        </w:tc>
        <w:tc>
          <w:tcPr>
            <w:tcW w:w="778" w:type="dxa"/>
          </w:tcPr>
          <w:p w14:paraId="76882B24" w14:textId="77777777">
            <w:pPr>
              <w:jc w:val="center"/>
            </w:pPr>
          </w:p>
        </w:tc>
        <w:tc>
          <w:tcPr>
            <w:tcW w:w="778" w:type="dxa"/>
          </w:tcPr>
          <w:p w14:paraId="60EBF97D" w14:textId="77777777">
            <w:pPr>
              <w:jc w:val="center"/>
            </w:pPr>
          </w:p>
        </w:tc>
        <w:tc>
          <w:tcPr>
            <w:tcW w:w="835" w:type="dxa"/>
          </w:tcPr>
          <w:p w14:paraId="57CF2286" w14:textId="77777777">
            <w:pPr>
              <w:jc w:val="center"/>
            </w:pPr>
            <w:r>
              <w:rPr>
                <w:sz w:val="16"/>
              </w:rPr>
              <w:t>3.8</w:t>
            </w:r>
          </w:p>
        </w:tc>
        <w:tc>
          <w:tcPr>
            <w:tcW w:w="835" w:type="dxa"/>
          </w:tcPr>
          <w:p w14:paraId="406C6105" w14:textId="77777777">
            <w:pPr>
              <w:jc w:val="center"/>
            </w:pPr>
            <w:r>
              <w:rPr>
                <w:sz w:val="16"/>
              </w:rPr>
              <w:t>1.1</w:t>
            </w:r>
          </w:p>
        </w:tc>
      </w:tr>
      <w:tr w14:paraId="719642F6" w14:textId="77777777">
        <w:tc>
          <w:tcPr>
            <w:tcW w:w="3499" w:type="dxa"/>
          </w:tcPr>
          <w:p w14:paraId="6C8FF08B" w14:textId="77777777">
            <w:r>
              <w:rPr>
                <w:sz w:val="16"/>
              </w:rPr>
              <w:t>10. E. Watch videos/streams</w:t>
            </w:r>
          </w:p>
        </w:tc>
        <w:tc>
          <w:tcPr>
            <w:tcW w:w="778" w:type="dxa"/>
          </w:tcPr>
          <w:p w14:paraId="690C0080" w14:textId="77777777">
            <w:pPr>
              <w:jc w:val="center"/>
            </w:pPr>
            <w:r>
              <w:rPr>
                <w:b/>
                <w:sz w:val="16"/>
              </w:rPr>
              <w:t>.67***</w:t>
            </w:r>
          </w:p>
        </w:tc>
        <w:tc>
          <w:tcPr>
            <w:tcW w:w="778" w:type="dxa"/>
          </w:tcPr>
          <w:p w14:paraId="0C7C2005" w14:textId="77777777">
            <w:pPr>
              <w:jc w:val="center"/>
            </w:pPr>
            <w:r>
              <w:rPr>
                <w:sz w:val="16"/>
              </w:rPr>
              <w:t>.05***</w:t>
            </w:r>
          </w:p>
        </w:tc>
        <w:tc>
          <w:tcPr>
            <w:tcW w:w="778" w:type="dxa"/>
          </w:tcPr>
          <w:p w14:paraId="10E51A6A" w14:textId="77777777">
            <w:pPr>
              <w:jc w:val="center"/>
            </w:pPr>
            <w:r>
              <w:rPr>
                <w:sz w:val="16"/>
              </w:rPr>
              <w:t>-.06***</w:t>
            </w:r>
          </w:p>
        </w:tc>
        <w:tc>
          <w:tcPr>
            <w:tcW w:w="778" w:type="dxa"/>
          </w:tcPr>
          <w:p w14:paraId="403309A2" w14:textId="77777777">
            <w:pPr>
              <w:jc w:val="center"/>
            </w:pPr>
            <w:r>
              <w:rPr>
                <w:sz w:val="16"/>
              </w:rPr>
              <w:t>.13***</w:t>
            </w:r>
          </w:p>
        </w:tc>
        <w:tc>
          <w:tcPr>
            <w:tcW w:w="778" w:type="dxa"/>
          </w:tcPr>
          <w:p w14:paraId="01055D61" w14:textId="77777777">
            <w:pPr>
              <w:jc w:val="center"/>
            </w:pPr>
            <w:r>
              <w:rPr>
                <w:sz w:val="16"/>
              </w:rPr>
              <w:t>.04***</w:t>
            </w:r>
          </w:p>
        </w:tc>
        <w:tc>
          <w:tcPr>
            <w:tcW w:w="778" w:type="dxa"/>
          </w:tcPr>
          <w:p w14:paraId="45DBF754" w14:textId="77777777">
            <w:pPr>
              <w:jc w:val="center"/>
            </w:pPr>
            <w:r>
              <w:rPr>
                <w:sz w:val="16"/>
              </w:rPr>
              <w:t>.46***</w:t>
            </w:r>
          </w:p>
        </w:tc>
        <w:tc>
          <w:tcPr>
            <w:tcW w:w="778" w:type="dxa"/>
          </w:tcPr>
          <w:p w14:paraId="22AC27FC" w14:textId="77777777">
            <w:pPr>
              <w:jc w:val="center"/>
            </w:pPr>
            <w:r>
              <w:rPr>
                <w:sz w:val="16"/>
              </w:rPr>
              <w:t>.46***</w:t>
            </w:r>
          </w:p>
        </w:tc>
        <w:tc>
          <w:tcPr>
            <w:tcW w:w="778" w:type="dxa"/>
          </w:tcPr>
          <w:p w14:paraId="4186C504" w14:textId="77777777">
            <w:pPr>
              <w:jc w:val="center"/>
            </w:pPr>
            <w:r>
              <w:rPr>
                <w:sz w:val="16"/>
              </w:rPr>
              <w:t>.42***</w:t>
            </w:r>
          </w:p>
        </w:tc>
        <w:tc>
          <w:tcPr>
            <w:tcW w:w="778" w:type="dxa"/>
          </w:tcPr>
          <w:p w14:paraId="6A40F574" w14:textId="77777777">
            <w:pPr>
              <w:jc w:val="center"/>
            </w:pPr>
            <w:r>
              <w:rPr>
                <w:sz w:val="16"/>
              </w:rPr>
              <w:t>.47***</w:t>
            </w:r>
          </w:p>
        </w:tc>
        <w:tc>
          <w:tcPr>
            <w:tcW w:w="778" w:type="dxa"/>
          </w:tcPr>
          <w:p w14:paraId="59155C86" w14:textId="77777777">
            <w:pPr>
              <w:jc w:val="center"/>
            </w:pPr>
            <w:r>
              <w:rPr>
                <w:sz w:val="16"/>
              </w:rPr>
              <w:t>—</w:t>
            </w:r>
          </w:p>
        </w:tc>
        <w:tc>
          <w:tcPr>
            <w:tcW w:w="778" w:type="dxa"/>
          </w:tcPr>
          <w:p w14:paraId="238B6469" w14:textId="77777777">
            <w:pPr>
              <w:jc w:val="center"/>
            </w:pPr>
          </w:p>
        </w:tc>
        <w:tc>
          <w:tcPr>
            <w:tcW w:w="835" w:type="dxa"/>
          </w:tcPr>
          <w:p w14:paraId="3597E0EB" w14:textId="77777777">
            <w:pPr>
              <w:jc w:val="center"/>
            </w:pPr>
            <w:r>
              <w:rPr>
                <w:sz w:val="16"/>
              </w:rPr>
              <w:t>3.9</w:t>
            </w:r>
          </w:p>
        </w:tc>
        <w:tc>
          <w:tcPr>
            <w:tcW w:w="835" w:type="dxa"/>
          </w:tcPr>
          <w:p w14:paraId="1E9C69DF" w14:textId="77777777">
            <w:pPr>
              <w:jc w:val="center"/>
            </w:pPr>
            <w:r>
              <w:rPr>
                <w:sz w:val="16"/>
              </w:rPr>
              <w:t>1.2</w:t>
            </w:r>
          </w:p>
        </w:tc>
      </w:tr>
      <w:tr w14:paraId="290F64D5" w14:textId="77777777">
        <w:tc>
          <w:tcPr>
            <w:tcW w:w="3499" w:type="dxa"/>
          </w:tcPr>
          <w:p w14:paraId="2C93C4FD" w14:textId="77777777">
            <w:r>
              <w:rPr>
                <w:sz w:val="16"/>
              </w:rPr>
              <w:t>11. F. Listen to music/radio</w:t>
            </w:r>
          </w:p>
        </w:tc>
        <w:tc>
          <w:tcPr>
            <w:tcW w:w="778" w:type="dxa"/>
          </w:tcPr>
          <w:p w14:paraId="3BF8EDDC" w14:textId="77777777">
            <w:pPr>
              <w:jc w:val="center"/>
            </w:pPr>
            <w:r>
              <w:rPr>
                <w:b/>
                <w:sz w:val="16"/>
              </w:rPr>
              <w:t>.59***</w:t>
            </w:r>
          </w:p>
        </w:tc>
        <w:tc>
          <w:tcPr>
            <w:tcW w:w="778" w:type="dxa"/>
          </w:tcPr>
          <w:p w14:paraId="57C9E37E" w14:textId="77777777">
            <w:pPr>
              <w:jc w:val="center"/>
            </w:pPr>
            <w:r>
              <w:rPr>
                <w:sz w:val="16"/>
              </w:rPr>
              <w:t>.11***</w:t>
            </w:r>
          </w:p>
        </w:tc>
        <w:tc>
          <w:tcPr>
            <w:tcW w:w="778" w:type="dxa"/>
          </w:tcPr>
          <w:p w14:paraId="7729390E" w14:textId="77777777">
            <w:pPr>
              <w:jc w:val="center"/>
            </w:pPr>
            <w:r>
              <w:rPr>
                <w:sz w:val="16"/>
              </w:rPr>
              <w:t>-.02***</w:t>
            </w:r>
          </w:p>
        </w:tc>
        <w:tc>
          <w:tcPr>
            <w:tcW w:w="778" w:type="dxa"/>
          </w:tcPr>
          <w:p w14:paraId="037EB797" w14:textId="77777777">
            <w:pPr>
              <w:jc w:val="center"/>
            </w:pPr>
            <w:r>
              <w:rPr>
                <w:sz w:val="16"/>
              </w:rPr>
              <w:t>.12***</w:t>
            </w:r>
          </w:p>
        </w:tc>
        <w:tc>
          <w:tcPr>
            <w:tcW w:w="778" w:type="dxa"/>
          </w:tcPr>
          <w:p w14:paraId="2F55C5BE" w14:textId="77777777">
            <w:pPr>
              <w:jc w:val="center"/>
            </w:pPr>
            <w:r>
              <w:rPr>
                <w:sz w:val="16"/>
              </w:rPr>
              <w:t>.05***</w:t>
            </w:r>
          </w:p>
        </w:tc>
        <w:tc>
          <w:tcPr>
            <w:tcW w:w="778" w:type="dxa"/>
          </w:tcPr>
          <w:p w14:paraId="088FD21C" w14:textId="77777777">
            <w:pPr>
              <w:jc w:val="center"/>
            </w:pPr>
            <w:r>
              <w:rPr>
                <w:sz w:val="16"/>
              </w:rPr>
              <w:t>.42***</w:t>
            </w:r>
          </w:p>
        </w:tc>
        <w:tc>
          <w:tcPr>
            <w:tcW w:w="778" w:type="dxa"/>
          </w:tcPr>
          <w:p w14:paraId="107C259C" w14:textId="77777777">
            <w:pPr>
              <w:jc w:val="center"/>
            </w:pPr>
            <w:r>
              <w:rPr>
                <w:sz w:val="16"/>
              </w:rPr>
              <w:t>.37***</w:t>
            </w:r>
          </w:p>
        </w:tc>
        <w:tc>
          <w:tcPr>
            <w:tcW w:w="778" w:type="dxa"/>
          </w:tcPr>
          <w:p w14:paraId="05BB964F" w14:textId="77777777">
            <w:pPr>
              <w:jc w:val="center"/>
            </w:pPr>
            <w:r>
              <w:rPr>
                <w:sz w:val="16"/>
              </w:rPr>
              <w:t>.34***</w:t>
            </w:r>
          </w:p>
        </w:tc>
        <w:tc>
          <w:tcPr>
            <w:tcW w:w="778" w:type="dxa"/>
          </w:tcPr>
          <w:p w14:paraId="088216DD" w14:textId="77777777">
            <w:pPr>
              <w:jc w:val="center"/>
            </w:pPr>
            <w:r>
              <w:rPr>
                <w:sz w:val="16"/>
              </w:rPr>
              <w:t>.35***</w:t>
            </w:r>
          </w:p>
        </w:tc>
        <w:tc>
          <w:tcPr>
            <w:tcW w:w="778" w:type="dxa"/>
          </w:tcPr>
          <w:p w14:paraId="01B3DEAD" w14:textId="77777777">
            <w:pPr>
              <w:jc w:val="center"/>
            </w:pPr>
            <w:r>
              <w:rPr>
                <w:sz w:val="16"/>
              </w:rPr>
              <w:t>.42***</w:t>
            </w:r>
          </w:p>
        </w:tc>
        <w:tc>
          <w:tcPr>
            <w:tcW w:w="778" w:type="dxa"/>
          </w:tcPr>
          <w:p w14:paraId="6C7243C6" w14:textId="77777777">
            <w:pPr>
              <w:jc w:val="center"/>
            </w:pPr>
            <w:r>
              <w:rPr>
                <w:sz w:val="16"/>
              </w:rPr>
              <w:t>—</w:t>
            </w:r>
          </w:p>
        </w:tc>
        <w:tc>
          <w:tcPr>
            <w:tcW w:w="835" w:type="dxa"/>
          </w:tcPr>
          <w:p w14:paraId="769EF438" w14:textId="77777777">
            <w:pPr>
              <w:jc w:val="center"/>
            </w:pPr>
            <w:r>
              <w:rPr>
                <w:sz w:val="16"/>
              </w:rPr>
              <w:t>4.1</w:t>
            </w:r>
          </w:p>
        </w:tc>
        <w:tc>
          <w:tcPr>
            <w:tcW w:w="835" w:type="dxa"/>
          </w:tcPr>
          <w:p w14:paraId="4B0C11B0" w14:textId="77777777">
            <w:pPr>
              <w:jc w:val="center"/>
            </w:pPr>
            <w:r>
              <w:rPr>
                <w:sz w:val="16"/>
              </w:rPr>
              <w:t>1.2</w:t>
            </w:r>
          </w:p>
        </w:tc>
      </w:tr>
    </w:tbl>
    <w:p w14:paraId="4E9BF554" w14:textId="77777777">
      <w:pPr>
        <w:spacing w:before="120" w:line="276" w:lineRule="auto"/>
        <w:rPr>
          <w:rFonts w:ascii="Cambria" w:eastAsia="MS Mincho" w:hAnsi="Cambria"/>
        </w:rPr>
      </w:pPr>
      <w:r>
        <w:rPr>
          <w:b/>
          <w:i/>
          <w:iCs/>
          <w:sz w:val="17"/>
        </w:rPr>
        <w:t>Note</w:t>
      </w:r>
      <w:r>
        <w:rPr>
          <w:b/>
          <w:sz w:val="17"/>
        </w:rPr>
        <w:t xml:space="preserve">. </w:t>
      </w:r>
      <w:r>
        <w:rPr>
          <w:sz w:val="17"/>
        </w:rPr>
        <w:t>Entries are weighted Pearson correlations computed at the student level using ICILS 2023 total student weights (TOTWGTS). CIL and CT correlations were averaged across the five plausible values. Means and standard deviations for CIL and CT are reported as plausible-value averaged weighted estimates. Ns vary across variables and variable pairs because estimates were based on available non-missing observations with positive student weights; CT was assessed in 24 systems only. Variables 4 and 6-11 are ordered-response variables, so Pearson correlations should be interpreted as linear approximations. S_ACMULT and S_LRNSAFE are IRT-scaled Warm weighted likelihood estimates. Computer experience is a single ordinal item on years of computer use. Correlations with |r| &gt;= 0.50 are shown in bold. Upper triangle is intentionally blank (matrix is symmetric). *p &lt; .05, **p &lt; .01, ***p &lt; .001.</w:t>
      </w:r>
    </w:p>
    <w:p w14:paraId="79A4E4B2" w14:textId="77777777">
      <w:pPr>
        <w:spacing w:before="120" w:line="240" w:lineRule="auto"/>
        <w:rPr>
          <w:sz w:val="18"/>
          <w:szCs w:val="18"/>
        </w:rPr>
      </w:pPr>
    </w:p>
    <w:p w14:paraId="72137BD3" w14:textId="4B5A5BC5">
      <w:pPr>
        <w:pStyle w:val="Heading2"/>
        <w:rPr>
          <w:b/>
          <w:bCs/>
          <w:color w:val="000000" w:themeColor="text1"/>
          <w:sz w:val="22"/>
          <w:szCs w:val="22"/>
        </w:rPr>
      </w:pPr>
      <w:r>
        <w:rPr>
          <w:b/>
          <w:bCs/>
          <w:color w:val="000000" w:themeColor="text1"/>
          <w:sz w:val="22"/>
          <w:szCs w:val="22"/>
        </w:rPr>
        <w:br w:type="page"/>
      </w:r>
      <w:r>
        <w:rPr>
          <w:b/>
          <w:bCs/>
          <w:color w:val="000000" w:themeColor="text1"/>
          <w:sz w:val="22"/>
          <w:szCs w:val="22"/>
        </w:rPr>
        <w:lastRenderedPageBreak/>
        <w:t>Supplementary Table S2</w:t>
      </w:r>
    </w:p>
    <w:p w14:paraId="70C692B9" w14:textId="5BA207D6">
      <w:pPr>
        <w:pStyle w:val="Heading2"/>
        <w:rPr>
          <w:i/>
          <w:iCs/>
          <w:color w:val="000000" w:themeColor="text1"/>
          <w:sz w:val="22"/>
          <w:szCs w:val="22"/>
        </w:rPr>
      </w:pPr>
      <w:r>
        <w:rPr>
          <w:i/>
          <w:iCs/>
          <w:color w:val="000000" w:themeColor="text1"/>
          <w:sz w:val="22"/>
          <w:szCs w:val="22"/>
        </w:rPr>
        <w:t>Comparison of included and excluded students on key background variables</w:t>
      </w:r>
    </w:p>
    <w:tbl>
      <w:tblPr>
        <w:tblW w:w="11808" w:type="dxa"/>
        <w:jc w:val="center"/>
        <w:tblLayout w:type="fixed"/>
        <w:tblLook w:val="0420" w:firstRow="1" w:lastRow="0" w:firstColumn="0" w:lastColumn="0" w:noHBand="0" w:noVBand="1"/>
      </w:tblPr>
      <w:tblGrid>
        <w:gridCol w:w="4608"/>
        <w:gridCol w:w="2232"/>
        <w:gridCol w:w="2232"/>
        <w:gridCol w:w="1368"/>
        <w:gridCol w:w="1368"/>
      </w:tblGrid>
      <w:tr w14:paraId="4A17A1CC" w14:textId="77777777">
        <w:trPr>
          <w:tblHeader/>
          <w:jc w:val="center"/>
        </w:trPr>
        <w:tc>
          <w:tcPr>
            <w:tcW w:w="4608" w:type="dxa"/>
            <w:tcBorders>
              <w:top w:val="single" w:sz="8" w:space="0" w:color="000000"/>
              <w:left w:val="none" w:sz="0" w:space="0" w:color="000000"/>
              <w:bottom w:val="single" w:sz="8" w:space="0" w:color="000000"/>
              <w:right w:val="none" w:sz="0" w:space="0" w:color="000000"/>
            </w:tcBorders>
            <w:shd w:val="clear" w:color="auto" w:fill="D9EAF7"/>
            <w:tcMar>
              <w:top w:w="0" w:type="dxa"/>
              <w:left w:w="0" w:type="dxa"/>
              <w:bottom w:w="0" w:type="dxa"/>
              <w:right w:w="0" w:type="dxa"/>
            </w:tcMar>
            <w:vAlign w:val="center"/>
          </w:tcPr>
          <w:p w14:paraId="14A3DC99" w14:textId="77777777">
            <w:pPr>
              <w:pBdr>
                <w:top w:val="none" w:sz="0" w:space="0" w:color="000000"/>
                <w:left w:val="none" w:sz="0" w:space="0" w:color="000000"/>
                <w:bottom w:val="none" w:sz="0" w:space="0" w:color="000000"/>
                <w:right w:val="none" w:sz="0" w:space="0" w:color="000000"/>
              </w:pBdr>
              <w:spacing w:before="80" w:after="80"/>
              <w:ind w:left="80" w:right="80"/>
              <w:rPr>
                <w:b/>
                <w:color w:val="000000"/>
                <w:sz w:val="21"/>
                <w:szCs w:val="21"/>
              </w:rPr>
            </w:pPr>
            <w:r>
              <w:rPr>
                <w:b/>
                <w:color w:val="000000"/>
                <w:sz w:val="21"/>
                <w:szCs w:val="21"/>
              </w:rPr>
              <w:t>Characteristic</w:t>
            </w:r>
          </w:p>
        </w:tc>
        <w:tc>
          <w:tcPr>
            <w:tcW w:w="2232" w:type="dxa"/>
            <w:tcBorders>
              <w:top w:val="single" w:sz="8" w:space="0" w:color="000000"/>
              <w:left w:val="none" w:sz="0" w:space="0" w:color="000000"/>
              <w:bottom w:val="single" w:sz="8" w:space="0" w:color="000000"/>
              <w:right w:val="none" w:sz="0" w:space="0" w:color="000000"/>
            </w:tcBorders>
            <w:shd w:val="clear" w:color="auto" w:fill="D9EAF7"/>
            <w:tcMar>
              <w:top w:w="0" w:type="dxa"/>
              <w:left w:w="0" w:type="dxa"/>
              <w:bottom w:w="0" w:type="dxa"/>
              <w:right w:w="0" w:type="dxa"/>
            </w:tcMar>
            <w:vAlign w:val="center"/>
          </w:tcPr>
          <w:p w14:paraId="6D528F14"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1"/>
                <w:szCs w:val="21"/>
              </w:rPr>
            </w:pPr>
            <w:r>
              <w:rPr>
                <w:b/>
                <w:color w:val="000000"/>
                <w:sz w:val="21"/>
                <w:szCs w:val="21"/>
              </w:rPr>
              <w:t>Included sample</w:t>
            </w:r>
          </w:p>
        </w:tc>
        <w:tc>
          <w:tcPr>
            <w:tcW w:w="2232" w:type="dxa"/>
            <w:tcBorders>
              <w:top w:val="single" w:sz="8" w:space="0" w:color="000000"/>
              <w:left w:val="none" w:sz="0" w:space="0" w:color="000000"/>
              <w:bottom w:val="single" w:sz="8" w:space="0" w:color="000000"/>
              <w:right w:val="none" w:sz="0" w:space="0" w:color="000000"/>
            </w:tcBorders>
            <w:shd w:val="clear" w:color="auto" w:fill="D9EAF7"/>
            <w:tcMar>
              <w:top w:w="0" w:type="dxa"/>
              <w:left w:w="0" w:type="dxa"/>
              <w:bottom w:w="0" w:type="dxa"/>
              <w:right w:w="0" w:type="dxa"/>
            </w:tcMar>
            <w:vAlign w:val="center"/>
          </w:tcPr>
          <w:p w14:paraId="1347E6A2"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1"/>
                <w:szCs w:val="21"/>
              </w:rPr>
            </w:pPr>
            <w:r>
              <w:rPr>
                <w:b/>
                <w:color w:val="000000"/>
                <w:sz w:val="21"/>
                <w:szCs w:val="21"/>
              </w:rPr>
              <w:t>Excluded sample</w:t>
            </w:r>
          </w:p>
        </w:tc>
        <w:tc>
          <w:tcPr>
            <w:tcW w:w="1368" w:type="dxa"/>
            <w:tcBorders>
              <w:top w:val="single" w:sz="8" w:space="0" w:color="000000"/>
              <w:left w:val="none" w:sz="0" w:space="0" w:color="000000"/>
              <w:bottom w:val="single" w:sz="8" w:space="0" w:color="000000"/>
              <w:right w:val="none" w:sz="0" w:space="0" w:color="000000"/>
            </w:tcBorders>
            <w:shd w:val="clear" w:color="auto" w:fill="D9EAF7"/>
            <w:tcMar>
              <w:top w:w="0" w:type="dxa"/>
              <w:left w:w="0" w:type="dxa"/>
              <w:bottom w:w="0" w:type="dxa"/>
              <w:right w:w="0" w:type="dxa"/>
            </w:tcMar>
            <w:vAlign w:val="center"/>
          </w:tcPr>
          <w:p w14:paraId="48678BC6"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1"/>
                <w:szCs w:val="21"/>
              </w:rPr>
            </w:pPr>
            <w:r>
              <w:rPr>
                <w:b/>
                <w:color w:val="000000"/>
                <w:sz w:val="21"/>
                <w:szCs w:val="21"/>
              </w:rPr>
              <w:t>Std. diff.</w:t>
            </w:r>
          </w:p>
        </w:tc>
        <w:tc>
          <w:tcPr>
            <w:tcW w:w="1368" w:type="dxa"/>
            <w:tcBorders>
              <w:top w:val="single" w:sz="8" w:space="0" w:color="000000"/>
              <w:left w:val="none" w:sz="0" w:space="0" w:color="000000"/>
              <w:bottom w:val="single" w:sz="8" w:space="0" w:color="000000"/>
              <w:right w:val="none" w:sz="0" w:space="0" w:color="000000"/>
            </w:tcBorders>
            <w:shd w:val="clear" w:color="auto" w:fill="D9EAF7"/>
            <w:tcMar>
              <w:top w:w="0" w:type="dxa"/>
              <w:left w:w="0" w:type="dxa"/>
              <w:bottom w:w="0" w:type="dxa"/>
              <w:right w:w="0" w:type="dxa"/>
            </w:tcMar>
            <w:vAlign w:val="center"/>
          </w:tcPr>
          <w:p w14:paraId="476A0A3D"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1"/>
                <w:szCs w:val="21"/>
              </w:rPr>
            </w:pPr>
            <w:r>
              <w:rPr>
                <w:b/>
                <w:color w:val="000000"/>
                <w:sz w:val="21"/>
                <w:szCs w:val="21"/>
              </w:rPr>
              <w:t>P value</w:t>
            </w:r>
          </w:p>
        </w:tc>
      </w:tr>
      <w:tr w14:paraId="2A1B1A40" w14:textId="77777777">
        <w:trPr>
          <w:jc w:val="center"/>
        </w:trPr>
        <w:tc>
          <w:tcPr>
            <w:tcW w:w="11808" w:type="dxa"/>
            <w:gridSpan w:val="5"/>
            <w:tcBorders>
              <w:top w:val="single" w:sz="8" w:space="0" w:color="000000"/>
              <w:left w:val="none" w:sz="0" w:space="0" w:color="000000"/>
              <w:bottom w:val="none" w:sz="0" w:space="0" w:color="000000"/>
              <w:right w:val="none" w:sz="0" w:space="0" w:color="000000"/>
            </w:tcBorders>
            <w:shd w:val="clear" w:color="auto" w:fill="EAF2F8"/>
            <w:tcMar>
              <w:top w:w="0" w:type="dxa"/>
              <w:left w:w="0" w:type="dxa"/>
              <w:bottom w:w="0" w:type="dxa"/>
              <w:right w:w="0" w:type="dxa"/>
            </w:tcMar>
            <w:vAlign w:val="center"/>
          </w:tcPr>
          <w:p w14:paraId="07A6EE92" w14:textId="77777777">
            <w:pPr>
              <w:pBdr>
                <w:top w:val="none" w:sz="0" w:space="0" w:color="000000"/>
                <w:left w:val="none" w:sz="0" w:space="0" w:color="000000"/>
                <w:bottom w:val="none" w:sz="0" w:space="0" w:color="000000"/>
                <w:right w:val="none" w:sz="0" w:space="0" w:color="000000"/>
              </w:pBdr>
              <w:spacing w:before="80" w:after="80"/>
              <w:ind w:left="80" w:right="80"/>
              <w:rPr>
                <w:b/>
                <w:color w:val="000000"/>
                <w:sz w:val="20"/>
                <w:szCs w:val="20"/>
              </w:rPr>
            </w:pPr>
            <w:r>
              <w:rPr>
                <w:b/>
                <w:color w:val="000000"/>
                <w:sz w:val="20"/>
                <w:szCs w:val="20"/>
              </w:rPr>
              <w:t>CIL outcome</w:t>
            </w:r>
            <w:proofErr w:type="gramStart"/>
            <w:r>
              <w:rPr>
                <w:b/>
                <w:color w:val="000000"/>
                <w:sz w:val="20"/>
                <w:szCs w:val="20"/>
              </w:rPr>
              <w:t xml:space="preserve">   (</w:t>
            </w:r>
            <w:proofErr w:type="gramEnd"/>
            <w:r>
              <w:rPr>
                <w:b/>
                <w:color w:val="000000"/>
                <w:sz w:val="20"/>
                <w:szCs w:val="20"/>
              </w:rPr>
              <w:t>included n = 126,902; excluded n = 4,455)</w:t>
            </w:r>
          </w:p>
        </w:tc>
      </w:tr>
      <w:tr w14:paraId="61E83FC6"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AE077"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Socioeconomic background</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21F8E"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0.02 (1.00)</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15AD5"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-0.37 (1.03)</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68BD3"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0.297</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EED74"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1B05D90C"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25E37775"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Computer experience</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226A85E4"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2.55 (1.25)</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6B9F531E"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2.25 (1.40)</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5A449730"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0.255</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1468FEDB"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14308903"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471C2"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Safe-ICT instruction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CF57F"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50.62 (9.96)</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2D0B2"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45.98 (11.57)</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D020D"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0.177</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467D7"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33DACBC0"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2504ECC4"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Female</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48FBE947"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50.1%</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03312CFA"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43.4%</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109720AE"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0.245</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10CD6CFC"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58F50A81" w14:textId="77777777">
        <w:trPr>
          <w:jc w:val="center"/>
        </w:trPr>
        <w:tc>
          <w:tcPr>
            <w:tcW w:w="11808" w:type="dxa"/>
            <w:gridSpan w:val="5"/>
            <w:tcBorders>
              <w:top w:val="none" w:sz="0" w:space="0" w:color="000000"/>
              <w:left w:val="none" w:sz="0" w:space="0" w:color="000000"/>
              <w:bottom w:val="none" w:sz="0" w:space="0" w:color="000000"/>
              <w:right w:val="none" w:sz="0" w:space="0" w:color="000000"/>
            </w:tcBorders>
            <w:shd w:val="clear" w:color="auto" w:fill="EAF2F8"/>
            <w:tcMar>
              <w:top w:w="0" w:type="dxa"/>
              <w:left w:w="0" w:type="dxa"/>
              <w:bottom w:w="0" w:type="dxa"/>
              <w:right w:w="0" w:type="dxa"/>
            </w:tcMar>
            <w:vAlign w:val="center"/>
          </w:tcPr>
          <w:p w14:paraId="6BC7542C" w14:textId="77777777">
            <w:pPr>
              <w:pBdr>
                <w:top w:val="none" w:sz="0" w:space="0" w:color="000000"/>
                <w:left w:val="none" w:sz="0" w:space="0" w:color="000000"/>
                <w:bottom w:val="none" w:sz="0" w:space="0" w:color="000000"/>
                <w:right w:val="none" w:sz="0" w:space="0" w:color="000000"/>
              </w:pBdr>
              <w:spacing w:before="80" w:after="80"/>
              <w:ind w:left="80" w:right="80"/>
              <w:rPr>
                <w:b/>
                <w:color w:val="000000"/>
                <w:sz w:val="20"/>
                <w:szCs w:val="20"/>
              </w:rPr>
            </w:pPr>
            <w:r>
              <w:rPr>
                <w:b/>
                <w:color w:val="000000"/>
                <w:sz w:val="20"/>
                <w:szCs w:val="20"/>
              </w:rPr>
              <w:t>CT outcome</w:t>
            </w:r>
            <w:proofErr w:type="gramStart"/>
            <w:r>
              <w:rPr>
                <w:b/>
                <w:color w:val="000000"/>
                <w:sz w:val="20"/>
                <w:szCs w:val="20"/>
              </w:rPr>
              <w:t xml:space="preserve">   (</w:t>
            </w:r>
            <w:proofErr w:type="gramEnd"/>
            <w:r>
              <w:rPr>
                <w:b/>
                <w:color w:val="000000"/>
                <w:sz w:val="20"/>
                <w:szCs w:val="20"/>
              </w:rPr>
              <w:t>included n = 81,516; excluded n = 49,841)</w:t>
            </w:r>
          </w:p>
        </w:tc>
      </w:tr>
      <w:tr w14:paraId="27283127"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A0CDB4"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Socioeconomic background</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0603C"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0.02 (0.99)</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8C293"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-0.06 (1.02)</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D6714"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-0.000</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856D6"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0620F766"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4BF25DBD"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Computer experience</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2C02FAD2"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2.65 (1.20)</w:t>
            </w:r>
          </w:p>
        </w:tc>
        <w:tc>
          <w:tcPr>
            <w:tcW w:w="2232"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095D17FE"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2.15 (1.40)</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536E2C9C"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0.277</w:t>
            </w:r>
          </w:p>
        </w:tc>
        <w:tc>
          <w:tcPr>
            <w:tcW w:w="1368" w:type="dxa"/>
            <w:tcBorders>
              <w:top w:val="none" w:sz="0" w:space="0" w:color="000000"/>
              <w:left w:val="none" w:sz="0" w:space="0" w:color="000000"/>
              <w:bottom w:val="none" w:sz="0" w:space="0" w:color="000000"/>
              <w:right w:val="none" w:sz="0" w:space="0" w:color="000000"/>
            </w:tcBorders>
            <w:shd w:val="clear" w:color="auto" w:fill="F7F7F7"/>
            <w:tcMar>
              <w:top w:w="0" w:type="dxa"/>
              <w:left w:w="0" w:type="dxa"/>
              <w:bottom w:w="0" w:type="dxa"/>
              <w:right w:w="0" w:type="dxa"/>
            </w:tcMar>
            <w:vAlign w:val="center"/>
          </w:tcPr>
          <w:p w14:paraId="44B2457F"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5C202BC5" w14:textId="77777777">
        <w:trPr>
          <w:jc w:val="center"/>
        </w:trPr>
        <w:tc>
          <w:tcPr>
            <w:tcW w:w="46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FCADD"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Safe-ICT instruction</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64CB7"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50.48 (9.94)</w:t>
            </w:r>
          </w:p>
        </w:tc>
        <w:tc>
          <w:tcPr>
            <w:tcW w:w="22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9C672"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50.86 (10.21)</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EE592"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-0.096</w:t>
            </w:r>
          </w:p>
        </w:tc>
        <w:tc>
          <w:tcPr>
            <w:tcW w:w="13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9E9EF"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6979CFC0" w14:textId="77777777">
        <w:trPr>
          <w:jc w:val="center"/>
        </w:trPr>
        <w:tc>
          <w:tcPr>
            <w:tcW w:w="4608" w:type="dxa"/>
            <w:tcBorders>
              <w:top w:val="none" w:sz="0" w:space="0" w:color="000000"/>
              <w:left w:val="none" w:sz="0" w:space="0" w:color="000000"/>
              <w:bottom w:val="single" w:sz="8" w:space="0" w:color="000000"/>
              <w:right w:val="none" w:sz="0" w:space="0" w:color="000000"/>
            </w:tcBorders>
            <w:shd w:val="clear" w:color="auto" w:fill="F7F7F7"/>
            <w:tcMar>
              <w:top w:w="0" w:type="dxa"/>
              <w:left w:w="0" w:type="dxa"/>
              <w:bottom w:w="0" w:type="dxa"/>
              <w:right w:w="0" w:type="dxa"/>
            </w:tcMar>
            <w:vAlign w:val="center"/>
          </w:tcPr>
          <w:p w14:paraId="593C1C60" w14:textId="77777777">
            <w:pPr>
              <w:pBdr>
                <w:top w:val="none" w:sz="0" w:space="0" w:color="000000"/>
                <w:left w:val="none" w:sz="0" w:space="0" w:color="000000"/>
                <w:bottom w:val="none" w:sz="0" w:space="0" w:color="000000"/>
                <w:right w:val="none" w:sz="0" w:space="0" w:color="000000"/>
              </w:pBdr>
              <w:spacing w:before="80" w:after="80"/>
              <w:ind w:left="200" w:right="80"/>
              <w:rPr>
                <w:color w:val="000000"/>
                <w:sz w:val="20"/>
                <w:szCs w:val="20"/>
              </w:rPr>
            </w:pPr>
            <w:r>
              <w:rPr>
                <w:color w:val="000000"/>
                <w:sz w:val="20"/>
                <w:szCs w:val="20"/>
              </w:rPr>
              <w:t>Female</w:t>
            </w:r>
          </w:p>
        </w:tc>
        <w:tc>
          <w:tcPr>
            <w:tcW w:w="2232" w:type="dxa"/>
            <w:tcBorders>
              <w:top w:val="none" w:sz="0" w:space="0" w:color="000000"/>
              <w:left w:val="none" w:sz="0" w:space="0" w:color="000000"/>
              <w:bottom w:val="single" w:sz="8" w:space="0" w:color="000000"/>
              <w:right w:val="none" w:sz="0" w:space="0" w:color="000000"/>
            </w:tcBorders>
            <w:shd w:val="clear" w:color="auto" w:fill="F7F7F7"/>
            <w:tcMar>
              <w:top w:w="0" w:type="dxa"/>
              <w:left w:w="0" w:type="dxa"/>
              <w:bottom w:w="0" w:type="dxa"/>
              <w:right w:w="0" w:type="dxa"/>
            </w:tcMar>
            <w:vAlign w:val="center"/>
          </w:tcPr>
          <w:p w14:paraId="721979B8"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50.3%</w:t>
            </w:r>
          </w:p>
        </w:tc>
        <w:tc>
          <w:tcPr>
            <w:tcW w:w="2232" w:type="dxa"/>
            <w:tcBorders>
              <w:top w:val="none" w:sz="0" w:space="0" w:color="000000"/>
              <w:left w:val="none" w:sz="0" w:space="0" w:color="000000"/>
              <w:bottom w:val="single" w:sz="8" w:space="0" w:color="000000"/>
              <w:right w:val="none" w:sz="0" w:space="0" w:color="000000"/>
            </w:tcBorders>
            <w:shd w:val="clear" w:color="auto" w:fill="F7F7F7"/>
            <w:tcMar>
              <w:top w:w="0" w:type="dxa"/>
              <w:left w:w="0" w:type="dxa"/>
              <w:bottom w:w="0" w:type="dxa"/>
              <w:right w:w="0" w:type="dxa"/>
            </w:tcMar>
            <w:vAlign w:val="center"/>
          </w:tcPr>
          <w:p w14:paraId="565F88CB"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47.2%</w:t>
            </w:r>
          </w:p>
        </w:tc>
        <w:tc>
          <w:tcPr>
            <w:tcW w:w="1368" w:type="dxa"/>
            <w:tcBorders>
              <w:top w:val="none" w:sz="0" w:space="0" w:color="000000"/>
              <w:left w:val="none" w:sz="0" w:space="0" w:color="000000"/>
              <w:bottom w:val="single" w:sz="8" w:space="0" w:color="000000"/>
              <w:right w:val="none" w:sz="0" w:space="0" w:color="000000"/>
            </w:tcBorders>
            <w:shd w:val="clear" w:color="auto" w:fill="F7F7F7"/>
            <w:tcMar>
              <w:top w:w="0" w:type="dxa"/>
              <w:left w:w="0" w:type="dxa"/>
              <w:bottom w:w="0" w:type="dxa"/>
              <w:right w:w="0" w:type="dxa"/>
            </w:tcMar>
            <w:vAlign w:val="center"/>
          </w:tcPr>
          <w:p w14:paraId="2A0FC4D1" w14:textId="77777777">
            <w:pPr>
              <w:pBdr>
                <w:top w:val="none" w:sz="0" w:space="0" w:color="000000"/>
                <w:left w:val="none" w:sz="0" w:space="0" w:color="000000"/>
                <w:bottom w:val="none" w:sz="0" w:space="0" w:color="000000"/>
                <w:right w:val="none" w:sz="0" w:space="0" w:color="000000"/>
              </w:pBdr>
              <w:spacing w:before="80" w:after="80"/>
              <w:ind w:left="80" w:right="80"/>
              <w:jc w:val="center"/>
              <w:rPr>
                <w:color w:val="000000"/>
                <w:sz w:val="20"/>
                <w:szCs w:val="20"/>
              </w:rPr>
            </w:pPr>
            <w:r>
              <w:rPr>
                <w:color w:val="000000"/>
                <w:sz w:val="20"/>
                <w:szCs w:val="20"/>
              </w:rPr>
              <w:t>0.030</w:t>
            </w:r>
          </w:p>
        </w:tc>
        <w:tc>
          <w:tcPr>
            <w:tcW w:w="1368" w:type="dxa"/>
            <w:tcBorders>
              <w:top w:val="none" w:sz="0" w:space="0" w:color="000000"/>
              <w:left w:val="none" w:sz="0" w:space="0" w:color="000000"/>
              <w:bottom w:val="single" w:sz="8" w:space="0" w:color="000000"/>
              <w:right w:val="none" w:sz="0" w:space="0" w:color="000000"/>
            </w:tcBorders>
            <w:shd w:val="clear" w:color="auto" w:fill="F7F7F7"/>
            <w:tcMar>
              <w:top w:w="0" w:type="dxa"/>
              <w:left w:w="0" w:type="dxa"/>
              <w:bottom w:w="0" w:type="dxa"/>
              <w:right w:w="0" w:type="dxa"/>
            </w:tcMar>
            <w:vAlign w:val="center"/>
          </w:tcPr>
          <w:p w14:paraId="39FE3D13" w14:textId="77777777">
            <w:pPr>
              <w:pBdr>
                <w:top w:val="none" w:sz="0" w:space="0" w:color="000000"/>
                <w:left w:val="none" w:sz="0" w:space="0" w:color="000000"/>
                <w:bottom w:val="none" w:sz="0" w:space="0" w:color="000000"/>
                <w:right w:val="none" w:sz="0" w:space="0" w:color="000000"/>
              </w:pBdr>
              <w:spacing w:before="80" w:after="80"/>
              <w:ind w:left="80" w:right="80"/>
              <w:jc w:val="center"/>
              <w:rPr>
                <w:b/>
                <w:color w:val="000000"/>
                <w:sz w:val="20"/>
                <w:szCs w:val="20"/>
              </w:rPr>
            </w:pPr>
            <w:r>
              <w:rPr>
                <w:b/>
                <w:color w:val="000000"/>
                <w:sz w:val="20"/>
                <w:szCs w:val="20"/>
              </w:rPr>
              <w:t>&lt;0.001</w:t>
            </w:r>
          </w:p>
        </w:tc>
      </w:tr>
      <w:tr w14:paraId="5A7D2C8C" w14:textId="77777777">
        <w:trPr>
          <w:jc w:val="center"/>
        </w:trPr>
        <w:tc>
          <w:tcPr>
            <w:tcW w:w="11808" w:type="dxa"/>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123EE64" w14:textId="77777777">
            <w:pPr>
              <w:pBdr>
                <w:top w:val="none" w:sz="0" w:space="0" w:color="000000"/>
                <w:left w:val="none" w:sz="0" w:space="0" w:color="000000"/>
                <w:bottom w:val="none" w:sz="0" w:space="0" w:color="000000"/>
                <w:right w:val="none" w:sz="0" w:space="0" w:color="000000"/>
              </w:pBdr>
              <w:spacing w:before="100" w:after="100"/>
              <w:ind w:right="100"/>
              <w:rPr>
                <w:rFonts w:eastAsia="Helvetica"/>
                <w:iCs/>
                <w:color w:val="000000"/>
                <w:sz w:val="18"/>
                <w:szCs w:val="18"/>
              </w:rPr>
            </w:pPr>
            <w:r>
              <w:rPr>
                <w:rFonts w:eastAsia="Helvetica"/>
                <w:i/>
                <w:color w:val="000000"/>
                <w:sz w:val="18"/>
                <w:szCs w:val="18"/>
              </w:rPr>
              <w:t>Note</w:t>
            </w:r>
            <w:r>
              <w:rPr>
                <w:rFonts w:eastAsia="Helvetica"/>
                <w:iCs/>
                <w:color w:val="000000"/>
                <w:sz w:val="18"/>
                <w:szCs w:val="18"/>
              </w:rPr>
              <w:t>. Included students were those with non-missing S_ACMULT and the relevant outcome indicator, defined as PV1CIL for CIL analyses and PV1CT for CT analyses. Values are weighted mean (SD) for continuous variables and weighted percentage for female. Std. diff. = standardized difference. P values are approximate tests of included versus excluded students. Background variables were cleaned for user-defined missing values and implausible out-of-range codes before comparison.</w:t>
            </w:r>
          </w:p>
        </w:tc>
      </w:tr>
    </w:tbl>
    <w:p w14:paraId="6431FB53" w14:textId="1A5A0991">
      <w:pPr>
        <w:rPr>
          <w:sz w:val="18"/>
          <w:szCs w:val="18"/>
        </w:rPr>
      </w:pPr>
    </w:p>
    <w:p w14:paraId="6F358F2C" w14:textId="77777777">
      <w:pPr>
        <w:spacing w:before="120" w:line="240" w:lineRule="auto"/>
        <w:rPr>
          <w:sz w:val="18"/>
          <w:szCs w:val="18"/>
        </w:rPr>
        <w:sectPr>
          <w:pgSz w:w="15840" w:h="12240" w:orient="landscape"/>
          <w:pgMar w:top="1440" w:right="1440" w:bottom="1440" w:left="1440" w:header="708" w:footer="708" w:gutter="0"/>
          <w:lnNumType w:countBy="1" w:restart="continuous"/>
          <w:cols w:space="720"/>
          <w:docGrid w:linePitch="360"/>
        </w:sectPr>
      </w:pPr>
    </w:p>
    <w:p w14:paraId="50BE13DD" w14:textId="77777777">
      <w:r>
        <w:rPr>
          <w:b/>
          <w:bCs/>
          <w:sz w:val="24"/>
          <w:szCs w:val="24"/>
        </w:rPr>
        <w:lastRenderedPageBreak/>
        <w:t>Supplementary Methods S1. Item Wording, Coding, and Construct Specification</w:t>
      </w:r>
    </w:p>
    <w:p w14:paraId="270CEDF6" w14:textId="77777777">
      <w:pPr>
        <w:spacing w:after="120"/>
        <w:jc w:val="both"/>
      </w:pPr>
      <w:r>
        <w:t>The ICILS 2023 academic-media multitasking items (IS3G21A–F) ask students: “When you do school-related activities outside of school, how often do you also do the following?” Response categories are: never or hardly ever, sometimes, often, always. The six items are:</w:t>
      </w:r>
    </w:p>
    <w:p w14:paraId="3611C6B1" w14:textId="77777777">
      <w:pPr>
        <w:spacing w:after="60"/>
        <w:ind w:left="720"/>
        <w:jc w:val="both"/>
      </w:pPr>
      <w:r>
        <w:t>IS3G21A: Send text messages to chat with others</w:t>
      </w:r>
    </w:p>
    <w:p w14:paraId="63004359" w14:textId="77777777">
      <w:pPr>
        <w:spacing w:after="60"/>
        <w:ind w:left="720"/>
        <w:jc w:val="both"/>
      </w:pPr>
      <w:r>
        <w:t>IS3G21B: Use social media to view or post content</w:t>
      </w:r>
    </w:p>
    <w:p w14:paraId="1C249F60" w14:textId="77777777">
      <w:pPr>
        <w:spacing w:after="60"/>
        <w:ind w:left="720"/>
        <w:jc w:val="both"/>
      </w:pPr>
      <w:r>
        <w:t>IS3G21C: Check social media for new posts or responses</w:t>
      </w:r>
    </w:p>
    <w:p w14:paraId="4402EAE2" w14:textId="77777777">
      <w:pPr>
        <w:spacing w:after="60"/>
        <w:ind w:left="720"/>
        <w:jc w:val="both"/>
      </w:pPr>
      <w:r>
        <w:t>IS3G21D: Use the internet to find information about things I am interested in</w:t>
      </w:r>
    </w:p>
    <w:p w14:paraId="3EF9C51B" w14:textId="77777777">
      <w:pPr>
        <w:spacing w:after="60"/>
        <w:ind w:left="720"/>
        <w:jc w:val="both"/>
      </w:pPr>
      <w:r>
        <w:t>IS3G21E: Watch online videos, live streams, or television</w:t>
      </w:r>
    </w:p>
    <w:p w14:paraId="0F0B70F5" w14:textId="77777777">
      <w:pPr>
        <w:spacing w:after="120"/>
        <w:ind w:left="720"/>
        <w:jc w:val="both"/>
      </w:pPr>
      <w:r>
        <w:t>IS3G21F: Listen to music, radio, or podcasts</w:t>
      </w:r>
    </w:p>
    <w:p w14:paraId="44F919CE" w14:textId="60FB686D">
      <w:pPr>
        <w:spacing w:after="120"/>
        <w:jc w:val="both"/>
      </w:pPr>
      <w:r>
        <w:t>The IEA-provided scale S_ACMULT is a six-item ordered-response scale calibrated using the Rasch partial credit model and reported as Warm weighted likelihood estimates (WLEs) on the ICILS international metric (M = 50, SD = 10). Cross-country measurement invariance was evaluated using root mean square deviation (RMSD) criteria and found satisfactory across participating systems (</w:t>
      </w:r>
      <w:proofErr w:type="spellStart"/>
      <w:r>
        <w:t>Fraillon</w:t>
      </w:r>
      <w:proofErr w:type="spellEnd"/>
      <w:r>
        <w:t xml:space="preserve"> et al., 2024).</w:t>
      </w:r>
    </w:p>
    <w:p w14:paraId="235FD385" w14:textId="77777777">
      <w:pPr>
        <w:spacing w:after="200"/>
        <w:jc w:val="both"/>
      </w:pPr>
      <w:r>
        <w:t xml:space="preserve">For decomposition analyses, items were grouped as follows. The social multitasking composite was the </w:t>
      </w:r>
      <w:proofErr w:type="spellStart"/>
      <w:r>
        <w:t>standardised</w:t>
      </w:r>
      <w:proofErr w:type="spellEnd"/>
      <w:r>
        <w:t xml:space="preserve"> mean of items A, B, and C. The entertainment multitasking composite was the </w:t>
      </w:r>
      <w:proofErr w:type="spellStart"/>
      <w:r>
        <w:t>standardised</w:t>
      </w:r>
      <w:proofErr w:type="spellEnd"/>
      <w:r>
        <w:t xml:space="preserve"> mean of items E and F. Information-seeking was the </w:t>
      </w:r>
      <w:proofErr w:type="spellStart"/>
      <w:r>
        <w:t>standardised</w:t>
      </w:r>
      <w:proofErr w:type="spellEnd"/>
      <w:r>
        <w:t xml:space="preserve"> single item D. The off-task composite was the </w:t>
      </w:r>
      <w:proofErr w:type="spellStart"/>
      <w:r>
        <w:t>standardised</w:t>
      </w:r>
      <w:proofErr w:type="spellEnd"/>
      <w:r>
        <w:t xml:space="preserve"> mean of items A, B, C, E, and F (excluding the potentially task-relevant item D). All composites were standardized to z-scores for regression analyses with country fixed effects estimated on the pooled student-level data.</w:t>
      </w:r>
    </w:p>
    <w:p w14:paraId="2E426D6F" w14:textId="77777777">
      <w:r>
        <w:br w:type="page"/>
      </w:r>
    </w:p>
    <w:p w14:paraId="456D062D" w14:textId="77777777">
      <w:pPr>
        <w:pStyle w:val="Heading1"/>
        <w:jc w:val="both"/>
      </w:pPr>
      <w:r>
        <w:lastRenderedPageBreak/>
        <w:t>Supplementary Methods S2. TIMSS 2023 Measures and Analytic Strategy</w:t>
      </w:r>
    </w:p>
    <w:p w14:paraId="0292D7CD" w14:textId="77777777">
      <w:pPr>
        <w:spacing w:after="120"/>
        <w:jc w:val="both"/>
      </w:pPr>
      <w:r>
        <w:t xml:space="preserve">TIMSS 2023 does not include any student-reported item directly measuring academic-media multitasking during homework. An exhaustive review of the complete TIMSS 2023 Grade 8 student background questionnaire codebook confirmed that no item captures social media use, entertainment media consumption, or task-switching </w:t>
      </w:r>
      <w:proofErr w:type="spellStart"/>
      <w:r>
        <w:t>behaviour</w:t>
      </w:r>
      <w:proofErr w:type="spellEnd"/>
      <w:r>
        <w:t xml:space="preserve"> during study time. We therefore adopted a three-pronged external corroboration approach.</w:t>
      </w:r>
    </w:p>
    <w:p w14:paraId="566D72B7" w14:textId="77777777">
      <w:pPr>
        <w:spacing w:after="120"/>
        <w:jc w:val="both"/>
      </w:pPr>
      <w:r>
        <w:rPr>
          <w:b/>
          <w:bCs/>
        </w:rPr>
        <w:t xml:space="preserve">Prong 1: Learning games frequency (BSBG12F). </w:t>
      </w:r>
      <w:r>
        <w:t xml:space="preserve">This item asks “How often do you use the internet to access learning games online?” using a three-point scale (1 = at least once a week; 2 = once or twice a month; 3 = never or almost never). It was reverse-coded so higher values indicate more frequent use and </w:t>
      </w:r>
      <w:proofErr w:type="spellStart"/>
      <w:r>
        <w:t>standardised</w:t>
      </w:r>
      <w:proofErr w:type="spellEnd"/>
      <w:r>
        <w:t xml:space="preserve"> to z-scores. Although the item specifies “learning games,” frequent online game access during study time plausibly indexes distraction-prone study </w:t>
      </w:r>
      <w:proofErr w:type="spellStart"/>
      <w:r>
        <w:t>behaviour</w:t>
      </w:r>
      <w:proofErr w:type="spellEnd"/>
      <w:r>
        <w:t>.</w:t>
      </w:r>
    </w:p>
    <w:p w14:paraId="3FD6CCDF" w14:textId="77777777">
      <w:pPr>
        <w:spacing w:after="120"/>
        <w:jc w:val="both"/>
      </w:pPr>
      <w:r>
        <w:rPr>
          <w:b/>
          <w:bCs/>
        </w:rPr>
        <w:t xml:space="preserve">Prong 2: Internet use for schoolwork composite (BSBG12A–F). </w:t>
      </w:r>
      <w:r>
        <w:t xml:space="preserve">A mean composite of six items capturing internet use for school purposes (accessing textbooks, assignments, collaborating, asking teachers, finding information, learning games). Items were reverse-coded, and the composite required at least 5/6 non-missing items (Cronbach’s α = .72 in the pooled sample; </w:t>
      </w:r>
      <w:proofErr w:type="spellStart"/>
      <w:r>
        <w:t>standardised</w:t>
      </w:r>
      <w:proofErr w:type="spellEnd"/>
      <w:r>
        <w:t xml:space="preserve"> to z-scores).</w:t>
      </w:r>
    </w:p>
    <w:p w14:paraId="2E7E5131" w14:textId="77777777">
      <w:pPr>
        <w:spacing w:after="120"/>
        <w:jc w:val="both"/>
      </w:pPr>
      <w:r>
        <w:rPr>
          <w:b/>
          <w:bCs/>
        </w:rPr>
        <w:t xml:space="preserve">Prong 3: Teacher-reported distraction climate. </w:t>
      </w:r>
      <w:r>
        <w:t xml:space="preserve">Three teacher-reported items were aggregated to school-level means: BTBG13G (teaching limited by distracted students), BTBM18C (keeping students on task limits digital device use in mathematics), and BTBS21C (same for science). The composite was </w:t>
      </w:r>
      <w:proofErr w:type="spellStart"/>
      <w:r>
        <w:t>standardised</w:t>
      </w:r>
      <w:proofErr w:type="spellEnd"/>
      <w:r>
        <w:t xml:space="preserve"> and used as a cross-level moderator of the Prong 2 association.</w:t>
      </w:r>
    </w:p>
    <w:p w14:paraId="3EFD97E6" w14:textId="77777777">
      <w:pPr>
        <w:spacing w:after="200"/>
        <w:jc w:val="both"/>
      </w:pPr>
      <w:r>
        <w:t>All TIMSS models adjusted for digital self-efficacy (BSBGSEC), gender (ITSEX), and home educational resources (BSBGHER). Country-specific regressions used the JK2 paired jackknife variance procedure with five plausible values and Rubin’s rules, mirroring the ICILS strategy.</w:t>
      </w:r>
    </w:p>
    <w:p w14:paraId="21B916E4" w14:textId="77777777">
      <w:pPr>
        <w:jc w:val="both"/>
      </w:pPr>
      <w:r>
        <w:br w:type="page"/>
      </w:r>
    </w:p>
    <w:p w14:paraId="54AFF57B" w14:textId="77777777">
      <w:pPr>
        <w:pStyle w:val="Heading1"/>
      </w:pPr>
      <w:r>
        <w:lastRenderedPageBreak/>
        <w:t>Supplementary Results S3. Exposure Decomposition Analyses</w:t>
      </w:r>
    </w:p>
    <w:p w14:paraId="7D69428D" w14:textId="0EB10318">
      <w:pPr>
        <w:spacing w:after="200"/>
        <w:jc w:val="both"/>
      </w:pPr>
      <w:r>
        <w:t>Table S3 and S4 present regression coefficients from country fixed-effects models estimated on the pooled student-level data. Table S3 reports the single-item models, whereas Table S4 reports the grouped-component and overall-scale models. For CT, most single-item exposures and all grouped-component measures were negatively associated, with checking social media (item C) showing the largest magnitude. For CIL, the pattern was mixed: social media indicators were negative, entertainment indicators were positive, and information-seeking was not significantly associated.</w:t>
      </w:r>
    </w:p>
    <w:p w14:paraId="4A2B1761" w14:textId="37D07ACC">
      <w:pPr>
        <w:spacing w:after="40"/>
      </w:pPr>
      <w:r>
        <w:rPr>
          <w:b/>
          <w:bCs/>
          <w:sz w:val="20"/>
          <w:szCs w:val="20"/>
        </w:rPr>
        <w:t>Table S3</w:t>
      </w:r>
    </w:p>
    <w:p w14:paraId="28D11AA7" w14:textId="75636703">
      <w:pPr>
        <w:spacing w:after="120"/>
        <w:rPr>
          <w:i/>
          <w:iCs/>
          <w:sz w:val="20"/>
          <w:szCs w:val="20"/>
        </w:rPr>
      </w:pPr>
      <w:r>
        <w:rPr>
          <w:i/>
          <w:iCs/>
          <w:sz w:val="20"/>
          <w:szCs w:val="20"/>
        </w:rPr>
        <w:t>Associations of Individual Multitasking Items with CIL and CT in Regression Models with Country Fixed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0"/>
        <w:gridCol w:w="979"/>
        <w:gridCol w:w="1079"/>
      </w:tblGrid>
      <w:tr w14:paraId="3353F673" w14:textId="77777777">
        <w:tc>
          <w:tcPr>
            <w:tcW w:w="0" w:type="auto"/>
            <w:tcBorders>
              <w:bottom w:val="single" w:sz="4" w:space="0" w:color="auto"/>
            </w:tcBorders>
            <w:hideMark/>
          </w:tcPr>
          <w:p w14:paraId="45C2F399" w14:textId="77777777">
            <w:pPr>
              <w:spacing w:after="120" w:line="360" w:lineRule="auto"/>
              <w:rPr>
                <w:b/>
                <w:bCs/>
                <w:sz w:val="20"/>
                <w:szCs w:val="20"/>
              </w:rPr>
            </w:pPr>
            <w:r>
              <w:rPr>
                <w:b/>
                <w:bCs/>
                <w:sz w:val="20"/>
                <w:szCs w:val="20"/>
              </w:rPr>
              <w:t>Single-item model</w:t>
            </w:r>
          </w:p>
        </w:tc>
        <w:tc>
          <w:tcPr>
            <w:tcW w:w="0" w:type="auto"/>
            <w:tcBorders>
              <w:bottom w:val="single" w:sz="4" w:space="0" w:color="auto"/>
            </w:tcBorders>
            <w:hideMark/>
          </w:tcPr>
          <w:p w14:paraId="630809C6" w14:textId="77777777">
            <w:pPr>
              <w:spacing w:after="120" w:line="360" w:lineRule="auto"/>
              <w:rPr>
                <w:b/>
                <w:bCs/>
                <w:sz w:val="20"/>
                <w:szCs w:val="20"/>
              </w:rPr>
            </w:pPr>
            <w:r>
              <w:rPr>
                <w:b/>
                <w:bCs/>
                <w:sz w:val="20"/>
                <w:szCs w:val="20"/>
              </w:rPr>
              <w:t>β CIL</w:t>
            </w:r>
          </w:p>
        </w:tc>
        <w:tc>
          <w:tcPr>
            <w:tcW w:w="0" w:type="auto"/>
            <w:tcBorders>
              <w:bottom w:val="single" w:sz="4" w:space="0" w:color="auto"/>
            </w:tcBorders>
            <w:hideMark/>
          </w:tcPr>
          <w:p w14:paraId="466BDEED" w14:textId="77777777">
            <w:pPr>
              <w:spacing w:after="120" w:line="360" w:lineRule="auto"/>
              <w:rPr>
                <w:b/>
                <w:bCs/>
                <w:sz w:val="20"/>
                <w:szCs w:val="20"/>
              </w:rPr>
            </w:pPr>
            <w:r>
              <w:rPr>
                <w:b/>
                <w:bCs/>
                <w:sz w:val="20"/>
                <w:szCs w:val="20"/>
              </w:rPr>
              <w:t>β CT</w:t>
            </w:r>
          </w:p>
        </w:tc>
      </w:tr>
      <w:tr w14:paraId="2269A738" w14:textId="77777777">
        <w:tc>
          <w:tcPr>
            <w:tcW w:w="0" w:type="auto"/>
            <w:tcBorders>
              <w:top w:val="single" w:sz="4" w:space="0" w:color="auto"/>
            </w:tcBorders>
            <w:hideMark/>
          </w:tcPr>
          <w:p w14:paraId="37227724" w14:textId="77777777">
            <w:pPr>
              <w:spacing w:after="120" w:line="360" w:lineRule="auto"/>
              <w:rPr>
                <w:sz w:val="20"/>
                <w:szCs w:val="20"/>
              </w:rPr>
            </w:pPr>
            <w:r>
              <w:rPr>
                <w:sz w:val="20"/>
                <w:szCs w:val="20"/>
              </w:rPr>
              <w:t>A. Text chat</w:t>
            </w:r>
          </w:p>
        </w:tc>
        <w:tc>
          <w:tcPr>
            <w:tcW w:w="0" w:type="auto"/>
            <w:tcBorders>
              <w:top w:val="single" w:sz="4" w:space="0" w:color="auto"/>
            </w:tcBorders>
            <w:hideMark/>
          </w:tcPr>
          <w:p w14:paraId="40415FFE" w14:textId="77777777">
            <w:pPr>
              <w:spacing w:after="120" w:line="360" w:lineRule="auto"/>
              <w:rPr>
                <w:sz w:val="20"/>
                <w:szCs w:val="20"/>
              </w:rPr>
            </w:pPr>
            <w:r>
              <w:rPr>
                <w:sz w:val="20"/>
                <w:szCs w:val="20"/>
              </w:rPr>
              <w:t>3.43***</w:t>
            </w:r>
          </w:p>
        </w:tc>
        <w:tc>
          <w:tcPr>
            <w:tcW w:w="0" w:type="auto"/>
            <w:tcBorders>
              <w:top w:val="single" w:sz="4" w:space="0" w:color="auto"/>
            </w:tcBorders>
            <w:hideMark/>
          </w:tcPr>
          <w:p w14:paraId="270C6ACB" w14:textId="77777777">
            <w:pPr>
              <w:spacing w:after="120" w:line="360" w:lineRule="auto"/>
              <w:rPr>
                <w:sz w:val="20"/>
                <w:szCs w:val="20"/>
              </w:rPr>
            </w:pPr>
            <w:r>
              <w:rPr>
                <w:sz w:val="20"/>
                <w:szCs w:val="20"/>
              </w:rPr>
              <w:t>−8.49***</w:t>
            </w:r>
          </w:p>
        </w:tc>
      </w:tr>
      <w:tr w14:paraId="66522AC0" w14:textId="77777777">
        <w:tc>
          <w:tcPr>
            <w:tcW w:w="0" w:type="auto"/>
            <w:hideMark/>
          </w:tcPr>
          <w:p w14:paraId="4A40CF08" w14:textId="77777777">
            <w:pPr>
              <w:spacing w:after="120" w:line="360" w:lineRule="auto"/>
              <w:rPr>
                <w:sz w:val="20"/>
                <w:szCs w:val="20"/>
              </w:rPr>
            </w:pPr>
            <w:r>
              <w:rPr>
                <w:sz w:val="20"/>
                <w:szCs w:val="20"/>
              </w:rPr>
              <w:t>B. Social media use/post</w:t>
            </w:r>
          </w:p>
        </w:tc>
        <w:tc>
          <w:tcPr>
            <w:tcW w:w="0" w:type="auto"/>
            <w:hideMark/>
          </w:tcPr>
          <w:p w14:paraId="33534EE2" w14:textId="77777777">
            <w:pPr>
              <w:spacing w:after="120" w:line="360" w:lineRule="auto"/>
              <w:rPr>
                <w:sz w:val="20"/>
                <w:szCs w:val="20"/>
              </w:rPr>
            </w:pPr>
            <w:r>
              <w:rPr>
                <w:sz w:val="20"/>
                <w:szCs w:val="20"/>
              </w:rPr>
              <w:t>−2.35**</w:t>
            </w:r>
          </w:p>
        </w:tc>
        <w:tc>
          <w:tcPr>
            <w:tcW w:w="0" w:type="auto"/>
            <w:hideMark/>
          </w:tcPr>
          <w:p w14:paraId="1E05F9F0" w14:textId="77777777">
            <w:pPr>
              <w:spacing w:after="120" w:line="360" w:lineRule="auto"/>
              <w:rPr>
                <w:sz w:val="20"/>
                <w:szCs w:val="20"/>
              </w:rPr>
            </w:pPr>
            <w:r>
              <w:rPr>
                <w:sz w:val="20"/>
                <w:szCs w:val="20"/>
              </w:rPr>
              <w:t>−15.10***</w:t>
            </w:r>
          </w:p>
        </w:tc>
      </w:tr>
      <w:tr w14:paraId="435CF0F8" w14:textId="77777777">
        <w:tc>
          <w:tcPr>
            <w:tcW w:w="0" w:type="auto"/>
            <w:hideMark/>
          </w:tcPr>
          <w:p w14:paraId="793EFB49" w14:textId="77777777">
            <w:pPr>
              <w:spacing w:after="120" w:line="360" w:lineRule="auto"/>
              <w:rPr>
                <w:sz w:val="20"/>
                <w:szCs w:val="20"/>
              </w:rPr>
            </w:pPr>
            <w:r>
              <w:rPr>
                <w:sz w:val="20"/>
                <w:szCs w:val="20"/>
              </w:rPr>
              <w:t>C. Check social media</w:t>
            </w:r>
          </w:p>
        </w:tc>
        <w:tc>
          <w:tcPr>
            <w:tcW w:w="0" w:type="auto"/>
            <w:hideMark/>
          </w:tcPr>
          <w:p w14:paraId="003B232C" w14:textId="77777777">
            <w:pPr>
              <w:spacing w:after="120" w:line="360" w:lineRule="auto"/>
              <w:rPr>
                <w:sz w:val="20"/>
                <w:szCs w:val="20"/>
              </w:rPr>
            </w:pPr>
            <w:r>
              <w:rPr>
                <w:sz w:val="20"/>
                <w:szCs w:val="20"/>
              </w:rPr>
              <w:t>−8.71***</w:t>
            </w:r>
          </w:p>
        </w:tc>
        <w:tc>
          <w:tcPr>
            <w:tcW w:w="0" w:type="auto"/>
            <w:hideMark/>
          </w:tcPr>
          <w:p w14:paraId="77C10800" w14:textId="77777777">
            <w:pPr>
              <w:spacing w:after="120" w:line="360" w:lineRule="auto"/>
              <w:rPr>
                <w:sz w:val="20"/>
                <w:szCs w:val="20"/>
              </w:rPr>
            </w:pPr>
            <w:r>
              <w:rPr>
                <w:sz w:val="20"/>
                <w:szCs w:val="20"/>
              </w:rPr>
              <w:t>−21.74***</w:t>
            </w:r>
          </w:p>
        </w:tc>
      </w:tr>
      <w:tr w14:paraId="01D96255" w14:textId="77777777">
        <w:tc>
          <w:tcPr>
            <w:tcW w:w="0" w:type="auto"/>
            <w:hideMark/>
          </w:tcPr>
          <w:p w14:paraId="5F9543D1" w14:textId="77777777">
            <w:pPr>
              <w:spacing w:after="120" w:line="360" w:lineRule="auto"/>
              <w:rPr>
                <w:sz w:val="20"/>
                <w:szCs w:val="20"/>
              </w:rPr>
            </w:pPr>
            <w:r>
              <w:rPr>
                <w:sz w:val="20"/>
                <w:szCs w:val="20"/>
              </w:rPr>
              <w:t>D. Internet for information</w:t>
            </w:r>
          </w:p>
        </w:tc>
        <w:tc>
          <w:tcPr>
            <w:tcW w:w="0" w:type="auto"/>
            <w:hideMark/>
          </w:tcPr>
          <w:p w14:paraId="7C578E13" w14:textId="77777777">
            <w:pPr>
              <w:spacing w:after="120" w:line="360" w:lineRule="auto"/>
              <w:rPr>
                <w:sz w:val="20"/>
                <w:szCs w:val="20"/>
              </w:rPr>
            </w:pPr>
            <w:r>
              <w:rPr>
                <w:sz w:val="20"/>
                <w:szCs w:val="20"/>
              </w:rPr>
              <w:t>1.32</w:t>
            </w:r>
          </w:p>
        </w:tc>
        <w:tc>
          <w:tcPr>
            <w:tcW w:w="0" w:type="auto"/>
            <w:hideMark/>
          </w:tcPr>
          <w:p w14:paraId="45F27759" w14:textId="77777777">
            <w:pPr>
              <w:spacing w:after="120" w:line="360" w:lineRule="auto"/>
              <w:rPr>
                <w:sz w:val="20"/>
                <w:szCs w:val="20"/>
              </w:rPr>
            </w:pPr>
            <w:r>
              <w:rPr>
                <w:sz w:val="20"/>
                <w:szCs w:val="20"/>
              </w:rPr>
              <w:t>−7.01***</w:t>
            </w:r>
          </w:p>
        </w:tc>
      </w:tr>
      <w:tr w14:paraId="2DC2585D" w14:textId="77777777">
        <w:tc>
          <w:tcPr>
            <w:tcW w:w="0" w:type="auto"/>
            <w:hideMark/>
          </w:tcPr>
          <w:p w14:paraId="0B9E17EC" w14:textId="77777777">
            <w:pPr>
              <w:spacing w:after="120" w:line="360" w:lineRule="auto"/>
              <w:rPr>
                <w:sz w:val="20"/>
                <w:szCs w:val="20"/>
              </w:rPr>
            </w:pPr>
            <w:r>
              <w:rPr>
                <w:sz w:val="20"/>
                <w:szCs w:val="20"/>
              </w:rPr>
              <w:t>E. Watch videos/streams</w:t>
            </w:r>
          </w:p>
        </w:tc>
        <w:tc>
          <w:tcPr>
            <w:tcW w:w="0" w:type="auto"/>
            <w:hideMark/>
          </w:tcPr>
          <w:p w14:paraId="4B085F53" w14:textId="77777777">
            <w:pPr>
              <w:spacing w:after="120" w:line="360" w:lineRule="auto"/>
              <w:rPr>
                <w:sz w:val="20"/>
                <w:szCs w:val="20"/>
              </w:rPr>
            </w:pPr>
            <w:r>
              <w:rPr>
                <w:sz w:val="20"/>
                <w:szCs w:val="20"/>
              </w:rPr>
              <w:t>2.12**</w:t>
            </w:r>
          </w:p>
        </w:tc>
        <w:tc>
          <w:tcPr>
            <w:tcW w:w="0" w:type="auto"/>
            <w:hideMark/>
          </w:tcPr>
          <w:p w14:paraId="1B3DD287" w14:textId="77777777">
            <w:pPr>
              <w:spacing w:after="120" w:line="360" w:lineRule="auto"/>
              <w:rPr>
                <w:sz w:val="20"/>
                <w:szCs w:val="20"/>
              </w:rPr>
            </w:pPr>
            <w:r>
              <w:rPr>
                <w:sz w:val="20"/>
                <w:szCs w:val="20"/>
              </w:rPr>
              <w:t>−5.99***</w:t>
            </w:r>
          </w:p>
        </w:tc>
      </w:tr>
      <w:tr w14:paraId="6CC7822D" w14:textId="77777777">
        <w:tc>
          <w:tcPr>
            <w:tcW w:w="0" w:type="auto"/>
            <w:hideMark/>
          </w:tcPr>
          <w:p w14:paraId="13C4C107" w14:textId="77777777">
            <w:pPr>
              <w:spacing w:after="120" w:line="360" w:lineRule="auto"/>
              <w:rPr>
                <w:sz w:val="20"/>
                <w:szCs w:val="20"/>
              </w:rPr>
            </w:pPr>
            <w:r>
              <w:rPr>
                <w:sz w:val="20"/>
                <w:szCs w:val="20"/>
              </w:rPr>
              <w:t>F. Listen to music/radio</w:t>
            </w:r>
          </w:p>
        </w:tc>
        <w:tc>
          <w:tcPr>
            <w:tcW w:w="0" w:type="auto"/>
            <w:hideMark/>
          </w:tcPr>
          <w:p w14:paraId="7E2DE9D4" w14:textId="77777777">
            <w:pPr>
              <w:spacing w:after="120" w:line="360" w:lineRule="auto"/>
              <w:rPr>
                <w:sz w:val="20"/>
                <w:szCs w:val="20"/>
              </w:rPr>
            </w:pPr>
            <w:r>
              <w:rPr>
                <w:sz w:val="20"/>
                <w:szCs w:val="20"/>
              </w:rPr>
              <w:t>5.40***</w:t>
            </w:r>
          </w:p>
        </w:tc>
        <w:tc>
          <w:tcPr>
            <w:tcW w:w="0" w:type="auto"/>
            <w:hideMark/>
          </w:tcPr>
          <w:p w14:paraId="42706460" w14:textId="77777777">
            <w:pPr>
              <w:spacing w:after="120" w:line="360" w:lineRule="auto"/>
              <w:rPr>
                <w:sz w:val="20"/>
                <w:szCs w:val="20"/>
              </w:rPr>
            </w:pPr>
            <w:r>
              <w:rPr>
                <w:sz w:val="20"/>
                <w:szCs w:val="20"/>
              </w:rPr>
              <w:t>−2.07</w:t>
            </w:r>
          </w:p>
        </w:tc>
      </w:tr>
    </w:tbl>
    <w:p w14:paraId="11AA1C2F" w14:textId="09FB6C83">
      <w:pPr>
        <w:spacing w:after="120"/>
        <w:rPr>
          <w:sz w:val="18"/>
          <w:szCs w:val="18"/>
        </w:rPr>
      </w:pPr>
      <w:r>
        <w:rPr>
          <w:i/>
          <w:iCs/>
          <w:sz w:val="18"/>
          <w:szCs w:val="18"/>
        </w:rPr>
        <w:t>Note</w:t>
      </w:r>
      <w:r>
        <w:rPr>
          <w:b/>
          <w:bCs/>
          <w:sz w:val="18"/>
          <w:szCs w:val="18"/>
        </w:rPr>
        <w:t>.</w:t>
      </w:r>
      <w:r>
        <w:rPr>
          <w:sz w:val="18"/>
          <w:szCs w:val="18"/>
        </w:rPr>
        <w:t xml:space="preserve"> Coefficients are from separate regression models with country fixed effects estimated on the pooled student-level data, adjusting for socioeconomic background, computer experience, and gender. Each exposure was standardized to a z-score and entered one at a time. CIL = computer and information literacy. CT = computational thinking. *p &lt; .05, **p &lt; .01, ***p &lt; .001.</w:t>
      </w:r>
    </w:p>
    <w:p w14:paraId="021CD0DA" w14:textId="77777777">
      <w:pPr>
        <w:spacing w:after="120"/>
      </w:pPr>
    </w:p>
    <w:p w14:paraId="1132DBB3" w14:textId="75F8A168">
      <w:pPr>
        <w:spacing w:after="120"/>
        <w:rPr>
          <w:b/>
          <w:bCs/>
        </w:rPr>
      </w:pPr>
      <w:r>
        <w:rPr>
          <w:b/>
          <w:bCs/>
        </w:rPr>
        <w:t>Table S4</w:t>
      </w:r>
    </w:p>
    <w:p w14:paraId="5975DEA0" w14:textId="6A9CA523">
      <w:pPr>
        <w:spacing w:after="120"/>
        <w:rPr>
          <w:sz w:val="20"/>
          <w:szCs w:val="20"/>
        </w:rPr>
      </w:pPr>
      <w:r>
        <w:rPr>
          <w:sz w:val="20"/>
          <w:szCs w:val="20"/>
        </w:rPr>
        <w:t>Associations of Grouped Multitasking Components and the Overall S_ACMULT Scale with CIL and CT in Regression Models with Country Fixed Effects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979"/>
        <w:gridCol w:w="1079"/>
      </w:tblGrid>
      <w:tr w14:paraId="5CA2ED3A" w14:textId="77777777">
        <w:tc>
          <w:tcPr>
            <w:tcW w:w="0" w:type="auto"/>
            <w:tcBorders>
              <w:bottom w:val="single" w:sz="4" w:space="0" w:color="auto"/>
            </w:tcBorders>
            <w:hideMark/>
          </w:tcPr>
          <w:p w14:paraId="19C04540" w14:textId="77777777">
            <w:pPr>
              <w:spacing w:after="120" w:line="360" w:lineRule="auto"/>
              <w:rPr>
                <w:b/>
                <w:bCs/>
                <w:sz w:val="20"/>
                <w:szCs w:val="20"/>
              </w:rPr>
            </w:pPr>
            <w:r>
              <w:rPr>
                <w:b/>
                <w:bCs/>
                <w:sz w:val="20"/>
                <w:szCs w:val="20"/>
              </w:rPr>
              <w:t>Grouped-component model</w:t>
            </w:r>
          </w:p>
        </w:tc>
        <w:tc>
          <w:tcPr>
            <w:tcW w:w="0" w:type="auto"/>
            <w:tcBorders>
              <w:bottom w:val="single" w:sz="4" w:space="0" w:color="auto"/>
            </w:tcBorders>
            <w:hideMark/>
          </w:tcPr>
          <w:p w14:paraId="002D5AD5" w14:textId="77777777">
            <w:pPr>
              <w:spacing w:after="120" w:line="360" w:lineRule="auto"/>
              <w:rPr>
                <w:b/>
                <w:bCs/>
                <w:sz w:val="20"/>
                <w:szCs w:val="20"/>
              </w:rPr>
            </w:pPr>
            <w:r>
              <w:rPr>
                <w:b/>
                <w:bCs/>
                <w:sz w:val="20"/>
                <w:szCs w:val="20"/>
              </w:rPr>
              <w:t>β CIL</w:t>
            </w:r>
          </w:p>
        </w:tc>
        <w:tc>
          <w:tcPr>
            <w:tcW w:w="0" w:type="auto"/>
            <w:tcBorders>
              <w:bottom w:val="single" w:sz="4" w:space="0" w:color="auto"/>
            </w:tcBorders>
            <w:hideMark/>
          </w:tcPr>
          <w:p w14:paraId="670241CB" w14:textId="77777777">
            <w:pPr>
              <w:spacing w:after="120" w:line="360" w:lineRule="auto"/>
              <w:rPr>
                <w:b/>
                <w:bCs/>
                <w:sz w:val="20"/>
                <w:szCs w:val="20"/>
              </w:rPr>
            </w:pPr>
            <w:r>
              <w:rPr>
                <w:b/>
                <w:bCs/>
                <w:sz w:val="20"/>
                <w:szCs w:val="20"/>
              </w:rPr>
              <w:t>β CT</w:t>
            </w:r>
          </w:p>
        </w:tc>
      </w:tr>
      <w:tr w14:paraId="1EB0226F" w14:textId="77777777">
        <w:tc>
          <w:tcPr>
            <w:tcW w:w="0" w:type="auto"/>
            <w:tcBorders>
              <w:top w:val="single" w:sz="4" w:space="0" w:color="auto"/>
            </w:tcBorders>
            <w:hideMark/>
          </w:tcPr>
          <w:p w14:paraId="7173A22F" w14:textId="77777777">
            <w:pPr>
              <w:spacing w:after="120" w:line="360" w:lineRule="auto"/>
              <w:rPr>
                <w:sz w:val="20"/>
                <w:szCs w:val="20"/>
              </w:rPr>
            </w:pPr>
            <w:r>
              <w:rPr>
                <w:sz w:val="20"/>
                <w:szCs w:val="20"/>
              </w:rPr>
              <w:t>A/B/C. Social</w:t>
            </w:r>
          </w:p>
        </w:tc>
        <w:tc>
          <w:tcPr>
            <w:tcW w:w="0" w:type="auto"/>
            <w:tcBorders>
              <w:top w:val="single" w:sz="4" w:space="0" w:color="auto"/>
            </w:tcBorders>
            <w:hideMark/>
          </w:tcPr>
          <w:p w14:paraId="7C21D64A" w14:textId="77777777">
            <w:pPr>
              <w:spacing w:after="120" w:line="360" w:lineRule="auto"/>
              <w:rPr>
                <w:sz w:val="20"/>
                <w:szCs w:val="20"/>
              </w:rPr>
            </w:pPr>
            <w:r>
              <w:rPr>
                <w:sz w:val="20"/>
                <w:szCs w:val="20"/>
              </w:rPr>
              <w:t>−3.32***</w:t>
            </w:r>
          </w:p>
        </w:tc>
        <w:tc>
          <w:tcPr>
            <w:tcW w:w="0" w:type="auto"/>
            <w:tcBorders>
              <w:top w:val="single" w:sz="4" w:space="0" w:color="auto"/>
            </w:tcBorders>
            <w:hideMark/>
          </w:tcPr>
          <w:p w14:paraId="3926C068" w14:textId="77777777">
            <w:pPr>
              <w:spacing w:after="120" w:line="360" w:lineRule="auto"/>
              <w:rPr>
                <w:sz w:val="20"/>
                <w:szCs w:val="20"/>
              </w:rPr>
            </w:pPr>
            <w:r>
              <w:rPr>
                <w:sz w:val="20"/>
                <w:szCs w:val="20"/>
              </w:rPr>
              <w:t>−20.22***</w:t>
            </w:r>
          </w:p>
        </w:tc>
      </w:tr>
      <w:tr w14:paraId="2E201791" w14:textId="77777777">
        <w:tc>
          <w:tcPr>
            <w:tcW w:w="0" w:type="auto"/>
            <w:hideMark/>
          </w:tcPr>
          <w:p w14:paraId="6625CF31" w14:textId="77777777">
            <w:pPr>
              <w:spacing w:after="120" w:line="360" w:lineRule="auto"/>
              <w:rPr>
                <w:sz w:val="20"/>
                <w:szCs w:val="20"/>
              </w:rPr>
            </w:pPr>
            <w:r>
              <w:rPr>
                <w:sz w:val="20"/>
                <w:szCs w:val="20"/>
              </w:rPr>
              <w:t>D. Information-seeking</w:t>
            </w:r>
          </w:p>
        </w:tc>
        <w:tc>
          <w:tcPr>
            <w:tcW w:w="0" w:type="auto"/>
            <w:hideMark/>
          </w:tcPr>
          <w:p w14:paraId="538A86F5" w14:textId="77777777">
            <w:pPr>
              <w:spacing w:after="120" w:line="360" w:lineRule="auto"/>
              <w:rPr>
                <w:sz w:val="20"/>
                <w:szCs w:val="20"/>
              </w:rPr>
            </w:pPr>
            <w:r>
              <w:rPr>
                <w:sz w:val="20"/>
                <w:szCs w:val="20"/>
              </w:rPr>
              <w:t>1.32</w:t>
            </w:r>
          </w:p>
        </w:tc>
        <w:tc>
          <w:tcPr>
            <w:tcW w:w="0" w:type="auto"/>
            <w:hideMark/>
          </w:tcPr>
          <w:p w14:paraId="04683E06" w14:textId="77777777">
            <w:pPr>
              <w:spacing w:after="120" w:line="360" w:lineRule="auto"/>
              <w:rPr>
                <w:sz w:val="20"/>
                <w:szCs w:val="20"/>
              </w:rPr>
            </w:pPr>
            <w:r>
              <w:rPr>
                <w:sz w:val="20"/>
                <w:szCs w:val="20"/>
              </w:rPr>
              <w:t>−7.01***</w:t>
            </w:r>
          </w:p>
        </w:tc>
      </w:tr>
      <w:tr w14:paraId="726FE300" w14:textId="77777777">
        <w:tc>
          <w:tcPr>
            <w:tcW w:w="0" w:type="auto"/>
            <w:hideMark/>
          </w:tcPr>
          <w:p w14:paraId="2034CFAC" w14:textId="77777777">
            <w:pPr>
              <w:spacing w:after="120" w:line="360" w:lineRule="auto"/>
              <w:rPr>
                <w:sz w:val="20"/>
                <w:szCs w:val="20"/>
              </w:rPr>
            </w:pPr>
            <w:r>
              <w:rPr>
                <w:sz w:val="20"/>
                <w:szCs w:val="20"/>
              </w:rPr>
              <w:t>E/F. Entertainment</w:t>
            </w:r>
          </w:p>
        </w:tc>
        <w:tc>
          <w:tcPr>
            <w:tcW w:w="0" w:type="auto"/>
            <w:hideMark/>
          </w:tcPr>
          <w:p w14:paraId="250FC397" w14:textId="77777777">
            <w:pPr>
              <w:spacing w:after="120" w:line="360" w:lineRule="auto"/>
              <w:rPr>
                <w:sz w:val="20"/>
                <w:szCs w:val="20"/>
              </w:rPr>
            </w:pPr>
            <w:r>
              <w:rPr>
                <w:sz w:val="20"/>
                <w:szCs w:val="20"/>
              </w:rPr>
              <w:t>5.28***</w:t>
            </w:r>
          </w:p>
        </w:tc>
        <w:tc>
          <w:tcPr>
            <w:tcW w:w="0" w:type="auto"/>
            <w:hideMark/>
          </w:tcPr>
          <w:p w14:paraId="68CF43FB" w14:textId="77777777">
            <w:pPr>
              <w:spacing w:after="120" w:line="360" w:lineRule="auto"/>
              <w:rPr>
                <w:sz w:val="20"/>
                <w:szCs w:val="20"/>
              </w:rPr>
            </w:pPr>
            <w:r>
              <w:rPr>
                <w:sz w:val="20"/>
                <w:szCs w:val="20"/>
              </w:rPr>
              <w:t>−5.76***</w:t>
            </w:r>
          </w:p>
        </w:tc>
      </w:tr>
      <w:tr w14:paraId="1D2B7AEB" w14:textId="77777777">
        <w:tc>
          <w:tcPr>
            <w:tcW w:w="0" w:type="auto"/>
            <w:hideMark/>
          </w:tcPr>
          <w:p w14:paraId="496469A4" w14:textId="77777777">
            <w:pPr>
              <w:spacing w:after="120" w:line="360" w:lineRule="auto"/>
              <w:rPr>
                <w:sz w:val="20"/>
                <w:szCs w:val="20"/>
              </w:rPr>
            </w:pPr>
            <w:r>
              <w:rPr>
                <w:sz w:val="20"/>
                <w:szCs w:val="20"/>
              </w:rPr>
              <w:t>A+B+C+E+F. Off task</w:t>
            </w:r>
          </w:p>
        </w:tc>
        <w:tc>
          <w:tcPr>
            <w:tcW w:w="0" w:type="auto"/>
            <w:hideMark/>
          </w:tcPr>
          <w:p w14:paraId="2C358EF9" w14:textId="77777777">
            <w:pPr>
              <w:spacing w:after="120" w:line="360" w:lineRule="auto"/>
              <w:rPr>
                <w:sz w:val="20"/>
                <w:szCs w:val="20"/>
              </w:rPr>
            </w:pPr>
            <w:r>
              <w:rPr>
                <w:sz w:val="20"/>
                <w:szCs w:val="20"/>
              </w:rPr>
              <w:t>−0.03</w:t>
            </w:r>
          </w:p>
        </w:tc>
        <w:tc>
          <w:tcPr>
            <w:tcW w:w="0" w:type="auto"/>
            <w:hideMark/>
          </w:tcPr>
          <w:p w14:paraId="1DBAAA7F" w14:textId="77777777">
            <w:pPr>
              <w:spacing w:after="120" w:line="360" w:lineRule="auto"/>
              <w:rPr>
                <w:sz w:val="20"/>
                <w:szCs w:val="20"/>
              </w:rPr>
            </w:pPr>
            <w:r>
              <w:rPr>
                <w:sz w:val="20"/>
                <w:szCs w:val="20"/>
              </w:rPr>
              <w:t>−18.97***</w:t>
            </w:r>
          </w:p>
        </w:tc>
      </w:tr>
      <w:tr w14:paraId="3BE1BD97" w14:textId="77777777">
        <w:tc>
          <w:tcPr>
            <w:tcW w:w="0" w:type="auto"/>
            <w:hideMark/>
          </w:tcPr>
          <w:p w14:paraId="2817465D" w14:textId="77777777">
            <w:pPr>
              <w:spacing w:after="120" w:line="360" w:lineRule="auto"/>
              <w:rPr>
                <w:sz w:val="20"/>
                <w:szCs w:val="20"/>
              </w:rPr>
            </w:pPr>
            <w:r>
              <w:rPr>
                <w:sz w:val="20"/>
                <w:szCs w:val="20"/>
              </w:rPr>
              <w:t>Overall S_ACMULT scale</w:t>
            </w:r>
          </w:p>
        </w:tc>
        <w:tc>
          <w:tcPr>
            <w:tcW w:w="0" w:type="auto"/>
            <w:hideMark/>
          </w:tcPr>
          <w:p w14:paraId="1FF33215" w14:textId="77777777">
            <w:pPr>
              <w:spacing w:after="120" w:line="360" w:lineRule="auto"/>
              <w:rPr>
                <w:sz w:val="20"/>
                <w:szCs w:val="20"/>
              </w:rPr>
            </w:pPr>
            <w:r>
              <w:rPr>
                <w:sz w:val="20"/>
                <w:szCs w:val="20"/>
              </w:rPr>
              <w:t>−1.94*</w:t>
            </w:r>
          </w:p>
        </w:tc>
        <w:tc>
          <w:tcPr>
            <w:tcW w:w="0" w:type="auto"/>
            <w:hideMark/>
          </w:tcPr>
          <w:p w14:paraId="4FD5105E" w14:textId="77777777">
            <w:pPr>
              <w:spacing w:after="120" w:line="360" w:lineRule="auto"/>
              <w:rPr>
                <w:sz w:val="20"/>
                <w:szCs w:val="20"/>
              </w:rPr>
            </w:pPr>
            <w:r>
              <w:rPr>
                <w:sz w:val="20"/>
                <w:szCs w:val="20"/>
              </w:rPr>
              <w:t>−15.28***</w:t>
            </w:r>
          </w:p>
        </w:tc>
      </w:tr>
    </w:tbl>
    <w:p w14:paraId="3AD4194F" w14:textId="298FFFD7">
      <w:pPr>
        <w:spacing w:after="120"/>
        <w:rPr>
          <w:sz w:val="18"/>
          <w:szCs w:val="18"/>
        </w:rPr>
      </w:pPr>
      <w:r>
        <w:rPr>
          <w:i/>
          <w:iCs/>
          <w:sz w:val="18"/>
          <w:szCs w:val="18"/>
        </w:rPr>
        <w:lastRenderedPageBreak/>
        <w:t>Note</w:t>
      </w:r>
      <w:r>
        <w:rPr>
          <w:sz w:val="18"/>
          <w:szCs w:val="18"/>
        </w:rPr>
        <w:t>. Coefficients are from separate regression models with country fixed effects estimated on the pooled student-level data, adjusting for socioeconomic background, computer experience, and gender. Each exposure was standardized to a z-score and entered one at a time. CIL = computer and information literacy. CT = computational thinking. *p &lt; .05, **p &lt; .01, ***p &lt; .001.</w:t>
      </w:r>
    </w:p>
    <w:p w14:paraId="4F0E6EA1" w14:textId="77777777">
      <w:r>
        <w:br w:type="page"/>
      </w:r>
    </w:p>
    <w:p w14:paraId="77B6E96E" w14:textId="77777777">
      <w:pPr>
        <w:pStyle w:val="Heading1"/>
      </w:pPr>
      <w:r>
        <w:lastRenderedPageBreak/>
        <w:t>Supplementary Results S4. Non-Linearity Analyses</w:t>
      </w:r>
    </w:p>
    <w:p w14:paraId="3F262416" w14:textId="77777777">
      <w:pPr>
        <w:spacing w:after="200"/>
        <w:jc w:val="both"/>
      </w:pPr>
      <w:r>
        <w:t xml:space="preserve">A </w:t>
      </w:r>
      <w:proofErr w:type="spellStart"/>
      <w:r>
        <w:t>generalised</w:t>
      </w:r>
      <w:proofErr w:type="spellEnd"/>
      <w:r>
        <w:t xml:space="preserve"> additive model (GAM) with a thin-plate regression spline (k = 4) revealed a significant non-linear relationship between S_ACMULT and CIL (</w:t>
      </w:r>
      <w:proofErr w:type="spellStart"/>
      <w:r>
        <w:t>edf</w:t>
      </w:r>
      <w:proofErr w:type="spellEnd"/>
      <w:r>
        <w:t xml:space="preserve"> = 2.96, F = 1939.9, p &lt; .001; R² = .256; Figure S1). The smooth function showed a curvilinear pattern: CIL was relatively stable at low levels of multitasking, declined modestly through the middle range, and then showed steeper declines at the highest multitasking levels. The GAM also controlled for socioeconomic background (β = 28.41, p &lt; .001), computer experience (β = 11.76, p &lt; .001), and gender (β = −15.21, p &lt; .001), with a random intercept for country.</w:t>
      </w:r>
    </w:p>
    <w:p w14:paraId="354334E3" w14:textId="77777777">
      <w:pPr>
        <w:spacing w:after="60"/>
        <w:jc w:val="center"/>
      </w:pPr>
      <w:r>
        <w:rPr>
          <w:noProof/>
        </w:rPr>
        <w:drawing>
          <wp:inline distT="0" distB="0" distL="0" distR="0" wp14:anchorId="778A193D" wp14:editId="07F724D6">
            <wp:extent cx="4762500" cy="323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62500" cy="3238500"/>
                    </a:xfrm>
                    <a:prstGeom prst="rect">
                      <a:avLst/>
                    </a:prstGeom>
                  </pic:spPr>
                </pic:pic>
              </a:graphicData>
            </a:graphic>
          </wp:inline>
        </w:drawing>
      </w:r>
    </w:p>
    <w:p w14:paraId="2A12E954" w14:textId="0CC7E50F">
      <w:pPr>
        <w:spacing w:after="300"/>
      </w:pPr>
      <w:r>
        <w:rPr>
          <w:i/>
          <w:iCs/>
          <w:sz w:val="20"/>
          <w:szCs w:val="20"/>
        </w:rPr>
        <w:t xml:space="preserve">Figure S1. </w:t>
      </w:r>
      <w:r>
        <w:rPr>
          <w:sz w:val="20"/>
          <w:szCs w:val="20"/>
        </w:rPr>
        <w:t xml:space="preserve">Dose–response relationship between S_ACMULT and CIL, estimated using a </w:t>
      </w:r>
      <w:proofErr w:type="spellStart"/>
      <w:r>
        <w:rPr>
          <w:sz w:val="20"/>
          <w:szCs w:val="20"/>
        </w:rPr>
        <w:t>generalised</w:t>
      </w:r>
      <w:proofErr w:type="spellEnd"/>
      <w:r>
        <w:rPr>
          <w:sz w:val="20"/>
          <w:szCs w:val="20"/>
        </w:rPr>
        <w:t xml:space="preserve"> additive model with thin-plate regression spline and country random intercept.</w:t>
      </w:r>
      <w:r>
        <w:br w:type="page"/>
      </w:r>
    </w:p>
    <w:p w14:paraId="328E1774" w14:textId="77777777">
      <w:pPr>
        <w:pStyle w:val="Heading1"/>
      </w:pPr>
      <w:r>
        <w:lastRenderedPageBreak/>
        <w:t>Supplementary Results S5. Cross-System Descriptive Patterns</w:t>
      </w:r>
    </w:p>
    <w:p w14:paraId="1026921D" w14:textId="77777777">
      <w:pPr>
        <w:spacing w:after="200"/>
        <w:jc w:val="both"/>
      </w:pPr>
      <w:r>
        <w:t>Figure S2 displays the relationship between national averages of S_ACMULT and average CIL across the 35 participating systems. At the country level, average multitasking and average CIL did not align in a simple way, underscoring that the ecological association at the system level does not map directly onto within-system individual-level relationships.</w:t>
      </w:r>
    </w:p>
    <w:p w14:paraId="32C01543" w14:textId="77777777">
      <w:pPr>
        <w:spacing w:after="60"/>
        <w:jc w:val="center"/>
      </w:pPr>
      <w:r>
        <w:rPr>
          <w:noProof/>
        </w:rPr>
        <w:drawing>
          <wp:inline distT="0" distB="0" distL="0" distR="0" wp14:anchorId="2F4CD9F8" wp14:editId="3252C9B9">
            <wp:extent cx="4572000" cy="3524250"/>
            <wp:effectExtent l="0" t="0" r="0" b="0"/>
            <wp:docPr id="971720131" name="Picture 97172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572000" cy="3524250"/>
                    </a:xfrm>
                    <a:prstGeom prst="rect">
                      <a:avLst/>
                    </a:prstGeom>
                  </pic:spPr>
                </pic:pic>
              </a:graphicData>
            </a:graphic>
          </wp:inline>
        </w:drawing>
      </w:r>
    </w:p>
    <w:p w14:paraId="0DFC840F" w14:textId="77777777">
      <w:pPr>
        <w:spacing w:after="300"/>
      </w:pPr>
      <w:r>
        <w:rPr>
          <w:i/>
          <w:iCs/>
          <w:sz w:val="20"/>
          <w:szCs w:val="20"/>
        </w:rPr>
        <w:t xml:space="preserve">Figure S2. </w:t>
      </w:r>
      <w:r>
        <w:rPr>
          <w:sz w:val="20"/>
          <w:szCs w:val="20"/>
        </w:rPr>
        <w:t>National averages of academic-media multitasking (S_ACMULT) versus average CIL across 35 education systems.</w:t>
      </w:r>
    </w:p>
    <w:p w14:paraId="2B62E953" w14:textId="77777777">
      <w:r>
        <w:br w:type="page"/>
      </w:r>
    </w:p>
    <w:p w14:paraId="0C9DDFA2" w14:textId="77777777">
      <w:pPr>
        <w:pStyle w:val="Heading1"/>
      </w:pPr>
      <w:r>
        <w:lastRenderedPageBreak/>
        <w:t>Supplementary Results S6. TIMSS Prong 3: Teacher-Reported Distraction Moderation</w:t>
      </w:r>
    </w:p>
    <w:p w14:paraId="1F991276" w14:textId="77777777">
      <w:pPr>
        <w:spacing w:after="200"/>
      </w:pPr>
      <w:r>
        <w:t>Teacher-reported distraction was independently and negatively associated with achievement at the school level (β = −5.87, SE = 1.25, p &lt; .001 for mathematics; β = −4.81, SE = 1.14, p &lt; .001 for science). However, the cross-level interaction between internet use for schoolwork and distraction climate was not statistically significant (mathematics: β = −0.37, 95% CI [−2.26, 1.52]; science: β = −0.61, 95% CI [−2.54, 1.31]). The direction was consistently negative—internet-use penalties were slightly amplified in higher-distraction schools—but the effect was too small to detect reliably. This contrasts with the significant ICILS moderation by S_LRNSAFE, possibly because the TIMSS moderator is a blunt three-item teacher report aggregated to school means, whereas S_LRNSAFE is a detailed student-reported IRT scale with finer measurement granularity (Figure S3).</w:t>
      </w:r>
    </w:p>
    <w:p w14:paraId="4E65ECB8" w14:textId="77777777">
      <w:pPr>
        <w:spacing w:after="60"/>
        <w:jc w:val="center"/>
      </w:pPr>
      <w:r>
        <w:rPr>
          <w:noProof/>
        </w:rPr>
        <w:drawing>
          <wp:inline distT="0" distB="0" distL="0" distR="0" wp14:anchorId="2D1194C0" wp14:editId="16845BB9">
            <wp:extent cx="4762500" cy="3524250"/>
            <wp:effectExtent l="0" t="0" r="0" b="0"/>
            <wp:docPr id="882501736" name="Picture 88250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62500" cy="3524250"/>
                    </a:xfrm>
                    <a:prstGeom prst="rect">
                      <a:avLst/>
                    </a:prstGeom>
                  </pic:spPr>
                </pic:pic>
              </a:graphicData>
            </a:graphic>
          </wp:inline>
        </w:drawing>
      </w:r>
    </w:p>
    <w:p w14:paraId="37371CFF" w14:textId="77777777">
      <w:pPr>
        <w:spacing w:after="300"/>
      </w:pPr>
      <w:r>
        <w:rPr>
          <w:i/>
          <w:iCs/>
          <w:sz w:val="20"/>
          <w:szCs w:val="20"/>
        </w:rPr>
        <w:t xml:space="preserve">Figure S3. </w:t>
      </w:r>
      <w:r>
        <w:rPr>
          <w:sz w:val="20"/>
          <w:szCs w:val="20"/>
        </w:rPr>
        <w:t>TIMSS Prong 3: Interaction between internet use for schoolwork and teacher-reported distraction climate for mathematics and science achievement.</w:t>
      </w:r>
    </w:p>
    <w:p w14:paraId="5860276B" w14:textId="77777777">
      <w:r>
        <w:br w:type="page"/>
      </w:r>
    </w:p>
    <w:p w14:paraId="7BD52A54" w14:textId="77777777">
      <w:pPr>
        <w:pStyle w:val="Heading1"/>
      </w:pPr>
      <w:r>
        <w:lastRenderedPageBreak/>
        <w:t>Supplementary Results S7. Additional Robustness Analyses</w:t>
      </w:r>
    </w:p>
    <w:p w14:paraId="3BC5DF63" w14:textId="77777777">
      <w:pPr>
        <w:spacing w:after="120"/>
      </w:pPr>
      <w:r>
        <w:rPr>
          <w:b/>
          <w:bCs/>
        </w:rPr>
        <w:t xml:space="preserve">Binary exposure specification. </w:t>
      </w:r>
      <w:r>
        <w:t>In the TIMSS analyses, students in the top tertile of internet use for schoolwork scored 16.54 fewer mathematics points (SE = 0.85, p &lt; .001) compared to those in the lower tertiles. This binary specification corroborates the continuous-exposure findings.</w:t>
      </w:r>
    </w:p>
    <w:p w14:paraId="3117B102" w14:textId="77777777">
      <w:pPr>
        <w:spacing w:after="120"/>
      </w:pPr>
      <w:r>
        <w:rPr>
          <w:b/>
          <w:bCs/>
        </w:rPr>
        <w:t xml:space="preserve">Multilevel models. </w:t>
      </w:r>
      <w:r>
        <w:t>Two-level linear mixed models (students nested in schools, with country fixed effects) confirmed the primary findings. The random-slope model showed wide between-school dispersion in the multitasking–CIL slope (random slope SD = 1.13; LR χ² = 4011.9, p &lt; .001; intercept–slope r = −0.88), indicating that the multitasking–CIL association varies substantially across schools. Schools with higher average CIL tended to show more negative multitasking slopes.</w:t>
      </w:r>
    </w:p>
    <w:p w14:paraId="74EE5D9C" w14:textId="77777777">
      <w:pPr>
        <w:spacing w:after="200"/>
      </w:pPr>
      <w:r>
        <w:rPr>
          <w:b/>
          <w:bCs/>
        </w:rPr>
        <w:t xml:space="preserve">Binary ICILS exposure. </w:t>
      </w:r>
      <w:r>
        <w:t>Students who frequently checked social media during homework (“often” or “always” on IS3G21C) scored 17.4 fewer CIL points (SE = 1.56, p &lt; .001) compared to those who checked less frequently, confirming that the continuous-scale findings are robust to alternative exposure specifications.</w:t>
      </w:r>
    </w:p>
    <w:sectPr>
      <w:pgSz w:w="12240" w:h="15840"/>
      <w:pgMar w:top="1440" w:right="1440" w:bottom="1440" w:left="1440" w:header="708" w:footer="7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3D8A6" w14:textId="77777777">
      <w:pPr>
        <w:spacing w:line="240" w:lineRule="auto"/>
      </w:pPr>
      <w:r>
        <w:separator/>
      </w:r>
    </w:p>
  </w:endnote>
  <w:endnote w:type="continuationSeparator" w:id="0">
    <w:p w14:paraId="7185937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342EB" w14:textId="77777777">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5A2392" w14:textId="77777777">
      <w:pPr>
        <w:spacing w:line="240" w:lineRule="auto"/>
      </w:pPr>
      <w:r>
        <w:separator/>
      </w:r>
    </w:p>
  </w:footnote>
  <w:footnote w:type="continuationSeparator" w:id="0">
    <w:p w14:paraId="748B84D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CE7E" w14:textId="77777777">
    <w:pPr>
      <w:jc w:val="right"/>
    </w:pPr>
    <w:r>
      <w:rPr>
        <w:sz w:val="18"/>
        <w:szCs w:val="18"/>
      </w:rPr>
      <w:t>SUPPLEMENTARY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9744B2"/>
    <w:multiLevelType w:val="hybridMultilevel"/>
    <w:tmpl w:val="3580CD68"/>
    <w:lvl w:ilvl="0" w:tplc="9FC244EA">
      <w:start w:val="1"/>
      <w:numFmt w:val="bullet"/>
      <w:lvlText w:val="●"/>
      <w:lvlJc w:val="left"/>
      <w:pPr>
        <w:ind w:left="720" w:hanging="360"/>
      </w:pPr>
    </w:lvl>
    <w:lvl w:ilvl="1" w:tplc="3822F5E2">
      <w:start w:val="1"/>
      <w:numFmt w:val="bullet"/>
      <w:lvlText w:val="○"/>
      <w:lvlJc w:val="left"/>
      <w:pPr>
        <w:ind w:left="1440" w:hanging="360"/>
      </w:pPr>
    </w:lvl>
    <w:lvl w:ilvl="2" w:tplc="67CA4170">
      <w:start w:val="1"/>
      <w:numFmt w:val="bullet"/>
      <w:lvlText w:val="■"/>
      <w:lvlJc w:val="left"/>
      <w:pPr>
        <w:ind w:left="2160" w:hanging="360"/>
      </w:pPr>
    </w:lvl>
    <w:lvl w:ilvl="3" w:tplc="DABC0084">
      <w:start w:val="1"/>
      <w:numFmt w:val="bullet"/>
      <w:lvlText w:val="●"/>
      <w:lvlJc w:val="left"/>
      <w:pPr>
        <w:ind w:left="2880" w:hanging="360"/>
      </w:pPr>
    </w:lvl>
    <w:lvl w:ilvl="4" w:tplc="34A27ABE">
      <w:start w:val="1"/>
      <w:numFmt w:val="bullet"/>
      <w:lvlText w:val="○"/>
      <w:lvlJc w:val="left"/>
      <w:pPr>
        <w:ind w:left="3600" w:hanging="360"/>
      </w:pPr>
    </w:lvl>
    <w:lvl w:ilvl="5" w:tplc="391438FA">
      <w:start w:val="1"/>
      <w:numFmt w:val="bullet"/>
      <w:lvlText w:val="■"/>
      <w:lvlJc w:val="left"/>
      <w:pPr>
        <w:ind w:left="4320" w:hanging="360"/>
      </w:pPr>
    </w:lvl>
    <w:lvl w:ilvl="6" w:tplc="4216CA7E">
      <w:start w:val="1"/>
      <w:numFmt w:val="bullet"/>
      <w:lvlText w:val="●"/>
      <w:lvlJc w:val="left"/>
      <w:pPr>
        <w:ind w:left="5040" w:hanging="360"/>
      </w:pPr>
    </w:lvl>
    <w:lvl w:ilvl="7" w:tplc="E5CC5EA2">
      <w:start w:val="1"/>
      <w:numFmt w:val="bullet"/>
      <w:lvlText w:val="●"/>
      <w:lvlJc w:val="left"/>
      <w:pPr>
        <w:ind w:left="5760" w:hanging="360"/>
      </w:pPr>
    </w:lvl>
    <w:lvl w:ilvl="8" w:tplc="CDAE1164">
      <w:start w:val="1"/>
      <w:numFmt w:val="bullet"/>
      <w:lvlText w:val="●"/>
      <w:lvlJc w:val="left"/>
      <w:pPr>
        <w:ind w:left="6480" w:hanging="360"/>
      </w:pPr>
    </w:lvl>
  </w:abstractNum>
  <w:num w:numId="1" w16cid:durableId="37843238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A26"/>
    <w:rsid w:val="0001720E"/>
    <w:rsid w:val="000E3DB6"/>
    <w:rsid w:val="00116B7D"/>
    <w:rsid w:val="001545EF"/>
    <w:rsid w:val="001E34C1"/>
    <w:rsid w:val="002748B8"/>
    <w:rsid w:val="002C7A35"/>
    <w:rsid w:val="00312680"/>
    <w:rsid w:val="003434B1"/>
    <w:rsid w:val="00423B49"/>
    <w:rsid w:val="0043411B"/>
    <w:rsid w:val="0043773D"/>
    <w:rsid w:val="004740D1"/>
    <w:rsid w:val="0051605D"/>
    <w:rsid w:val="00526339"/>
    <w:rsid w:val="005D035C"/>
    <w:rsid w:val="005D6851"/>
    <w:rsid w:val="00610A26"/>
    <w:rsid w:val="0061704C"/>
    <w:rsid w:val="006E1FA9"/>
    <w:rsid w:val="00715B4A"/>
    <w:rsid w:val="007311C1"/>
    <w:rsid w:val="007F0098"/>
    <w:rsid w:val="00850606"/>
    <w:rsid w:val="008A5A60"/>
    <w:rsid w:val="008D4033"/>
    <w:rsid w:val="009217F5"/>
    <w:rsid w:val="009423A9"/>
    <w:rsid w:val="00A0116E"/>
    <w:rsid w:val="00A5099F"/>
    <w:rsid w:val="00BF4EB3"/>
    <w:rsid w:val="00C025D1"/>
    <w:rsid w:val="00C421FD"/>
    <w:rsid w:val="00C47A24"/>
    <w:rsid w:val="00C952C8"/>
    <w:rsid w:val="00CC1E12"/>
    <w:rsid w:val="00CD7B23"/>
    <w:rsid w:val="00CE34BF"/>
    <w:rsid w:val="00D04C35"/>
    <w:rsid w:val="00E33D02"/>
    <w:rsid w:val="00E97EF1"/>
    <w:rsid w:val="00ED60E3"/>
    <w:rsid w:val="00F14677"/>
    <w:rsid w:val="00F31478"/>
    <w:rsid w:val="00F761FE"/>
    <w:rsid w:val="00FB4A9B"/>
    <w:rsid w:val="00FF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6B5D2F"/>
  <w15:docId w15:val="{D43C87FC-AA46-724C-AE6C-899008410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sz w:val="24"/>
      <w:szCs w:val="24"/>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LineNumber">
    <w:name w:val="line number"/>
    <w:basedOn w:val="DefaultParagraphFont"/>
    <w:uiPriority w:val="99"/>
    <w:semiHidden/>
    <w:unhideWhenUsed/>
    <w:rsid w:val="009423A9"/>
  </w:style>
  <w:style w:type="character" w:styleId="CommentReference">
    <w:name w:val="annotation reference"/>
    <w:basedOn w:val="DefaultParagraphFont"/>
    <w:uiPriority w:val="99"/>
    <w:semiHidden/>
    <w:unhideWhenUsed/>
    <w:rsid w:val="00ED60E3"/>
    <w:rPr>
      <w:sz w:val="16"/>
      <w:szCs w:val="16"/>
    </w:rPr>
  </w:style>
  <w:style w:type="paragraph" w:styleId="CommentText">
    <w:name w:val="annotation text"/>
    <w:basedOn w:val="Normal"/>
    <w:link w:val="CommentTextChar"/>
    <w:uiPriority w:val="99"/>
    <w:semiHidden/>
    <w:unhideWhenUsed/>
    <w:rsid w:val="00ED60E3"/>
    <w:pPr>
      <w:spacing w:line="240" w:lineRule="auto"/>
    </w:pPr>
    <w:rPr>
      <w:sz w:val="20"/>
      <w:szCs w:val="20"/>
    </w:rPr>
  </w:style>
  <w:style w:type="character" w:customStyle="1" w:styleId="CommentTextChar">
    <w:name w:val="Comment Text Char"/>
    <w:basedOn w:val="DefaultParagraphFont"/>
    <w:link w:val="CommentText"/>
    <w:uiPriority w:val="99"/>
    <w:semiHidden/>
    <w:rsid w:val="00ED60E3"/>
    <w:rPr>
      <w:sz w:val="20"/>
      <w:szCs w:val="20"/>
    </w:rPr>
  </w:style>
  <w:style w:type="paragraph" w:styleId="CommentSubject">
    <w:name w:val="annotation subject"/>
    <w:basedOn w:val="CommentText"/>
    <w:next w:val="CommentText"/>
    <w:link w:val="CommentSubjectChar"/>
    <w:uiPriority w:val="99"/>
    <w:semiHidden/>
    <w:unhideWhenUsed/>
    <w:rsid w:val="00ED60E3"/>
    <w:rPr>
      <w:b/>
      <w:bCs/>
    </w:rPr>
  </w:style>
  <w:style w:type="character" w:customStyle="1" w:styleId="CommentSubjectChar">
    <w:name w:val="Comment Subject Char"/>
    <w:basedOn w:val="CommentTextChar"/>
    <w:link w:val="CommentSubject"/>
    <w:uiPriority w:val="99"/>
    <w:semiHidden/>
    <w:rsid w:val="00ED60E3"/>
    <w:rPr>
      <w:b/>
      <w:bCs/>
      <w:sz w:val="20"/>
      <w:szCs w:val="20"/>
    </w:rPr>
  </w:style>
  <w:style w:type="paragraph" w:customStyle="1" w:styleId="TableCaption">
    <w:name w:val="Table Caption"/>
    <w:basedOn w:val="Normal"/>
    <w:qFormat/>
    <w:rsid w:val="007F0098"/>
    <w:pPr>
      <w:spacing w:line="240" w:lineRule="auto"/>
      <w:jc w:val="center"/>
    </w:pPr>
    <w:rPr>
      <w:rFonts w:asciiTheme="minorHAnsi" w:eastAsiaTheme="minorEastAsia" w:hAnsiTheme="minorHAnsi" w:cstheme="minorBidi"/>
      <w:b/>
      <w:i/>
      <w:sz w:val="24"/>
      <w:szCs w:val="24"/>
    </w:rPr>
  </w:style>
  <w:style w:type="paragraph" w:styleId="Revision">
    <w:name w:val="Revision"/>
    <w:hidden/>
    <w:uiPriority w:val="99"/>
    <w:semiHidden/>
    <w:rsid w:val="008A5A60"/>
    <w:pPr>
      <w:spacing w:line="240" w:lineRule="auto"/>
    </w:pPr>
  </w:style>
  <w:style w:type="table" w:styleId="TableGrid">
    <w:name w:val="Table Grid"/>
    <w:basedOn w:val="TableNormal"/>
    <w:uiPriority w:val="39"/>
    <w:rsid w:val="008A5A6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740D1"/>
    <w:pPr>
      <w:spacing w:line="240" w:lineRule="auto"/>
    </w:pPr>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1876</Words>
  <Characters>10696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2026-06-29T21:13:00Z</dcterms:created>
  <dcterms:modified xsi:type="dcterms:W3CDTF">2026-06-29T21:13:00Z</dcterms:modified>
</cp:coreProperties>
</file>