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66D07" w14:textId="0DC2A449" w:rsidR="00E17D93" w:rsidRDefault="00E17D93" w:rsidP="008F217E">
      <w:pPr>
        <w:pStyle w:val="NoSpacing"/>
        <w:spacing w:line="360" w:lineRule="auto"/>
        <w:rPr>
          <w:b w:val="0"/>
          <w:bCs/>
          <w:u w:val="none"/>
        </w:rPr>
      </w:pPr>
      <w:r>
        <w:t>Supplemental Material</w:t>
      </w:r>
    </w:p>
    <w:p w14:paraId="5D23E9F6" w14:textId="77777777" w:rsidR="00E17D93" w:rsidRDefault="00E17D93" w:rsidP="008F217E">
      <w:pPr>
        <w:pStyle w:val="NoSpacing"/>
        <w:spacing w:line="360" w:lineRule="auto"/>
        <w:jc w:val="both"/>
        <w:rPr>
          <w:b w:val="0"/>
          <w:bCs/>
          <w:i/>
          <w:iCs/>
          <w:u w:val="none"/>
        </w:rPr>
      </w:pPr>
      <w:r>
        <w:rPr>
          <w:b w:val="0"/>
          <w:bCs/>
          <w:i/>
          <w:iCs/>
          <w:u w:val="none"/>
        </w:rPr>
        <w:t>Subject Accuracy When Following TS Feedback</w:t>
      </w:r>
    </w:p>
    <w:p w14:paraId="45D37216" w14:textId="75F46852" w:rsidR="00E17D93" w:rsidRDefault="00E17D93" w:rsidP="008F217E">
      <w:pPr>
        <w:pStyle w:val="NoSpacing"/>
        <w:spacing w:line="360" w:lineRule="auto"/>
        <w:jc w:val="both"/>
        <w:rPr>
          <w:rFonts w:cs="Times New Roman"/>
          <w:b w:val="0"/>
          <w:bCs/>
          <w:u w:val="none"/>
        </w:rPr>
      </w:pPr>
      <w:r>
        <w:rPr>
          <w:b w:val="0"/>
          <w:bCs/>
          <w:u w:val="none"/>
        </w:rPr>
        <w:tab/>
        <w:t xml:space="preserve">Along with determining the changes in gait that occurred when following the feedback, the accuracy of following the feedback was also analyzed. Accuracy was quantified as the percentage of ‘successful’ steps out of the total steps within each TS period. From the </w:t>
      </w:r>
      <w:r w:rsidR="00820D53">
        <w:rPr>
          <w:b w:val="0"/>
          <w:bCs/>
          <w:u w:val="none"/>
        </w:rPr>
        <w:t>tactile feedback</w:t>
      </w:r>
      <w:r>
        <w:rPr>
          <w:b w:val="0"/>
          <w:bCs/>
          <w:i/>
          <w:iCs/>
          <w:u w:val="none"/>
        </w:rPr>
        <w:t xml:space="preserve"> </w:t>
      </w:r>
      <w:r>
        <w:rPr>
          <w:b w:val="0"/>
          <w:bCs/>
          <w:u w:val="none"/>
        </w:rPr>
        <w:t xml:space="preserve">trials, the least accurate condition was the </w:t>
      </w:r>
      <w:proofErr w:type="spellStart"/>
      <w:r>
        <w:rPr>
          <w:b w:val="0"/>
          <w:bCs/>
          <w:u w:val="none"/>
        </w:rPr>
        <w:t>RightTS</w:t>
      </w:r>
      <w:r>
        <w:rPr>
          <w:b w:val="0"/>
          <w:bCs/>
          <w:u w:val="none"/>
          <w:vertAlign w:val="subscript"/>
        </w:rPr>
        <w:t>Lrg</w:t>
      </w:r>
      <w:proofErr w:type="spellEnd"/>
      <w:r>
        <w:rPr>
          <w:b w:val="0"/>
          <w:bCs/>
          <w:u w:val="none"/>
        </w:rPr>
        <w:t xml:space="preserve"> condition, while the most accurate was the </w:t>
      </w:r>
      <w:proofErr w:type="spellStart"/>
      <w:r>
        <w:rPr>
          <w:b w:val="0"/>
          <w:bCs/>
          <w:u w:val="none"/>
        </w:rPr>
        <w:t>BaselineTS</w:t>
      </w:r>
      <w:proofErr w:type="spellEnd"/>
      <w:r>
        <w:rPr>
          <w:b w:val="0"/>
          <w:bCs/>
          <w:u w:val="none"/>
        </w:rPr>
        <w:t xml:space="preserve"> condition (</w:t>
      </w:r>
      <w:proofErr w:type="spellStart"/>
      <w:r>
        <w:rPr>
          <w:b w:val="0"/>
          <w:bCs/>
          <w:u w:val="none"/>
        </w:rPr>
        <w:t>RightTS</w:t>
      </w:r>
      <w:r>
        <w:rPr>
          <w:b w:val="0"/>
          <w:bCs/>
          <w:u w:val="none"/>
          <w:vertAlign w:val="subscript"/>
        </w:rPr>
        <w:t>Lrg</w:t>
      </w:r>
      <w:proofErr w:type="spellEnd"/>
      <w:r>
        <w:rPr>
          <w:b w:val="0"/>
          <w:bCs/>
          <w:u w:val="none"/>
        </w:rPr>
        <w:t>: 44.7</w:t>
      </w:r>
      <w:r>
        <w:rPr>
          <w:rFonts w:cs="Times New Roman"/>
          <w:b w:val="0"/>
          <w:bCs/>
          <w:u w:val="none"/>
        </w:rPr>
        <w:t xml:space="preserve">±31.5%, </w:t>
      </w:r>
      <w:proofErr w:type="spellStart"/>
      <w:r>
        <w:rPr>
          <w:b w:val="0"/>
          <w:bCs/>
          <w:u w:val="none"/>
        </w:rPr>
        <w:t>RightTS</w:t>
      </w:r>
      <w:r>
        <w:rPr>
          <w:b w:val="0"/>
          <w:bCs/>
          <w:u w:val="none"/>
          <w:vertAlign w:val="subscript"/>
        </w:rPr>
        <w:t>Med</w:t>
      </w:r>
      <w:proofErr w:type="spellEnd"/>
      <w:r>
        <w:rPr>
          <w:rFonts w:cs="Times New Roman"/>
          <w:b w:val="0"/>
          <w:bCs/>
          <w:u w:val="none"/>
        </w:rPr>
        <w:t xml:space="preserve">: 67.7±27.3%, </w:t>
      </w:r>
      <w:proofErr w:type="spellStart"/>
      <w:r>
        <w:rPr>
          <w:b w:val="0"/>
          <w:bCs/>
          <w:u w:val="none"/>
        </w:rPr>
        <w:t>RightTS</w:t>
      </w:r>
      <w:r>
        <w:rPr>
          <w:b w:val="0"/>
          <w:bCs/>
          <w:u w:val="none"/>
          <w:vertAlign w:val="subscript"/>
        </w:rPr>
        <w:t>Sml</w:t>
      </w:r>
      <w:proofErr w:type="spellEnd"/>
      <w:r>
        <w:rPr>
          <w:rFonts w:cs="Times New Roman"/>
          <w:b w:val="0"/>
          <w:bCs/>
          <w:u w:val="none"/>
        </w:rPr>
        <w:t xml:space="preserve">: 76.5±21.6%, </w:t>
      </w:r>
      <w:proofErr w:type="spellStart"/>
      <w:r>
        <w:rPr>
          <w:rFonts w:cs="Times New Roman"/>
          <w:b w:val="0"/>
          <w:bCs/>
          <w:u w:val="none"/>
        </w:rPr>
        <w:t>BaselineTS</w:t>
      </w:r>
      <w:proofErr w:type="spellEnd"/>
      <w:r>
        <w:rPr>
          <w:rFonts w:cs="Times New Roman"/>
          <w:b w:val="0"/>
          <w:bCs/>
          <w:u w:val="none"/>
        </w:rPr>
        <w:t xml:space="preserve">: 89.8±9.2%, </w:t>
      </w:r>
      <w:proofErr w:type="spellStart"/>
      <w:r>
        <w:rPr>
          <w:b w:val="0"/>
          <w:bCs/>
          <w:u w:val="none"/>
        </w:rPr>
        <w:t>LeftTS</w:t>
      </w:r>
      <w:r>
        <w:rPr>
          <w:b w:val="0"/>
          <w:bCs/>
          <w:u w:val="none"/>
          <w:vertAlign w:val="subscript"/>
        </w:rPr>
        <w:t>Sml</w:t>
      </w:r>
      <w:proofErr w:type="spellEnd"/>
      <w:r>
        <w:rPr>
          <w:rFonts w:cs="Times New Roman"/>
          <w:b w:val="0"/>
          <w:bCs/>
          <w:u w:val="none"/>
        </w:rPr>
        <w:t xml:space="preserve">: 81.0±17.8%, </w:t>
      </w:r>
      <w:proofErr w:type="spellStart"/>
      <w:r>
        <w:rPr>
          <w:b w:val="0"/>
          <w:bCs/>
          <w:u w:val="none"/>
        </w:rPr>
        <w:t>LeftTS</w:t>
      </w:r>
      <w:r>
        <w:rPr>
          <w:b w:val="0"/>
          <w:bCs/>
          <w:u w:val="none"/>
          <w:vertAlign w:val="subscript"/>
        </w:rPr>
        <w:t>Med</w:t>
      </w:r>
      <w:proofErr w:type="spellEnd"/>
      <w:r>
        <w:rPr>
          <w:rFonts w:cs="Times New Roman"/>
          <w:b w:val="0"/>
          <w:bCs/>
          <w:u w:val="none"/>
        </w:rPr>
        <w:t xml:space="preserve">: 65.4±34.0%, </w:t>
      </w:r>
      <w:proofErr w:type="spellStart"/>
      <w:r>
        <w:rPr>
          <w:b w:val="0"/>
          <w:bCs/>
          <w:u w:val="none"/>
        </w:rPr>
        <w:t>LeftTS</w:t>
      </w:r>
      <w:r>
        <w:rPr>
          <w:b w:val="0"/>
          <w:bCs/>
          <w:u w:val="none"/>
          <w:vertAlign w:val="subscript"/>
        </w:rPr>
        <w:t>Lrg</w:t>
      </w:r>
      <w:proofErr w:type="spellEnd"/>
      <w:r>
        <w:rPr>
          <w:rFonts w:cs="Times New Roman"/>
          <w:b w:val="0"/>
          <w:bCs/>
          <w:u w:val="none"/>
        </w:rPr>
        <w:t xml:space="preserve">: 56.6±35.2%). </w:t>
      </w:r>
    </w:p>
    <w:p w14:paraId="5BCC8929" w14:textId="70272D1B" w:rsidR="00E17D93" w:rsidRDefault="00E17D93" w:rsidP="008F217E">
      <w:pPr>
        <w:pStyle w:val="NoSpacing"/>
        <w:spacing w:line="360" w:lineRule="auto"/>
        <w:ind w:firstLine="720"/>
        <w:jc w:val="both"/>
        <w:rPr>
          <w:rFonts w:cs="Times New Roman"/>
          <w:b w:val="0"/>
          <w:bCs/>
          <w:u w:val="none"/>
        </w:rPr>
      </w:pPr>
      <w:r>
        <w:rPr>
          <w:rFonts w:cs="Times New Roman"/>
          <w:b w:val="0"/>
          <w:bCs/>
          <w:u w:val="none"/>
        </w:rPr>
        <w:t xml:space="preserve">The TS feedback conditions instructing large stance time increases had high variance and lower accuracy than anticipated. We hypothesized that this resulted from the rapid and random transitions between TS conditions. Thus, additional trials were conducted in which subjects following a single TS feedback condition (+20% stance time) continuously for 4 minutes. No TS periods were included at the beginning (30 s) and at the end (1 min), resulting in a total trial duration of 5.5 minutes. These trials were performed once for each limb. </w:t>
      </w:r>
      <w:r>
        <w:rPr>
          <w:b w:val="0"/>
          <w:bCs/>
          <w:u w:val="none"/>
        </w:rPr>
        <w:t xml:space="preserve">Subjects had a total of about 150 steps of TS during each trial. Subjects were more accurate in following this feedback than in the </w:t>
      </w:r>
      <w:r w:rsidR="003B6381">
        <w:rPr>
          <w:b w:val="0"/>
          <w:bCs/>
          <w:u w:val="none"/>
        </w:rPr>
        <w:t>reported</w:t>
      </w:r>
      <w:r>
        <w:rPr>
          <w:b w:val="0"/>
          <w:bCs/>
          <w:u w:val="none"/>
        </w:rPr>
        <w:t xml:space="preserve"> trials (Overall: 81.9.</w:t>
      </w:r>
      <w:r w:rsidRPr="006A1892">
        <w:rPr>
          <w:rFonts w:cs="Times New Roman"/>
          <w:b w:val="0"/>
          <w:bCs/>
          <w:u w:val="none"/>
        </w:rPr>
        <w:t xml:space="preserve"> </w:t>
      </w:r>
      <w:r>
        <w:rPr>
          <w:rFonts w:cs="Times New Roman"/>
          <w:b w:val="0"/>
          <w:bCs/>
          <w:u w:val="none"/>
        </w:rPr>
        <w:t xml:space="preserve">±18.5%, </w:t>
      </w:r>
      <w:proofErr w:type="spellStart"/>
      <w:r>
        <w:rPr>
          <w:rFonts w:cs="Times New Roman"/>
          <w:b w:val="0"/>
          <w:bCs/>
          <w:u w:val="none"/>
        </w:rPr>
        <w:t>RightTS</w:t>
      </w:r>
      <w:proofErr w:type="spellEnd"/>
      <w:r>
        <w:rPr>
          <w:rFonts w:cs="Times New Roman"/>
          <w:b w:val="0"/>
          <w:bCs/>
          <w:u w:val="none"/>
        </w:rPr>
        <w:t xml:space="preserve">: </w:t>
      </w:r>
      <w:r>
        <w:rPr>
          <w:b w:val="0"/>
          <w:bCs/>
          <w:u w:val="none"/>
        </w:rPr>
        <w:t>82.8.</w:t>
      </w:r>
      <w:r w:rsidRPr="006A1892">
        <w:rPr>
          <w:rFonts w:cs="Times New Roman"/>
          <w:b w:val="0"/>
          <w:bCs/>
          <w:u w:val="none"/>
        </w:rPr>
        <w:t xml:space="preserve"> </w:t>
      </w:r>
      <w:r>
        <w:rPr>
          <w:rFonts w:cs="Times New Roman"/>
          <w:b w:val="0"/>
          <w:bCs/>
          <w:u w:val="none"/>
        </w:rPr>
        <w:t xml:space="preserve">±18.2%, </w:t>
      </w:r>
      <w:proofErr w:type="spellStart"/>
      <w:r>
        <w:rPr>
          <w:rFonts w:cs="Times New Roman"/>
          <w:b w:val="0"/>
          <w:bCs/>
          <w:u w:val="none"/>
        </w:rPr>
        <w:t>LeftTS</w:t>
      </w:r>
      <w:proofErr w:type="spellEnd"/>
      <w:r>
        <w:rPr>
          <w:rFonts w:cs="Times New Roman"/>
          <w:b w:val="0"/>
          <w:bCs/>
          <w:u w:val="none"/>
        </w:rPr>
        <w:t xml:space="preserve">: </w:t>
      </w:r>
      <w:r>
        <w:rPr>
          <w:b w:val="0"/>
          <w:bCs/>
          <w:u w:val="none"/>
        </w:rPr>
        <w:t>81.0.</w:t>
      </w:r>
      <w:r w:rsidRPr="006A1892">
        <w:rPr>
          <w:rFonts w:cs="Times New Roman"/>
          <w:b w:val="0"/>
          <w:bCs/>
          <w:u w:val="none"/>
        </w:rPr>
        <w:t xml:space="preserve"> </w:t>
      </w:r>
      <w:r>
        <w:rPr>
          <w:rFonts w:cs="Times New Roman"/>
          <w:b w:val="0"/>
          <w:bCs/>
          <w:u w:val="none"/>
        </w:rPr>
        <w:t xml:space="preserve">±18.8%). This higher accuracy with consistent feedback demonstrates the effectiveness of subjects altering their stance times according to the tactile feedback. </w:t>
      </w:r>
    </w:p>
    <w:p w14:paraId="2637EA23" w14:textId="04195F34" w:rsidR="00256E95" w:rsidRDefault="00256E95" w:rsidP="008F217E">
      <w:pPr>
        <w:pStyle w:val="NoSpacing"/>
        <w:spacing w:line="360" w:lineRule="auto"/>
        <w:jc w:val="both"/>
        <w:rPr>
          <w:rFonts w:cs="Times New Roman"/>
          <w:b w:val="0"/>
          <w:bCs/>
          <w:i/>
          <w:iCs/>
          <w:u w:val="none"/>
        </w:rPr>
      </w:pPr>
      <w:r>
        <w:rPr>
          <w:rFonts w:cs="Times New Roman"/>
          <w:b w:val="0"/>
          <w:bCs/>
          <w:i/>
          <w:iCs/>
          <w:u w:val="none"/>
        </w:rPr>
        <w:t>Propulsive Changes in Entire Dataset</w:t>
      </w:r>
    </w:p>
    <w:p w14:paraId="5196F614" w14:textId="4F63DA8B" w:rsidR="00256E95" w:rsidRDefault="00256E95" w:rsidP="008F217E">
      <w:pPr>
        <w:pStyle w:val="NoSpacing"/>
        <w:spacing w:line="360" w:lineRule="auto"/>
        <w:jc w:val="both"/>
        <w:rPr>
          <w:rFonts w:cs="Times New Roman"/>
          <w:b w:val="0"/>
          <w:bCs/>
          <w:u w:val="none"/>
        </w:rPr>
      </w:pPr>
      <w:r>
        <w:rPr>
          <w:rFonts w:cs="Times New Roman"/>
          <w:b w:val="0"/>
          <w:bCs/>
          <w:u w:val="none"/>
        </w:rPr>
        <w:tab/>
        <w:t>In the main text, we analyzed the propulsion data irrespective of left and right sides. This was done to conserve space and target the main effect of propulsion increases. However, we include the propulsion changes for all conditions with sides here for completion.</w:t>
      </w:r>
      <w:r w:rsidR="0045530F">
        <w:rPr>
          <w:rFonts w:cs="Times New Roman"/>
          <w:b w:val="0"/>
          <w:bCs/>
          <w:u w:val="none"/>
        </w:rPr>
        <w:t xml:space="preserve"> </w:t>
      </w:r>
    </w:p>
    <w:p w14:paraId="29963403" w14:textId="32846330" w:rsidR="0045530F" w:rsidRDefault="00612AE0" w:rsidP="00256E95">
      <w:pPr>
        <w:pStyle w:val="NoSpacing"/>
        <w:spacing w:line="480" w:lineRule="auto"/>
        <w:jc w:val="both"/>
        <w:rPr>
          <w:rFonts w:cs="Times New Roman"/>
          <w:b w:val="0"/>
          <w:bCs/>
          <w:u w:val="none"/>
        </w:rPr>
      </w:pPr>
      <w:r>
        <w:rPr>
          <w:rFonts w:cs="Times New Roman"/>
          <w:b w:val="0"/>
          <w:bCs/>
          <w:noProof/>
          <w:u w:val="none"/>
        </w:rPr>
        <w:lastRenderedPageBreak/>
        <w:drawing>
          <wp:inline distT="0" distB="0" distL="0" distR="0" wp14:anchorId="1BDDFD1C" wp14:editId="36B523D0">
            <wp:extent cx="3824126" cy="3401491"/>
            <wp:effectExtent l="0" t="0" r="5080" b="8890"/>
            <wp:docPr id="19299546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954666" name="Picture 1929954666"/>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30882" cy="3407501"/>
                    </a:xfrm>
                    <a:prstGeom prst="rect">
                      <a:avLst/>
                    </a:prstGeom>
                  </pic:spPr>
                </pic:pic>
              </a:graphicData>
            </a:graphic>
          </wp:inline>
        </w:drawing>
      </w:r>
    </w:p>
    <w:p w14:paraId="32917BB5" w14:textId="5BE945A1" w:rsidR="0045530F" w:rsidRPr="0045530F" w:rsidRDefault="0045530F" w:rsidP="00256E95">
      <w:pPr>
        <w:pStyle w:val="NoSpacing"/>
        <w:spacing w:line="480" w:lineRule="auto"/>
        <w:jc w:val="both"/>
        <w:rPr>
          <w:rFonts w:cs="Times New Roman"/>
          <w:b w:val="0"/>
          <w:bCs/>
          <w:i/>
          <w:iCs/>
          <w:u w:val="none"/>
        </w:rPr>
      </w:pPr>
      <w:r>
        <w:rPr>
          <w:rFonts w:cs="Times New Roman"/>
          <w:i/>
          <w:iCs/>
          <w:u w:val="none"/>
        </w:rPr>
        <w:t>Figure S1</w:t>
      </w:r>
      <w:r>
        <w:rPr>
          <w:rFonts w:cs="Times New Roman"/>
          <w:b w:val="0"/>
          <w:bCs/>
          <w:i/>
          <w:iCs/>
          <w:u w:val="none"/>
        </w:rPr>
        <w:t xml:space="preserve">: Density and </w:t>
      </w:r>
      <w:proofErr w:type="spellStart"/>
      <w:r>
        <w:rPr>
          <w:rFonts w:cs="Times New Roman"/>
          <w:b w:val="0"/>
          <w:bCs/>
          <w:i/>
          <w:iCs/>
          <w:u w:val="none"/>
        </w:rPr>
        <w:t>qq</w:t>
      </w:r>
      <w:proofErr w:type="spellEnd"/>
      <w:r>
        <w:rPr>
          <w:rFonts w:cs="Times New Roman"/>
          <w:b w:val="0"/>
          <w:bCs/>
          <w:i/>
          <w:iCs/>
          <w:u w:val="none"/>
        </w:rPr>
        <w:t xml:space="preserve"> plots of the whole data and subset of data used for the linear </w:t>
      </w:r>
      <w:r w:rsidR="0027029D">
        <w:rPr>
          <w:rFonts w:cs="Times New Roman"/>
          <w:b w:val="0"/>
          <w:bCs/>
          <w:i/>
          <w:iCs/>
          <w:u w:val="none"/>
        </w:rPr>
        <w:t>models</w:t>
      </w:r>
      <w:r w:rsidR="001055BD">
        <w:rPr>
          <w:rFonts w:cs="Times New Roman"/>
          <w:b w:val="0"/>
          <w:bCs/>
          <w:i/>
          <w:iCs/>
          <w:u w:val="none"/>
        </w:rPr>
        <w:t>.</w:t>
      </w:r>
      <w:r>
        <w:rPr>
          <w:rFonts w:cs="Times New Roman"/>
          <w:b w:val="0"/>
          <w:bCs/>
          <w:i/>
          <w:iCs/>
          <w:u w:val="none"/>
        </w:rPr>
        <w:t xml:space="preserve"> </w:t>
      </w:r>
    </w:p>
    <w:p w14:paraId="6BE69199" w14:textId="77777777" w:rsidR="00256E95" w:rsidRDefault="00256E95" w:rsidP="00256E95">
      <w:pPr>
        <w:pStyle w:val="NoSpacing"/>
        <w:spacing w:line="480" w:lineRule="auto"/>
        <w:jc w:val="both"/>
        <w:rPr>
          <w:b w:val="0"/>
          <w:bCs/>
          <w:i/>
          <w:iCs/>
          <w:u w:val="none"/>
        </w:rPr>
      </w:pPr>
    </w:p>
    <w:p w14:paraId="672F1623" w14:textId="77777777" w:rsidR="00256E95" w:rsidRDefault="00256E95" w:rsidP="004A26A9">
      <w:pPr>
        <w:spacing w:after="0" w:line="240" w:lineRule="auto"/>
        <w:jc w:val="center"/>
        <w:rPr>
          <w:rFonts w:ascii="Calibri" w:eastAsia="Times New Roman" w:hAnsi="Calibri" w:cs="Calibri"/>
          <w:b/>
          <w:bCs/>
          <w:color w:val="000000"/>
          <w:kern w:val="0"/>
          <w:sz w:val="20"/>
          <w:szCs w:val="20"/>
          <w14:ligatures w14:val="none"/>
        </w:rPr>
        <w:sectPr w:rsidR="00256E95" w:rsidSect="004A26A9">
          <w:type w:val="continuous"/>
          <w:pgSz w:w="12240" w:h="15840"/>
          <w:pgMar w:top="1440" w:right="1440" w:bottom="1440" w:left="1440" w:header="720" w:footer="720" w:gutter="0"/>
          <w:lnNumType w:countBy="1" w:restart="continuous"/>
          <w:cols w:space="720"/>
          <w:docGrid w:linePitch="360"/>
        </w:sectPr>
      </w:pPr>
    </w:p>
    <w:tbl>
      <w:tblPr>
        <w:tblW w:w="14363" w:type="dxa"/>
        <w:tblLook w:val="04A0" w:firstRow="1" w:lastRow="0" w:firstColumn="1" w:lastColumn="0" w:noHBand="0" w:noVBand="1"/>
      </w:tblPr>
      <w:tblGrid>
        <w:gridCol w:w="1342"/>
        <w:gridCol w:w="813"/>
        <w:gridCol w:w="814"/>
        <w:gridCol w:w="813"/>
        <w:gridCol w:w="814"/>
        <w:gridCol w:w="813"/>
        <w:gridCol w:w="814"/>
        <w:gridCol w:w="813"/>
        <w:gridCol w:w="814"/>
        <w:gridCol w:w="813"/>
        <w:gridCol w:w="814"/>
        <w:gridCol w:w="813"/>
        <w:gridCol w:w="818"/>
        <w:gridCol w:w="814"/>
        <w:gridCol w:w="813"/>
        <w:gridCol w:w="813"/>
        <w:gridCol w:w="815"/>
      </w:tblGrid>
      <w:tr w:rsidR="00256E95" w:rsidRPr="00F81FFA" w14:paraId="057921A1" w14:textId="77777777" w:rsidTr="00832E65">
        <w:trPr>
          <w:trHeight w:val="441"/>
        </w:trPr>
        <w:tc>
          <w:tcPr>
            <w:tcW w:w="1342" w:type="dxa"/>
            <w:tcBorders>
              <w:top w:val="single" w:sz="12" w:space="0" w:color="auto"/>
              <w:left w:val="single" w:sz="12" w:space="0" w:color="auto"/>
              <w:bottom w:val="single" w:sz="4" w:space="0" w:color="auto"/>
              <w:right w:val="single" w:sz="8" w:space="0" w:color="auto"/>
            </w:tcBorders>
            <w:noWrap/>
            <w:vAlign w:val="center"/>
            <w:hideMark/>
          </w:tcPr>
          <w:p w14:paraId="076C96D1" w14:textId="77777777" w:rsidR="00256E95" w:rsidRPr="00F81FFA" w:rsidRDefault="00256E95" w:rsidP="004A26A9">
            <w:pPr>
              <w:spacing w:after="0" w:line="240" w:lineRule="auto"/>
              <w:jc w:val="center"/>
              <w:rPr>
                <w:rFonts w:ascii="Calibri" w:eastAsia="Times New Roman" w:hAnsi="Calibri" w:cs="Calibri"/>
                <w:b/>
                <w:bCs/>
                <w:color w:val="000000"/>
                <w:kern w:val="0"/>
                <w:sz w:val="20"/>
                <w:szCs w:val="20"/>
                <w14:ligatures w14:val="none"/>
              </w:rPr>
            </w:pPr>
            <w:r w:rsidRPr="00F81FFA">
              <w:rPr>
                <w:rFonts w:ascii="Calibri" w:eastAsia="Times New Roman" w:hAnsi="Calibri" w:cs="Calibri"/>
                <w:b/>
                <w:bCs/>
                <w:color w:val="000000"/>
                <w:kern w:val="0"/>
                <w:sz w:val="20"/>
                <w:szCs w:val="20"/>
                <w14:ligatures w14:val="none"/>
              </w:rPr>
              <w:lastRenderedPageBreak/>
              <w:t>Condition</w:t>
            </w:r>
          </w:p>
        </w:tc>
        <w:tc>
          <w:tcPr>
            <w:tcW w:w="1627" w:type="dxa"/>
            <w:gridSpan w:val="2"/>
            <w:tcBorders>
              <w:top w:val="single" w:sz="12" w:space="0" w:color="auto"/>
              <w:left w:val="single" w:sz="12" w:space="0" w:color="auto"/>
              <w:bottom w:val="single" w:sz="4" w:space="0" w:color="auto"/>
              <w:right w:val="single" w:sz="8" w:space="0" w:color="000000"/>
            </w:tcBorders>
            <w:shd w:val="clear" w:color="000000" w:fill="D0CECE"/>
            <w:noWrap/>
            <w:vAlign w:val="center"/>
            <w:hideMark/>
          </w:tcPr>
          <w:p w14:paraId="6BE289B1" w14:textId="77777777" w:rsidR="00256E95" w:rsidRPr="00F81FFA" w:rsidRDefault="00256E95" w:rsidP="004A26A9">
            <w:pPr>
              <w:spacing w:after="0" w:line="240" w:lineRule="auto"/>
              <w:jc w:val="center"/>
              <w:rPr>
                <w:rFonts w:eastAsia="Times New Roman" w:cs="Times New Roman"/>
                <w:color w:val="000000"/>
                <w:kern w:val="0"/>
                <w14:ligatures w14:val="none"/>
              </w:rPr>
            </w:pPr>
            <w:proofErr w:type="spellStart"/>
            <w:r w:rsidRPr="00F81FFA">
              <w:rPr>
                <w:rFonts w:eastAsia="Times New Roman" w:cs="Times New Roman"/>
                <w:color w:val="000000"/>
                <w:kern w:val="0"/>
                <w14:ligatures w14:val="none"/>
              </w:rPr>
              <w:t>NoTS</w:t>
            </w:r>
            <w:proofErr w:type="spellEnd"/>
          </w:p>
        </w:tc>
        <w:tc>
          <w:tcPr>
            <w:tcW w:w="1627" w:type="dxa"/>
            <w:gridSpan w:val="2"/>
            <w:tcBorders>
              <w:top w:val="single" w:sz="12" w:space="0" w:color="auto"/>
              <w:left w:val="single" w:sz="12" w:space="0" w:color="auto"/>
              <w:bottom w:val="single" w:sz="4" w:space="0" w:color="auto"/>
              <w:right w:val="single" w:sz="8" w:space="0" w:color="000000"/>
            </w:tcBorders>
            <w:shd w:val="clear" w:color="000000" w:fill="BDD7EE"/>
            <w:noWrap/>
            <w:vAlign w:val="center"/>
            <w:hideMark/>
          </w:tcPr>
          <w:p w14:paraId="6CC94D39" w14:textId="77777777" w:rsidR="00256E95" w:rsidRPr="00F81FFA" w:rsidRDefault="00256E95" w:rsidP="004A26A9">
            <w:pPr>
              <w:spacing w:after="0" w:line="240" w:lineRule="auto"/>
              <w:jc w:val="center"/>
              <w:rPr>
                <w:rFonts w:eastAsia="Times New Roman" w:cs="Times New Roman"/>
                <w:color w:val="000000"/>
                <w:kern w:val="0"/>
                <w14:ligatures w14:val="none"/>
              </w:rPr>
            </w:pPr>
            <w:proofErr w:type="spellStart"/>
            <w:r w:rsidRPr="00F81FFA">
              <w:rPr>
                <w:rFonts w:eastAsia="Times New Roman" w:cs="Times New Roman"/>
                <w:color w:val="000000"/>
                <w:kern w:val="0"/>
                <w14:ligatures w14:val="none"/>
              </w:rPr>
              <w:t>LeftTS</w:t>
            </w:r>
            <w:r w:rsidRPr="00F81FFA">
              <w:rPr>
                <w:rFonts w:eastAsia="Times New Roman" w:cs="Times New Roman"/>
                <w:color w:val="000000"/>
                <w:kern w:val="0"/>
                <w:vertAlign w:val="subscript"/>
                <w14:ligatures w14:val="none"/>
              </w:rPr>
              <w:t>Lrg</w:t>
            </w:r>
            <w:proofErr w:type="spellEnd"/>
          </w:p>
        </w:tc>
        <w:tc>
          <w:tcPr>
            <w:tcW w:w="1627" w:type="dxa"/>
            <w:gridSpan w:val="2"/>
            <w:tcBorders>
              <w:top w:val="single" w:sz="12" w:space="0" w:color="auto"/>
              <w:left w:val="single" w:sz="12" w:space="0" w:color="auto"/>
              <w:bottom w:val="single" w:sz="4" w:space="0" w:color="auto"/>
              <w:right w:val="single" w:sz="8" w:space="0" w:color="000000"/>
            </w:tcBorders>
            <w:shd w:val="clear" w:color="000000" w:fill="BDD7EE"/>
            <w:noWrap/>
            <w:vAlign w:val="center"/>
            <w:hideMark/>
          </w:tcPr>
          <w:p w14:paraId="01A482B7" w14:textId="77777777" w:rsidR="00256E95" w:rsidRPr="00F81FFA" w:rsidRDefault="00256E95" w:rsidP="004A26A9">
            <w:pPr>
              <w:spacing w:after="0" w:line="240" w:lineRule="auto"/>
              <w:jc w:val="center"/>
              <w:rPr>
                <w:rFonts w:eastAsia="Times New Roman" w:cs="Times New Roman"/>
                <w:color w:val="000000"/>
                <w:kern w:val="0"/>
                <w14:ligatures w14:val="none"/>
              </w:rPr>
            </w:pPr>
            <w:proofErr w:type="spellStart"/>
            <w:r w:rsidRPr="00F81FFA">
              <w:rPr>
                <w:rFonts w:eastAsia="Times New Roman" w:cs="Times New Roman"/>
                <w:color w:val="000000"/>
                <w:kern w:val="0"/>
                <w14:ligatures w14:val="none"/>
              </w:rPr>
              <w:t>LeftTS</w:t>
            </w:r>
            <w:r w:rsidRPr="00F81FFA">
              <w:rPr>
                <w:rFonts w:eastAsia="Times New Roman" w:cs="Times New Roman"/>
                <w:color w:val="000000"/>
                <w:kern w:val="0"/>
                <w:vertAlign w:val="subscript"/>
                <w14:ligatures w14:val="none"/>
              </w:rPr>
              <w:t>Med</w:t>
            </w:r>
            <w:proofErr w:type="spellEnd"/>
          </w:p>
        </w:tc>
        <w:tc>
          <w:tcPr>
            <w:tcW w:w="1627" w:type="dxa"/>
            <w:gridSpan w:val="2"/>
            <w:tcBorders>
              <w:top w:val="single" w:sz="12" w:space="0" w:color="auto"/>
              <w:left w:val="single" w:sz="12" w:space="0" w:color="auto"/>
              <w:bottom w:val="single" w:sz="4" w:space="0" w:color="auto"/>
              <w:right w:val="single" w:sz="8" w:space="0" w:color="000000"/>
            </w:tcBorders>
            <w:shd w:val="clear" w:color="000000" w:fill="BDD7EE"/>
            <w:noWrap/>
            <w:vAlign w:val="center"/>
            <w:hideMark/>
          </w:tcPr>
          <w:p w14:paraId="1F375576" w14:textId="77777777" w:rsidR="00256E95" w:rsidRPr="00F81FFA" w:rsidRDefault="00256E95" w:rsidP="004A26A9">
            <w:pPr>
              <w:spacing w:after="0" w:line="240" w:lineRule="auto"/>
              <w:jc w:val="center"/>
              <w:rPr>
                <w:rFonts w:eastAsia="Times New Roman" w:cs="Times New Roman"/>
                <w:color w:val="000000"/>
                <w:kern w:val="0"/>
                <w14:ligatures w14:val="none"/>
              </w:rPr>
            </w:pPr>
            <w:proofErr w:type="spellStart"/>
            <w:r w:rsidRPr="00F81FFA">
              <w:rPr>
                <w:rFonts w:eastAsia="Times New Roman" w:cs="Times New Roman"/>
                <w:color w:val="000000"/>
                <w:kern w:val="0"/>
                <w14:ligatures w14:val="none"/>
              </w:rPr>
              <w:t>LeftTS</w:t>
            </w:r>
            <w:r w:rsidRPr="00F81FFA">
              <w:rPr>
                <w:rFonts w:eastAsia="Times New Roman" w:cs="Times New Roman"/>
                <w:color w:val="000000"/>
                <w:kern w:val="0"/>
                <w:vertAlign w:val="subscript"/>
                <w14:ligatures w14:val="none"/>
              </w:rPr>
              <w:t>Sml</w:t>
            </w:r>
            <w:proofErr w:type="spellEnd"/>
          </w:p>
        </w:tc>
        <w:tc>
          <w:tcPr>
            <w:tcW w:w="1627" w:type="dxa"/>
            <w:gridSpan w:val="2"/>
            <w:tcBorders>
              <w:top w:val="single" w:sz="12" w:space="0" w:color="auto"/>
              <w:left w:val="single" w:sz="12" w:space="0" w:color="auto"/>
              <w:bottom w:val="single" w:sz="4" w:space="0" w:color="auto"/>
              <w:right w:val="single" w:sz="8" w:space="0" w:color="000000"/>
            </w:tcBorders>
            <w:noWrap/>
            <w:vAlign w:val="center"/>
            <w:hideMark/>
          </w:tcPr>
          <w:p w14:paraId="28D66570" w14:textId="77777777" w:rsidR="00256E95" w:rsidRPr="00F81FFA" w:rsidRDefault="00256E95" w:rsidP="004A26A9">
            <w:pPr>
              <w:spacing w:after="0" w:line="240" w:lineRule="auto"/>
              <w:jc w:val="center"/>
              <w:rPr>
                <w:rFonts w:eastAsia="Times New Roman" w:cs="Times New Roman"/>
                <w:color w:val="000000"/>
                <w:kern w:val="0"/>
                <w14:ligatures w14:val="none"/>
              </w:rPr>
            </w:pPr>
            <w:proofErr w:type="spellStart"/>
            <w:r w:rsidRPr="00F81FFA">
              <w:rPr>
                <w:rFonts w:eastAsia="Times New Roman" w:cs="Times New Roman"/>
                <w:color w:val="000000"/>
                <w:kern w:val="0"/>
                <w14:ligatures w14:val="none"/>
              </w:rPr>
              <w:t>BaselineTS</w:t>
            </w:r>
            <w:proofErr w:type="spellEnd"/>
          </w:p>
        </w:tc>
        <w:tc>
          <w:tcPr>
            <w:tcW w:w="1631" w:type="dxa"/>
            <w:gridSpan w:val="2"/>
            <w:tcBorders>
              <w:top w:val="single" w:sz="12" w:space="0" w:color="auto"/>
              <w:left w:val="single" w:sz="12" w:space="0" w:color="auto"/>
              <w:bottom w:val="single" w:sz="4" w:space="0" w:color="auto"/>
              <w:right w:val="single" w:sz="8" w:space="0" w:color="000000"/>
            </w:tcBorders>
            <w:shd w:val="clear" w:color="000000" w:fill="F8CBAD"/>
            <w:noWrap/>
            <w:vAlign w:val="center"/>
            <w:hideMark/>
          </w:tcPr>
          <w:p w14:paraId="43FE494D" w14:textId="77777777" w:rsidR="00256E95" w:rsidRPr="00F81FFA" w:rsidRDefault="00256E95" w:rsidP="004A26A9">
            <w:pPr>
              <w:spacing w:after="0" w:line="240" w:lineRule="auto"/>
              <w:jc w:val="center"/>
              <w:rPr>
                <w:rFonts w:eastAsia="Times New Roman" w:cs="Times New Roman"/>
                <w:color w:val="000000"/>
                <w:kern w:val="0"/>
                <w14:ligatures w14:val="none"/>
              </w:rPr>
            </w:pPr>
            <w:proofErr w:type="spellStart"/>
            <w:r w:rsidRPr="00F81FFA">
              <w:rPr>
                <w:rFonts w:eastAsia="Times New Roman" w:cs="Times New Roman"/>
                <w:color w:val="000000"/>
                <w:kern w:val="0"/>
                <w14:ligatures w14:val="none"/>
              </w:rPr>
              <w:t>RightTS</w:t>
            </w:r>
            <w:r w:rsidRPr="00F81FFA">
              <w:rPr>
                <w:rFonts w:eastAsia="Times New Roman" w:cs="Times New Roman"/>
                <w:color w:val="000000"/>
                <w:kern w:val="0"/>
                <w:vertAlign w:val="subscript"/>
                <w14:ligatures w14:val="none"/>
              </w:rPr>
              <w:t>Sml</w:t>
            </w:r>
            <w:proofErr w:type="spellEnd"/>
          </w:p>
        </w:tc>
        <w:tc>
          <w:tcPr>
            <w:tcW w:w="1627" w:type="dxa"/>
            <w:gridSpan w:val="2"/>
            <w:tcBorders>
              <w:top w:val="single" w:sz="12" w:space="0" w:color="auto"/>
              <w:left w:val="single" w:sz="12" w:space="0" w:color="auto"/>
              <w:bottom w:val="single" w:sz="4" w:space="0" w:color="auto"/>
              <w:right w:val="single" w:sz="8" w:space="0" w:color="000000"/>
            </w:tcBorders>
            <w:shd w:val="clear" w:color="000000" w:fill="F8CBAD"/>
            <w:noWrap/>
            <w:vAlign w:val="center"/>
            <w:hideMark/>
          </w:tcPr>
          <w:p w14:paraId="0D4ED55F" w14:textId="77777777" w:rsidR="00256E95" w:rsidRPr="00F81FFA" w:rsidRDefault="00256E95" w:rsidP="004A26A9">
            <w:pPr>
              <w:spacing w:after="0" w:line="240" w:lineRule="auto"/>
              <w:jc w:val="center"/>
              <w:rPr>
                <w:rFonts w:eastAsia="Times New Roman" w:cs="Times New Roman"/>
                <w:color w:val="000000"/>
                <w:kern w:val="0"/>
                <w14:ligatures w14:val="none"/>
              </w:rPr>
            </w:pPr>
            <w:proofErr w:type="spellStart"/>
            <w:r w:rsidRPr="00F81FFA">
              <w:rPr>
                <w:rFonts w:eastAsia="Times New Roman" w:cs="Times New Roman"/>
                <w:color w:val="000000"/>
                <w:kern w:val="0"/>
                <w14:ligatures w14:val="none"/>
              </w:rPr>
              <w:t>RightTS</w:t>
            </w:r>
            <w:r w:rsidRPr="00F81FFA">
              <w:rPr>
                <w:rFonts w:eastAsia="Times New Roman" w:cs="Times New Roman"/>
                <w:color w:val="000000"/>
                <w:kern w:val="0"/>
                <w:vertAlign w:val="subscript"/>
                <w14:ligatures w14:val="none"/>
              </w:rPr>
              <w:t>Med</w:t>
            </w:r>
            <w:proofErr w:type="spellEnd"/>
          </w:p>
        </w:tc>
        <w:tc>
          <w:tcPr>
            <w:tcW w:w="1628" w:type="dxa"/>
            <w:gridSpan w:val="2"/>
            <w:tcBorders>
              <w:top w:val="single" w:sz="12" w:space="0" w:color="auto"/>
              <w:left w:val="nil"/>
              <w:bottom w:val="single" w:sz="4" w:space="0" w:color="auto"/>
              <w:right w:val="single" w:sz="12" w:space="0" w:color="000000"/>
            </w:tcBorders>
            <w:shd w:val="clear" w:color="000000" w:fill="F8CBAD"/>
            <w:noWrap/>
            <w:vAlign w:val="center"/>
            <w:hideMark/>
          </w:tcPr>
          <w:p w14:paraId="245C56C2" w14:textId="77777777" w:rsidR="00256E95" w:rsidRPr="00F81FFA" w:rsidRDefault="00256E95" w:rsidP="004A26A9">
            <w:pPr>
              <w:spacing w:after="0" w:line="240" w:lineRule="auto"/>
              <w:jc w:val="center"/>
              <w:rPr>
                <w:rFonts w:eastAsia="Times New Roman" w:cs="Times New Roman"/>
                <w:color w:val="000000"/>
                <w:kern w:val="0"/>
                <w14:ligatures w14:val="none"/>
              </w:rPr>
            </w:pPr>
            <w:proofErr w:type="spellStart"/>
            <w:r w:rsidRPr="00F81FFA">
              <w:rPr>
                <w:rFonts w:eastAsia="Times New Roman" w:cs="Times New Roman"/>
                <w:color w:val="000000"/>
                <w:kern w:val="0"/>
                <w14:ligatures w14:val="none"/>
              </w:rPr>
              <w:t>RightTS</w:t>
            </w:r>
            <w:r w:rsidRPr="00F81FFA">
              <w:rPr>
                <w:rFonts w:eastAsia="Times New Roman" w:cs="Times New Roman"/>
                <w:color w:val="000000"/>
                <w:kern w:val="0"/>
                <w:vertAlign w:val="subscript"/>
                <w14:ligatures w14:val="none"/>
              </w:rPr>
              <w:t>Lrg</w:t>
            </w:r>
            <w:proofErr w:type="spellEnd"/>
          </w:p>
        </w:tc>
      </w:tr>
      <w:tr w:rsidR="00256E95" w:rsidRPr="00F81FFA" w14:paraId="3CCF10C8" w14:textId="77777777" w:rsidTr="009F5189">
        <w:trPr>
          <w:trHeight w:val="393"/>
        </w:trPr>
        <w:tc>
          <w:tcPr>
            <w:tcW w:w="1342" w:type="dxa"/>
            <w:tcBorders>
              <w:top w:val="nil"/>
              <w:left w:val="single" w:sz="12" w:space="0" w:color="auto"/>
              <w:bottom w:val="single" w:sz="4" w:space="0" w:color="auto"/>
              <w:right w:val="single" w:sz="8" w:space="0" w:color="auto"/>
            </w:tcBorders>
            <w:noWrap/>
            <w:vAlign w:val="center"/>
            <w:hideMark/>
          </w:tcPr>
          <w:p w14:paraId="130BC61A" w14:textId="77777777" w:rsidR="00256E95" w:rsidRPr="00F81FFA" w:rsidRDefault="00256E95" w:rsidP="004A26A9">
            <w:pPr>
              <w:spacing w:after="0" w:line="240" w:lineRule="auto"/>
              <w:jc w:val="center"/>
              <w:rPr>
                <w:rFonts w:ascii="Calibri" w:eastAsia="Times New Roman" w:hAnsi="Calibri" w:cs="Calibri"/>
                <w:b/>
                <w:bCs/>
                <w:color w:val="000000"/>
                <w:kern w:val="0"/>
                <w:sz w:val="20"/>
                <w:szCs w:val="20"/>
                <w14:ligatures w14:val="none"/>
              </w:rPr>
            </w:pPr>
            <w:r w:rsidRPr="00F81FFA">
              <w:rPr>
                <w:rFonts w:ascii="Calibri" w:eastAsia="Times New Roman" w:hAnsi="Calibri" w:cs="Calibri"/>
                <w:b/>
                <w:bCs/>
                <w:color w:val="000000"/>
                <w:kern w:val="0"/>
                <w:sz w:val="20"/>
                <w:szCs w:val="20"/>
                <w14:ligatures w14:val="none"/>
              </w:rPr>
              <w:t>Limb</w:t>
            </w:r>
          </w:p>
        </w:tc>
        <w:tc>
          <w:tcPr>
            <w:tcW w:w="813" w:type="dxa"/>
            <w:tcBorders>
              <w:top w:val="nil"/>
              <w:left w:val="single" w:sz="12" w:space="0" w:color="auto"/>
              <w:bottom w:val="single" w:sz="4" w:space="0" w:color="auto"/>
              <w:right w:val="single" w:sz="4" w:space="0" w:color="auto"/>
            </w:tcBorders>
            <w:shd w:val="clear" w:color="000000" w:fill="D0CECE"/>
            <w:noWrap/>
            <w:vAlign w:val="center"/>
            <w:hideMark/>
          </w:tcPr>
          <w:p w14:paraId="45BB9828"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Left</w:t>
            </w:r>
          </w:p>
        </w:tc>
        <w:tc>
          <w:tcPr>
            <w:tcW w:w="814" w:type="dxa"/>
            <w:tcBorders>
              <w:top w:val="nil"/>
              <w:left w:val="nil"/>
              <w:bottom w:val="single" w:sz="4" w:space="0" w:color="auto"/>
              <w:right w:val="single" w:sz="8" w:space="0" w:color="auto"/>
            </w:tcBorders>
            <w:shd w:val="clear" w:color="000000" w:fill="D0CECE"/>
            <w:noWrap/>
            <w:vAlign w:val="center"/>
            <w:hideMark/>
          </w:tcPr>
          <w:p w14:paraId="48C8FFA9"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Right</w:t>
            </w:r>
          </w:p>
        </w:tc>
        <w:tc>
          <w:tcPr>
            <w:tcW w:w="813" w:type="dxa"/>
            <w:tcBorders>
              <w:top w:val="nil"/>
              <w:left w:val="single" w:sz="12" w:space="0" w:color="auto"/>
              <w:bottom w:val="single" w:sz="4" w:space="0" w:color="auto"/>
              <w:right w:val="single" w:sz="4" w:space="0" w:color="auto"/>
            </w:tcBorders>
            <w:shd w:val="clear" w:color="000000" w:fill="BDD7EE"/>
            <w:noWrap/>
            <w:vAlign w:val="center"/>
            <w:hideMark/>
          </w:tcPr>
          <w:p w14:paraId="6204DB05"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Left</w:t>
            </w:r>
          </w:p>
        </w:tc>
        <w:tc>
          <w:tcPr>
            <w:tcW w:w="814" w:type="dxa"/>
            <w:tcBorders>
              <w:top w:val="nil"/>
              <w:left w:val="nil"/>
              <w:bottom w:val="single" w:sz="4" w:space="0" w:color="auto"/>
              <w:right w:val="single" w:sz="8" w:space="0" w:color="auto"/>
            </w:tcBorders>
            <w:shd w:val="clear" w:color="000000" w:fill="BDD7EE"/>
            <w:noWrap/>
            <w:vAlign w:val="center"/>
            <w:hideMark/>
          </w:tcPr>
          <w:p w14:paraId="6F534CD8"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Right</w:t>
            </w:r>
          </w:p>
        </w:tc>
        <w:tc>
          <w:tcPr>
            <w:tcW w:w="813" w:type="dxa"/>
            <w:tcBorders>
              <w:top w:val="nil"/>
              <w:left w:val="single" w:sz="12" w:space="0" w:color="auto"/>
              <w:bottom w:val="single" w:sz="4" w:space="0" w:color="auto"/>
              <w:right w:val="single" w:sz="4" w:space="0" w:color="auto"/>
            </w:tcBorders>
            <w:shd w:val="clear" w:color="000000" w:fill="BDD7EE"/>
            <w:noWrap/>
            <w:vAlign w:val="center"/>
            <w:hideMark/>
          </w:tcPr>
          <w:p w14:paraId="69B7E83D"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Left</w:t>
            </w:r>
          </w:p>
        </w:tc>
        <w:tc>
          <w:tcPr>
            <w:tcW w:w="814" w:type="dxa"/>
            <w:tcBorders>
              <w:top w:val="nil"/>
              <w:left w:val="nil"/>
              <w:bottom w:val="single" w:sz="4" w:space="0" w:color="auto"/>
              <w:right w:val="single" w:sz="8" w:space="0" w:color="auto"/>
            </w:tcBorders>
            <w:shd w:val="clear" w:color="000000" w:fill="BDD7EE"/>
            <w:noWrap/>
            <w:vAlign w:val="center"/>
            <w:hideMark/>
          </w:tcPr>
          <w:p w14:paraId="4F554A0B"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Right</w:t>
            </w:r>
          </w:p>
        </w:tc>
        <w:tc>
          <w:tcPr>
            <w:tcW w:w="813" w:type="dxa"/>
            <w:tcBorders>
              <w:top w:val="nil"/>
              <w:left w:val="single" w:sz="12" w:space="0" w:color="auto"/>
              <w:bottom w:val="single" w:sz="4" w:space="0" w:color="auto"/>
              <w:right w:val="single" w:sz="4" w:space="0" w:color="auto"/>
            </w:tcBorders>
            <w:shd w:val="clear" w:color="000000" w:fill="BDD7EE"/>
            <w:noWrap/>
            <w:vAlign w:val="center"/>
            <w:hideMark/>
          </w:tcPr>
          <w:p w14:paraId="160678B1"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Left</w:t>
            </w:r>
          </w:p>
        </w:tc>
        <w:tc>
          <w:tcPr>
            <w:tcW w:w="814" w:type="dxa"/>
            <w:tcBorders>
              <w:top w:val="nil"/>
              <w:left w:val="nil"/>
              <w:bottom w:val="single" w:sz="4" w:space="0" w:color="auto"/>
              <w:right w:val="single" w:sz="8" w:space="0" w:color="auto"/>
            </w:tcBorders>
            <w:shd w:val="clear" w:color="000000" w:fill="BDD7EE"/>
            <w:noWrap/>
            <w:vAlign w:val="center"/>
            <w:hideMark/>
          </w:tcPr>
          <w:p w14:paraId="1150D8F9"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Right</w:t>
            </w:r>
          </w:p>
        </w:tc>
        <w:tc>
          <w:tcPr>
            <w:tcW w:w="813" w:type="dxa"/>
            <w:tcBorders>
              <w:top w:val="nil"/>
              <w:left w:val="single" w:sz="12" w:space="0" w:color="auto"/>
              <w:bottom w:val="single" w:sz="4" w:space="0" w:color="auto"/>
              <w:right w:val="single" w:sz="4" w:space="0" w:color="auto"/>
            </w:tcBorders>
            <w:shd w:val="clear" w:color="000000" w:fill="BDD7EE"/>
            <w:noWrap/>
            <w:vAlign w:val="center"/>
            <w:hideMark/>
          </w:tcPr>
          <w:p w14:paraId="65A0848C"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Left</w:t>
            </w:r>
          </w:p>
        </w:tc>
        <w:tc>
          <w:tcPr>
            <w:tcW w:w="814" w:type="dxa"/>
            <w:tcBorders>
              <w:top w:val="nil"/>
              <w:left w:val="nil"/>
              <w:bottom w:val="single" w:sz="4" w:space="0" w:color="auto"/>
              <w:right w:val="single" w:sz="8" w:space="0" w:color="auto"/>
            </w:tcBorders>
            <w:shd w:val="clear" w:color="000000" w:fill="F8CBAD"/>
            <w:noWrap/>
            <w:vAlign w:val="center"/>
            <w:hideMark/>
          </w:tcPr>
          <w:p w14:paraId="5A09E29F"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Right</w:t>
            </w:r>
          </w:p>
        </w:tc>
        <w:tc>
          <w:tcPr>
            <w:tcW w:w="813" w:type="dxa"/>
            <w:tcBorders>
              <w:top w:val="nil"/>
              <w:left w:val="single" w:sz="12" w:space="0" w:color="auto"/>
              <w:bottom w:val="single" w:sz="4" w:space="0" w:color="auto"/>
              <w:right w:val="single" w:sz="4" w:space="0" w:color="auto"/>
            </w:tcBorders>
            <w:shd w:val="clear" w:color="000000" w:fill="F8CBAD"/>
            <w:noWrap/>
            <w:vAlign w:val="center"/>
            <w:hideMark/>
          </w:tcPr>
          <w:p w14:paraId="4847DFF4"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Left</w:t>
            </w:r>
          </w:p>
        </w:tc>
        <w:tc>
          <w:tcPr>
            <w:tcW w:w="818" w:type="dxa"/>
            <w:tcBorders>
              <w:top w:val="nil"/>
              <w:left w:val="nil"/>
              <w:bottom w:val="single" w:sz="4" w:space="0" w:color="auto"/>
              <w:right w:val="single" w:sz="8" w:space="0" w:color="auto"/>
            </w:tcBorders>
            <w:shd w:val="clear" w:color="000000" w:fill="F8CBAD"/>
            <w:noWrap/>
            <w:vAlign w:val="center"/>
            <w:hideMark/>
          </w:tcPr>
          <w:p w14:paraId="08676697"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Right</w:t>
            </w:r>
          </w:p>
        </w:tc>
        <w:tc>
          <w:tcPr>
            <w:tcW w:w="814" w:type="dxa"/>
            <w:tcBorders>
              <w:top w:val="nil"/>
              <w:left w:val="single" w:sz="12" w:space="0" w:color="auto"/>
              <w:bottom w:val="single" w:sz="4" w:space="0" w:color="auto"/>
              <w:right w:val="single" w:sz="4" w:space="0" w:color="auto"/>
            </w:tcBorders>
            <w:shd w:val="clear" w:color="000000" w:fill="F8CBAD"/>
            <w:noWrap/>
            <w:vAlign w:val="center"/>
            <w:hideMark/>
          </w:tcPr>
          <w:p w14:paraId="01D76542"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Left</w:t>
            </w:r>
          </w:p>
        </w:tc>
        <w:tc>
          <w:tcPr>
            <w:tcW w:w="813" w:type="dxa"/>
            <w:tcBorders>
              <w:top w:val="nil"/>
              <w:left w:val="nil"/>
              <w:bottom w:val="single" w:sz="4" w:space="0" w:color="auto"/>
              <w:right w:val="single" w:sz="8" w:space="0" w:color="auto"/>
            </w:tcBorders>
            <w:shd w:val="clear" w:color="000000" w:fill="F8CBAD"/>
            <w:noWrap/>
            <w:vAlign w:val="center"/>
            <w:hideMark/>
          </w:tcPr>
          <w:p w14:paraId="3F544382"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Right</w:t>
            </w:r>
          </w:p>
        </w:tc>
        <w:tc>
          <w:tcPr>
            <w:tcW w:w="813" w:type="dxa"/>
            <w:tcBorders>
              <w:top w:val="nil"/>
              <w:left w:val="nil"/>
              <w:bottom w:val="single" w:sz="4" w:space="0" w:color="auto"/>
              <w:right w:val="single" w:sz="4" w:space="0" w:color="auto"/>
            </w:tcBorders>
            <w:shd w:val="clear" w:color="000000" w:fill="F8CBAD"/>
            <w:noWrap/>
            <w:vAlign w:val="center"/>
            <w:hideMark/>
          </w:tcPr>
          <w:p w14:paraId="1EAEA45A"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Left</w:t>
            </w:r>
          </w:p>
        </w:tc>
        <w:tc>
          <w:tcPr>
            <w:tcW w:w="815" w:type="dxa"/>
            <w:tcBorders>
              <w:top w:val="nil"/>
              <w:left w:val="nil"/>
              <w:bottom w:val="single" w:sz="4" w:space="0" w:color="auto"/>
              <w:right w:val="single" w:sz="12" w:space="0" w:color="auto"/>
            </w:tcBorders>
            <w:shd w:val="clear" w:color="000000" w:fill="F8CBAD"/>
            <w:noWrap/>
            <w:vAlign w:val="center"/>
            <w:hideMark/>
          </w:tcPr>
          <w:p w14:paraId="2CE3DE2C"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Right</w:t>
            </w:r>
          </w:p>
        </w:tc>
      </w:tr>
      <w:tr w:rsidR="00256E95" w:rsidRPr="00F81FFA" w14:paraId="0FC205F1" w14:textId="77777777" w:rsidTr="009F5189">
        <w:trPr>
          <w:trHeight w:val="787"/>
        </w:trPr>
        <w:tc>
          <w:tcPr>
            <w:tcW w:w="1342" w:type="dxa"/>
            <w:tcBorders>
              <w:top w:val="nil"/>
              <w:left w:val="single" w:sz="12" w:space="0" w:color="auto"/>
              <w:bottom w:val="single" w:sz="4" w:space="0" w:color="auto"/>
              <w:right w:val="single" w:sz="8" w:space="0" w:color="auto"/>
            </w:tcBorders>
            <w:vAlign w:val="center"/>
            <w:hideMark/>
          </w:tcPr>
          <w:p w14:paraId="6EC3977A" w14:textId="3AF53C34"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Stance Time (s)</w:t>
            </w:r>
          </w:p>
        </w:tc>
        <w:tc>
          <w:tcPr>
            <w:tcW w:w="813" w:type="dxa"/>
            <w:tcBorders>
              <w:top w:val="nil"/>
              <w:left w:val="single" w:sz="12" w:space="0" w:color="auto"/>
              <w:bottom w:val="single" w:sz="4" w:space="0" w:color="auto"/>
              <w:right w:val="single" w:sz="4" w:space="0" w:color="auto"/>
            </w:tcBorders>
            <w:shd w:val="clear" w:color="000000" w:fill="D0CECE"/>
            <w:noWrap/>
            <w:hideMark/>
          </w:tcPr>
          <w:p w14:paraId="609726D1"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0.87 (0.02)</w:t>
            </w:r>
          </w:p>
        </w:tc>
        <w:tc>
          <w:tcPr>
            <w:tcW w:w="814" w:type="dxa"/>
            <w:tcBorders>
              <w:top w:val="nil"/>
              <w:left w:val="nil"/>
              <w:bottom w:val="single" w:sz="4" w:space="0" w:color="auto"/>
              <w:right w:val="single" w:sz="8" w:space="0" w:color="auto"/>
            </w:tcBorders>
            <w:shd w:val="clear" w:color="000000" w:fill="D0CECE"/>
            <w:noWrap/>
            <w:hideMark/>
          </w:tcPr>
          <w:p w14:paraId="21B917BD"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0.87 (0.02)</w:t>
            </w:r>
          </w:p>
        </w:tc>
        <w:tc>
          <w:tcPr>
            <w:tcW w:w="813" w:type="dxa"/>
            <w:tcBorders>
              <w:top w:val="nil"/>
              <w:left w:val="single" w:sz="12" w:space="0" w:color="auto"/>
              <w:bottom w:val="single" w:sz="4" w:space="0" w:color="auto"/>
              <w:right w:val="single" w:sz="4" w:space="0" w:color="auto"/>
            </w:tcBorders>
            <w:shd w:val="clear" w:color="000000" w:fill="BDD7EE"/>
            <w:noWrap/>
            <w:hideMark/>
          </w:tcPr>
          <w:p w14:paraId="54D07225"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1.07 (0.02) †Ψ</w:t>
            </w:r>
          </w:p>
        </w:tc>
        <w:tc>
          <w:tcPr>
            <w:tcW w:w="814" w:type="dxa"/>
            <w:tcBorders>
              <w:top w:val="nil"/>
              <w:left w:val="nil"/>
              <w:bottom w:val="single" w:sz="4" w:space="0" w:color="auto"/>
              <w:right w:val="single" w:sz="8" w:space="0" w:color="auto"/>
            </w:tcBorders>
            <w:shd w:val="clear" w:color="000000" w:fill="BDD7EE"/>
            <w:noWrap/>
            <w:hideMark/>
          </w:tcPr>
          <w:p w14:paraId="5BB7D007"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0.98 (0.02) †Ψ</w:t>
            </w:r>
          </w:p>
        </w:tc>
        <w:tc>
          <w:tcPr>
            <w:tcW w:w="813" w:type="dxa"/>
            <w:tcBorders>
              <w:top w:val="nil"/>
              <w:left w:val="single" w:sz="12" w:space="0" w:color="auto"/>
              <w:bottom w:val="single" w:sz="4" w:space="0" w:color="auto"/>
              <w:right w:val="single" w:sz="4" w:space="0" w:color="auto"/>
            </w:tcBorders>
            <w:shd w:val="clear" w:color="000000" w:fill="BDD7EE"/>
            <w:noWrap/>
            <w:hideMark/>
          </w:tcPr>
          <w:p w14:paraId="35B48D89"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1.04 (0.03) †Ψ</w:t>
            </w:r>
          </w:p>
        </w:tc>
        <w:tc>
          <w:tcPr>
            <w:tcW w:w="814" w:type="dxa"/>
            <w:tcBorders>
              <w:top w:val="nil"/>
              <w:left w:val="nil"/>
              <w:bottom w:val="single" w:sz="4" w:space="0" w:color="auto"/>
              <w:right w:val="single" w:sz="8" w:space="0" w:color="auto"/>
            </w:tcBorders>
            <w:shd w:val="clear" w:color="000000" w:fill="BDD7EE"/>
            <w:noWrap/>
            <w:hideMark/>
          </w:tcPr>
          <w:p w14:paraId="6AA6974F"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0.97 (0.03) †Ψ</w:t>
            </w:r>
          </w:p>
        </w:tc>
        <w:tc>
          <w:tcPr>
            <w:tcW w:w="813" w:type="dxa"/>
            <w:tcBorders>
              <w:top w:val="nil"/>
              <w:left w:val="single" w:sz="12" w:space="0" w:color="auto"/>
              <w:bottom w:val="single" w:sz="4" w:space="0" w:color="auto"/>
              <w:right w:val="single" w:sz="4" w:space="0" w:color="auto"/>
            </w:tcBorders>
            <w:shd w:val="clear" w:color="000000" w:fill="BDD7EE"/>
            <w:noWrap/>
            <w:hideMark/>
          </w:tcPr>
          <w:p w14:paraId="1407AA09"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1.03 (0.03) †Ψ</w:t>
            </w:r>
          </w:p>
        </w:tc>
        <w:tc>
          <w:tcPr>
            <w:tcW w:w="814" w:type="dxa"/>
            <w:tcBorders>
              <w:top w:val="nil"/>
              <w:left w:val="nil"/>
              <w:bottom w:val="single" w:sz="4" w:space="0" w:color="auto"/>
              <w:right w:val="single" w:sz="8" w:space="0" w:color="auto"/>
            </w:tcBorders>
            <w:shd w:val="clear" w:color="000000" w:fill="BDD7EE"/>
            <w:noWrap/>
            <w:hideMark/>
          </w:tcPr>
          <w:p w14:paraId="0512EA2C"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0.96 (0.03) †Ψ</w:t>
            </w:r>
          </w:p>
        </w:tc>
        <w:tc>
          <w:tcPr>
            <w:tcW w:w="813" w:type="dxa"/>
            <w:tcBorders>
              <w:top w:val="nil"/>
              <w:left w:val="single" w:sz="12" w:space="0" w:color="auto"/>
              <w:bottom w:val="single" w:sz="4" w:space="0" w:color="auto"/>
              <w:right w:val="single" w:sz="4" w:space="0" w:color="auto"/>
            </w:tcBorders>
            <w:shd w:val="clear" w:color="000000" w:fill="BDD7EE"/>
            <w:noWrap/>
            <w:hideMark/>
          </w:tcPr>
          <w:p w14:paraId="41AE57BA"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0.94 (0.03)</w:t>
            </w:r>
          </w:p>
        </w:tc>
        <w:tc>
          <w:tcPr>
            <w:tcW w:w="814" w:type="dxa"/>
            <w:tcBorders>
              <w:top w:val="nil"/>
              <w:left w:val="nil"/>
              <w:bottom w:val="single" w:sz="4" w:space="0" w:color="auto"/>
              <w:right w:val="single" w:sz="8" w:space="0" w:color="auto"/>
            </w:tcBorders>
            <w:shd w:val="clear" w:color="000000" w:fill="F8CBAD"/>
            <w:noWrap/>
            <w:hideMark/>
          </w:tcPr>
          <w:p w14:paraId="586847D2"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0.94 (0.03)</w:t>
            </w:r>
          </w:p>
        </w:tc>
        <w:tc>
          <w:tcPr>
            <w:tcW w:w="813" w:type="dxa"/>
            <w:tcBorders>
              <w:top w:val="nil"/>
              <w:left w:val="single" w:sz="12" w:space="0" w:color="auto"/>
              <w:bottom w:val="single" w:sz="4" w:space="0" w:color="auto"/>
              <w:right w:val="single" w:sz="4" w:space="0" w:color="auto"/>
            </w:tcBorders>
            <w:shd w:val="clear" w:color="000000" w:fill="F8CBAD"/>
            <w:noWrap/>
            <w:hideMark/>
          </w:tcPr>
          <w:p w14:paraId="3398278B"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0.95 (0.03) †</w:t>
            </w:r>
          </w:p>
        </w:tc>
        <w:tc>
          <w:tcPr>
            <w:tcW w:w="818" w:type="dxa"/>
            <w:tcBorders>
              <w:top w:val="nil"/>
              <w:left w:val="nil"/>
              <w:bottom w:val="single" w:sz="4" w:space="0" w:color="auto"/>
              <w:right w:val="single" w:sz="8" w:space="0" w:color="auto"/>
            </w:tcBorders>
            <w:shd w:val="clear" w:color="000000" w:fill="F8CBAD"/>
            <w:noWrap/>
            <w:hideMark/>
          </w:tcPr>
          <w:p w14:paraId="6F31DAAE"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1.01 (0.03) †Ψ</w:t>
            </w:r>
          </w:p>
        </w:tc>
        <w:tc>
          <w:tcPr>
            <w:tcW w:w="814" w:type="dxa"/>
            <w:tcBorders>
              <w:top w:val="nil"/>
              <w:left w:val="single" w:sz="12" w:space="0" w:color="auto"/>
              <w:bottom w:val="single" w:sz="4" w:space="0" w:color="auto"/>
              <w:right w:val="single" w:sz="4" w:space="0" w:color="auto"/>
            </w:tcBorders>
            <w:shd w:val="clear" w:color="000000" w:fill="F8CBAD"/>
            <w:noWrap/>
            <w:hideMark/>
          </w:tcPr>
          <w:p w14:paraId="669F4796"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0.98 (0.03) †</w:t>
            </w:r>
          </w:p>
        </w:tc>
        <w:tc>
          <w:tcPr>
            <w:tcW w:w="813" w:type="dxa"/>
            <w:tcBorders>
              <w:top w:val="nil"/>
              <w:left w:val="nil"/>
              <w:bottom w:val="single" w:sz="4" w:space="0" w:color="auto"/>
              <w:right w:val="single" w:sz="8" w:space="0" w:color="auto"/>
            </w:tcBorders>
            <w:shd w:val="clear" w:color="000000" w:fill="F8CBAD"/>
            <w:noWrap/>
            <w:hideMark/>
          </w:tcPr>
          <w:p w14:paraId="078A216F"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1.06 (0.03) †Ψ</w:t>
            </w:r>
          </w:p>
        </w:tc>
        <w:tc>
          <w:tcPr>
            <w:tcW w:w="813" w:type="dxa"/>
            <w:tcBorders>
              <w:top w:val="nil"/>
              <w:left w:val="nil"/>
              <w:bottom w:val="single" w:sz="4" w:space="0" w:color="auto"/>
              <w:right w:val="single" w:sz="4" w:space="0" w:color="auto"/>
            </w:tcBorders>
            <w:shd w:val="clear" w:color="000000" w:fill="F8CBAD"/>
            <w:noWrap/>
            <w:hideMark/>
          </w:tcPr>
          <w:p w14:paraId="59314DEE"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1.00 (0.03) †</w:t>
            </w:r>
          </w:p>
        </w:tc>
        <w:tc>
          <w:tcPr>
            <w:tcW w:w="815" w:type="dxa"/>
            <w:tcBorders>
              <w:top w:val="nil"/>
              <w:left w:val="nil"/>
              <w:bottom w:val="single" w:sz="4" w:space="0" w:color="auto"/>
              <w:right w:val="single" w:sz="12" w:space="0" w:color="auto"/>
            </w:tcBorders>
            <w:shd w:val="clear" w:color="000000" w:fill="F8CBAD"/>
            <w:noWrap/>
            <w:hideMark/>
          </w:tcPr>
          <w:p w14:paraId="53877C8D"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1.10 (0.03) †Ψ</w:t>
            </w:r>
          </w:p>
        </w:tc>
      </w:tr>
      <w:tr w:rsidR="00256E95" w:rsidRPr="00F81FFA" w14:paraId="043512CD" w14:textId="77777777" w:rsidTr="009F5189">
        <w:trPr>
          <w:trHeight w:val="787"/>
        </w:trPr>
        <w:tc>
          <w:tcPr>
            <w:tcW w:w="1342" w:type="dxa"/>
            <w:tcBorders>
              <w:top w:val="nil"/>
              <w:left w:val="single" w:sz="12" w:space="0" w:color="auto"/>
              <w:bottom w:val="single" w:sz="4" w:space="0" w:color="auto"/>
              <w:right w:val="single" w:sz="8" w:space="0" w:color="auto"/>
            </w:tcBorders>
            <w:vAlign w:val="center"/>
            <w:hideMark/>
          </w:tcPr>
          <w:p w14:paraId="216AA46D"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TLA (deg)</w:t>
            </w:r>
          </w:p>
        </w:tc>
        <w:tc>
          <w:tcPr>
            <w:tcW w:w="813" w:type="dxa"/>
            <w:tcBorders>
              <w:top w:val="nil"/>
              <w:left w:val="single" w:sz="12" w:space="0" w:color="auto"/>
              <w:bottom w:val="single" w:sz="4" w:space="0" w:color="auto"/>
              <w:right w:val="single" w:sz="4" w:space="0" w:color="auto"/>
            </w:tcBorders>
            <w:shd w:val="clear" w:color="000000" w:fill="D0CECE"/>
            <w:noWrap/>
            <w:hideMark/>
          </w:tcPr>
          <w:p w14:paraId="1332B414"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18.07 (0.59) Ψ</w:t>
            </w:r>
          </w:p>
        </w:tc>
        <w:tc>
          <w:tcPr>
            <w:tcW w:w="814" w:type="dxa"/>
            <w:tcBorders>
              <w:top w:val="nil"/>
              <w:left w:val="nil"/>
              <w:bottom w:val="single" w:sz="4" w:space="0" w:color="auto"/>
              <w:right w:val="single" w:sz="8" w:space="0" w:color="auto"/>
            </w:tcBorders>
            <w:shd w:val="clear" w:color="000000" w:fill="D0CECE"/>
            <w:noWrap/>
            <w:hideMark/>
          </w:tcPr>
          <w:p w14:paraId="1B332BE0"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18.32 (0.59) Ψ</w:t>
            </w:r>
          </w:p>
        </w:tc>
        <w:tc>
          <w:tcPr>
            <w:tcW w:w="813" w:type="dxa"/>
            <w:tcBorders>
              <w:top w:val="nil"/>
              <w:left w:val="single" w:sz="12" w:space="0" w:color="auto"/>
              <w:bottom w:val="single" w:sz="4" w:space="0" w:color="auto"/>
              <w:right w:val="single" w:sz="4" w:space="0" w:color="auto"/>
            </w:tcBorders>
            <w:shd w:val="clear" w:color="000000" w:fill="BDD7EE"/>
            <w:noWrap/>
            <w:hideMark/>
          </w:tcPr>
          <w:p w14:paraId="1526E43A"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26.12 (0.83) †Ψ</w:t>
            </w:r>
          </w:p>
        </w:tc>
        <w:tc>
          <w:tcPr>
            <w:tcW w:w="814" w:type="dxa"/>
            <w:tcBorders>
              <w:top w:val="nil"/>
              <w:left w:val="nil"/>
              <w:bottom w:val="single" w:sz="4" w:space="0" w:color="auto"/>
              <w:right w:val="single" w:sz="8" w:space="0" w:color="auto"/>
            </w:tcBorders>
            <w:shd w:val="clear" w:color="000000" w:fill="BDD7EE"/>
            <w:noWrap/>
            <w:hideMark/>
          </w:tcPr>
          <w:p w14:paraId="100E5339"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21.95 (0.83) †</w:t>
            </w:r>
          </w:p>
        </w:tc>
        <w:tc>
          <w:tcPr>
            <w:tcW w:w="813" w:type="dxa"/>
            <w:tcBorders>
              <w:top w:val="nil"/>
              <w:left w:val="single" w:sz="12" w:space="0" w:color="auto"/>
              <w:bottom w:val="single" w:sz="4" w:space="0" w:color="auto"/>
              <w:right w:val="single" w:sz="4" w:space="0" w:color="auto"/>
            </w:tcBorders>
            <w:shd w:val="clear" w:color="000000" w:fill="BDD7EE"/>
            <w:noWrap/>
            <w:hideMark/>
          </w:tcPr>
          <w:p w14:paraId="109B767F"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24.97 (0.84) †Ψ</w:t>
            </w:r>
          </w:p>
        </w:tc>
        <w:tc>
          <w:tcPr>
            <w:tcW w:w="814" w:type="dxa"/>
            <w:tcBorders>
              <w:top w:val="nil"/>
              <w:left w:val="nil"/>
              <w:bottom w:val="single" w:sz="4" w:space="0" w:color="auto"/>
              <w:right w:val="single" w:sz="8" w:space="0" w:color="auto"/>
            </w:tcBorders>
            <w:shd w:val="clear" w:color="000000" w:fill="BDD7EE"/>
            <w:noWrap/>
            <w:hideMark/>
          </w:tcPr>
          <w:p w14:paraId="371D8FDF"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21.52 (0.84) †</w:t>
            </w:r>
          </w:p>
        </w:tc>
        <w:tc>
          <w:tcPr>
            <w:tcW w:w="813" w:type="dxa"/>
            <w:tcBorders>
              <w:top w:val="nil"/>
              <w:left w:val="single" w:sz="12" w:space="0" w:color="auto"/>
              <w:bottom w:val="single" w:sz="4" w:space="0" w:color="auto"/>
              <w:right w:val="single" w:sz="4" w:space="0" w:color="auto"/>
            </w:tcBorders>
            <w:shd w:val="clear" w:color="000000" w:fill="BDD7EE"/>
            <w:noWrap/>
            <w:hideMark/>
          </w:tcPr>
          <w:p w14:paraId="04253E86"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23.78 (0.61) †Ψ</w:t>
            </w:r>
          </w:p>
        </w:tc>
        <w:tc>
          <w:tcPr>
            <w:tcW w:w="814" w:type="dxa"/>
            <w:tcBorders>
              <w:top w:val="nil"/>
              <w:left w:val="nil"/>
              <w:bottom w:val="single" w:sz="4" w:space="0" w:color="auto"/>
              <w:right w:val="single" w:sz="8" w:space="0" w:color="auto"/>
            </w:tcBorders>
            <w:shd w:val="clear" w:color="000000" w:fill="BDD7EE"/>
            <w:noWrap/>
            <w:hideMark/>
          </w:tcPr>
          <w:p w14:paraId="23DC4C5C"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21.33 (0.61) †</w:t>
            </w:r>
          </w:p>
        </w:tc>
        <w:tc>
          <w:tcPr>
            <w:tcW w:w="813" w:type="dxa"/>
            <w:tcBorders>
              <w:top w:val="nil"/>
              <w:left w:val="single" w:sz="12" w:space="0" w:color="auto"/>
              <w:bottom w:val="single" w:sz="4" w:space="0" w:color="auto"/>
              <w:right w:val="single" w:sz="4" w:space="0" w:color="auto"/>
            </w:tcBorders>
            <w:shd w:val="clear" w:color="000000" w:fill="BDD7EE"/>
            <w:noWrap/>
            <w:hideMark/>
          </w:tcPr>
          <w:p w14:paraId="556A294E"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20.95 (0.58) †</w:t>
            </w:r>
          </w:p>
        </w:tc>
        <w:tc>
          <w:tcPr>
            <w:tcW w:w="814" w:type="dxa"/>
            <w:tcBorders>
              <w:top w:val="nil"/>
              <w:left w:val="nil"/>
              <w:bottom w:val="single" w:sz="4" w:space="0" w:color="auto"/>
              <w:right w:val="single" w:sz="8" w:space="0" w:color="auto"/>
            </w:tcBorders>
            <w:shd w:val="clear" w:color="000000" w:fill="F8CBAD"/>
            <w:noWrap/>
            <w:hideMark/>
          </w:tcPr>
          <w:p w14:paraId="64BF84E7"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20.77 (0.58) †</w:t>
            </w:r>
          </w:p>
        </w:tc>
        <w:tc>
          <w:tcPr>
            <w:tcW w:w="813" w:type="dxa"/>
            <w:tcBorders>
              <w:top w:val="nil"/>
              <w:left w:val="single" w:sz="12" w:space="0" w:color="auto"/>
              <w:bottom w:val="single" w:sz="4" w:space="0" w:color="auto"/>
              <w:right w:val="single" w:sz="4" w:space="0" w:color="auto"/>
            </w:tcBorders>
            <w:shd w:val="clear" w:color="000000" w:fill="F8CBAD"/>
            <w:noWrap/>
            <w:hideMark/>
          </w:tcPr>
          <w:p w14:paraId="225A7D84"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21.14 (0.61) †</w:t>
            </w:r>
          </w:p>
        </w:tc>
        <w:tc>
          <w:tcPr>
            <w:tcW w:w="818" w:type="dxa"/>
            <w:tcBorders>
              <w:top w:val="nil"/>
              <w:left w:val="nil"/>
              <w:bottom w:val="single" w:sz="4" w:space="0" w:color="auto"/>
              <w:right w:val="single" w:sz="8" w:space="0" w:color="auto"/>
            </w:tcBorders>
            <w:shd w:val="clear" w:color="000000" w:fill="F8CBAD"/>
            <w:noWrap/>
            <w:hideMark/>
          </w:tcPr>
          <w:p w14:paraId="048E0481"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23.77 (0.61) †Ψ</w:t>
            </w:r>
          </w:p>
        </w:tc>
        <w:tc>
          <w:tcPr>
            <w:tcW w:w="814" w:type="dxa"/>
            <w:tcBorders>
              <w:top w:val="nil"/>
              <w:left w:val="single" w:sz="12" w:space="0" w:color="auto"/>
              <w:bottom w:val="single" w:sz="4" w:space="0" w:color="auto"/>
              <w:right w:val="single" w:sz="4" w:space="0" w:color="auto"/>
            </w:tcBorders>
            <w:shd w:val="clear" w:color="000000" w:fill="F8CBAD"/>
            <w:noWrap/>
            <w:hideMark/>
          </w:tcPr>
          <w:p w14:paraId="574F6A48"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21.99 (0.84) †</w:t>
            </w:r>
          </w:p>
        </w:tc>
        <w:tc>
          <w:tcPr>
            <w:tcW w:w="813" w:type="dxa"/>
            <w:tcBorders>
              <w:top w:val="nil"/>
              <w:left w:val="nil"/>
              <w:bottom w:val="single" w:sz="4" w:space="0" w:color="auto"/>
              <w:right w:val="single" w:sz="8" w:space="0" w:color="auto"/>
            </w:tcBorders>
            <w:shd w:val="clear" w:color="000000" w:fill="F8CBAD"/>
            <w:noWrap/>
            <w:hideMark/>
          </w:tcPr>
          <w:p w14:paraId="1CAD2673"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25.25 (0.84) †Ψ</w:t>
            </w:r>
          </w:p>
        </w:tc>
        <w:tc>
          <w:tcPr>
            <w:tcW w:w="813" w:type="dxa"/>
            <w:tcBorders>
              <w:top w:val="nil"/>
              <w:left w:val="nil"/>
              <w:bottom w:val="single" w:sz="4" w:space="0" w:color="auto"/>
              <w:right w:val="single" w:sz="4" w:space="0" w:color="auto"/>
            </w:tcBorders>
            <w:shd w:val="clear" w:color="000000" w:fill="F8CBAD"/>
            <w:noWrap/>
            <w:hideMark/>
          </w:tcPr>
          <w:p w14:paraId="39A8B889"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22.92 (0.83) †</w:t>
            </w:r>
          </w:p>
        </w:tc>
        <w:tc>
          <w:tcPr>
            <w:tcW w:w="815" w:type="dxa"/>
            <w:tcBorders>
              <w:top w:val="nil"/>
              <w:left w:val="nil"/>
              <w:bottom w:val="single" w:sz="4" w:space="0" w:color="auto"/>
              <w:right w:val="single" w:sz="12" w:space="0" w:color="auto"/>
            </w:tcBorders>
            <w:shd w:val="clear" w:color="000000" w:fill="F8CBAD"/>
            <w:noWrap/>
            <w:hideMark/>
          </w:tcPr>
          <w:p w14:paraId="18BC206F"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26.42 (0.83) †Ψ</w:t>
            </w:r>
          </w:p>
        </w:tc>
      </w:tr>
      <w:tr w:rsidR="009F5189" w:rsidRPr="00F81FFA" w14:paraId="423A47C5" w14:textId="77777777" w:rsidTr="00AF7927">
        <w:trPr>
          <w:trHeight w:val="845"/>
        </w:trPr>
        <w:tc>
          <w:tcPr>
            <w:tcW w:w="1342" w:type="dxa"/>
            <w:tcBorders>
              <w:top w:val="nil"/>
              <w:left w:val="single" w:sz="12" w:space="0" w:color="auto"/>
              <w:bottom w:val="single" w:sz="4" w:space="0" w:color="auto"/>
              <w:right w:val="single" w:sz="8" w:space="0" w:color="auto"/>
            </w:tcBorders>
            <w:vAlign w:val="center"/>
          </w:tcPr>
          <w:p w14:paraId="227D8E80" w14:textId="3A45D377" w:rsidR="009F5189" w:rsidRPr="00F81FFA" w:rsidRDefault="009F5189"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Peak Propulsion (%BW)</w:t>
            </w:r>
          </w:p>
        </w:tc>
        <w:tc>
          <w:tcPr>
            <w:tcW w:w="813" w:type="dxa"/>
            <w:tcBorders>
              <w:top w:val="nil"/>
              <w:left w:val="single" w:sz="12" w:space="0" w:color="auto"/>
              <w:bottom w:val="single" w:sz="4" w:space="0" w:color="auto"/>
              <w:right w:val="single" w:sz="4" w:space="0" w:color="auto"/>
            </w:tcBorders>
            <w:shd w:val="clear" w:color="000000" w:fill="D0CECE"/>
            <w:noWrap/>
          </w:tcPr>
          <w:p w14:paraId="45D0998B" w14:textId="55182403"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16.79 (0.52)</w:t>
            </w:r>
          </w:p>
        </w:tc>
        <w:tc>
          <w:tcPr>
            <w:tcW w:w="814" w:type="dxa"/>
            <w:tcBorders>
              <w:top w:val="nil"/>
              <w:left w:val="nil"/>
              <w:bottom w:val="single" w:sz="4" w:space="0" w:color="auto"/>
              <w:right w:val="single" w:sz="8" w:space="0" w:color="auto"/>
            </w:tcBorders>
            <w:shd w:val="clear" w:color="000000" w:fill="D0CECE"/>
            <w:noWrap/>
          </w:tcPr>
          <w:p w14:paraId="6E9F498D" w14:textId="2EEB8A37"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15.56 (0.52)</w:t>
            </w:r>
          </w:p>
        </w:tc>
        <w:tc>
          <w:tcPr>
            <w:tcW w:w="813" w:type="dxa"/>
            <w:tcBorders>
              <w:top w:val="nil"/>
              <w:left w:val="single" w:sz="12" w:space="0" w:color="auto"/>
              <w:bottom w:val="single" w:sz="4" w:space="0" w:color="auto"/>
              <w:right w:val="single" w:sz="4" w:space="0" w:color="auto"/>
            </w:tcBorders>
            <w:shd w:val="clear" w:color="000000" w:fill="BDD7EE"/>
            <w:noWrap/>
          </w:tcPr>
          <w:p w14:paraId="6FD5A12D" w14:textId="5D7AEC12"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24.74 (1.07)</w:t>
            </w:r>
            <w:r w:rsidR="00AF7927">
              <w:rPr>
                <w:rFonts w:ascii="Calibri" w:eastAsia="Times New Roman" w:hAnsi="Calibri" w:cs="Calibri"/>
                <w:color w:val="000000"/>
                <w:kern w:val="0"/>
                <w:sz w:val="20"/>
                <w:szCs w:val="20"/>
                <w14:ligatures w14:val="none"/>
              </w:rPr>
              <w:t xml:space="preserve"> </w:t>
            </w:r>
            <w:r w:rsidR="00AF7927" w:rsidRPr="00F81FFA">
              <w:rPr>
                <w:rFonts w:ascii="Calibri" w:eastAsia="Times New Roman" w:hAnsi="Calibri" w:cs="Calibri"/>
                <w:color w:val="000000"/>
                <w:kern w:val="0"/>
                <w:sz w:val="20"/>
                <w:szCs w:val="20"/>
                <w14:ligatures w14:val="none"/>
              </w:rPr>
              <w:t>†Ψ</w:t>
            </w:r>
          </w:p>
        </w:tc>
        <w:tc>
          <w:tcPr>
            <w:tcW w:w="814" w:type="dxa"/>
            <w:tcBorders>
              <w:top w:val="nil"/>
              <w:left w:val="nil"/>
              <w:bottom w:val="single" w:sz="4" w:space="0" w:color="auto"/>
              <w:right w:val="single" w:sz="8" w:space="0" w:color="auto"/>
            </w:tcBorders>
            <w:shd w:val="clear" w:color="000000" w:fill="BDD7EE"/>
            <w:noWrap/>
          </w:tcPr>
          <w:p w14:paraId="71953E65" w14:textId="06D852FC"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18.55 (1.07)</w:t>
            </w:r>
            <w:r w:rsidR="00AF7927">
              <w:rPr>
                <w:rFonts w:ascii="Calibri" w:eastAsia="Times New Roman" w:hAnsi="Calibri" w:cs="Calibri"/>
                <w:color w:val="000000"/>
                <w:kern w:val="0"/>
                <w:sz w:val="20"/>
                <w:szCs w:val="20"/>
                <w14:ligatures w14:val="none"/>
              </w:rPr>
              <w:t xml:space="preserve">  </w:t>
            </w:r>
          </w:p>
        </w:tc>
        <w:tc>
          <w:tcPr>
            <w:tcW w:w="813" w:type="dxa"/>
            <w:tcBorders>
              <w:top w:val="nil"/>
              <w:left w:val="single" w:sz="12" w:space="0" w:color="auto"/>
              <w:bottom w:val="single" w:sz="4" w:space="0" w:color="auto"/>
              <w:right w:val="single" w:sz="4" w:space="0" w:color="auto"/>
            </w:tcBorders>
            <w:shd w:val="clear" w:color="000000" w:fill="BDD7EE"/>
            <w:noWrap/>
          </w:tcPr>
          <w:p w14:paraId="05879D0F" w14:textId="4FBF6467"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23.36 (1.16)</w:t>
            </w:r>
            <w:r w:rsidR="00AF7927">
              <w:rPr>
                <w:rFonts w:ascii="Calibri" w:eastAsia="Times New Roman" w:hAnsi="Calibri" w:cs="Calibri"/>
                <w:color w:val="000000"/>
                <w:kern w:val="0"/>
                <w:sz w:val="20"/>
                <w:szCs w:val="20"/>
                <w14:ligatures w14:val="none"/>
              </w:rPr>
              <w:t xml:space="preserve"> </w:t>
            </w:r>
            <w:r w:rsidR="00AF7927" w:rsidRPr="00F81FFA">
              <w:rPr>
                <w:rFonts w:ascii="Calibri" w:eastAsia="Times New Roman" w:hAnsi="Calibri" w:cs="Calibri"/>
                <w:color w:val="000000"/>
                <w:kern w:val="0"/>
                <w:sz w:val="20"/>
                <w:szCs w:val="20"/>
                <w14:ligatures w14:val="none"/>
              </w:rPr>
              <w:t>†Ψ</w:t>
            </w:r>
          </w:p>
        </w:tc>
        <w:tc>
          <w:tcPr>
            <w:tcW w:w="814" w:type="dxa"/>
            <w:tcBorders>
              <w:top w:val="nil"/>
              <w:left w:val="nil"/>
              <w:bottom w:val="single" w:sz="4" w:space="0" w:color="auto"/>
              <w:right w:val="single" w:sz="8" w:space="0" w:color="auto"/>
            </w:tcBorders>
            <w:shd w:val="clear" w:color="000000" w:fill="BDD7EE"/>
            <w:noWrap/>
          </w:tcPr>
          <w:p w14:paraId="3EA0FF5F" w14:textId="5BF0FB72"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18.14 (1.16)</w:t>
            </w:r>
          </w:p>
        </w:tc>
        <w:tc>
          <w:tcPr>
            <w:tcW w:w="813" w:type="dxa"/>
            <w:tcBorders>
              <w:top w:val="nil"/>
              <w:left w:val="single" w:sz="12" w:space="0" w:color="auto"/>
              <w:bottom w:val="single" w:sz="4" w:space="0" w:color="auto"/>
              <w:right w:val="single" w:sz="4" w:space="0" w:color="auto"/>
            </w:tcBorders>
            <w:shd w:val="clear" w:color="000000" w:fill="BDD7EE"/>
            <w:noWrap/>
          </w:tcPr>
          <w:p w14:paraId="4171BED2" w14:textId="7C7B928A"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22.69 (1.09)</w:t>
            </w:r>
            <w:r w:rsidR="00AF7927">
              <w:rPr>
                <w:rFonts w:ascii="Calibri" w:eastAsia="Times New Roman" w:hAnsi="Calibri" w:cs="Calibri"/>
                <w:color w:val="000000"/>
                <w:kern w:val="0"/>
                <w:sz w:val="20"/>
                <w:szCs w:val="20"/>
                <w14:ligatures w14:val="none"/>
              </w:rPr>
              <w:t xml:space="preserve"> </w:t>
            </w:r>
            <w:r w:rsidR="00AF7927" w:rsidRPr="00F81FFA">
              <w:rPr>
                <w:rFonts w:ascii="Calibri" w:eastAsia="Times New Roman" w:hAnsi="Calibri" w:cs="Calibri"/>
                <w:color w:val="000000"/>
                <w:kern w:val="0"/>
                <w:sz w:val="20"/>
                <w:szCs w:val="20"/>
                <w14:ligatures w14:val="none"/>
              </w:rPr>
              <w:t>†Ψ</w:t>
            </w:r>
          </w:p>
        </w:tc>
        <w:tc>
          <w:tcPr>
            <w:tcW w:w="814" w:type="dxa"/>
            <w:tcBorders>
              <w:top w:val="nil"/>
              <w:left w:val="nil"/>
              <w:bottom w:val="single" w:sz="4" w:space="0" w:color="auto"/>
              <w:right w:val="single" w:sz="8" w:space="0" w:color="auto"/>
            </w:tcBorders>
            <w:shd w:val="clear" w:color="000000" w:fill="BDD7EE"/>
            <w:noWrap/>
          </w:tcPr>
          <w:p w14:paraId="43B259ED" w14:textId="4529EFF8"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17.87 (1.09)</w:t>
            </w:r>
          </w:p>
        </w:tc>
        <w:tc>
          <w:tcPr>
            <w:tcW w:w="813" w:type="dxa"/>
            <w:tcBorders>
              <w:top w:val="nil"/>
              <w:left w:val="single" w:sz="12" w:space="0" w:color="auto"/>
              <w:bottom w:val="single" w:sz="4" w:space="0" w:color="auto"/>
              <w:right w:val="single" w:sz="4" w:space="0" w:color="auto"/>
            </w:tcBorders>
            <w:shd w:val="clear" w:color="000000" w:fill="BDD7EE"/>
            <w:noWrap/>
          </w:tcPr>
          <w:p w14:paraId="2C30B88F" w14:textId="0ED0AB44"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19.12 (0.69)</w:t>
            </w:r>
          </w:p>
        </w:tc>
        <w:tc>
          <w:tcPr>
            <w:tcW w:w="814" w:type="dxa"/>
            <w:tcBorders>
              <w:top w:val="nil"/>
              <w:left w:val="nil"/>
              <w:bottom w:val="single" w:sz="4" w:space="0" w:color="auto"/>
              <w:right w:val="single" w:sz="8" w:space="0" w:color="auto"/>
            </w:tcBorders>
            <w:shd w:val="clear" w:color="000000" w:fill="F8CBAD"/>
            <w:noWrap/>
          </w:tcPr>
          <w:p w14:paraId="64250928" w14:textId="43497F6F"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17.09 (0.69)</w:t>
            </w:r>
          </w:p>
        </w:tc>
        <w:tc>
          <w:tcPr>
            <w:tcW w:w="813" w:type="dxa"/>
            <w:tcBorders>
              <w:top w:val="nil"/>
              <w:left w:val="single" w:sz="12" w:space="0" w:color="auto"/>
              <w:bottom w:val="single" w:sz="4" w:space="0" w:color="auto"/>
              <w:right w:val="single" w:sz="4" w:space="0" w:color="auto"/>
            </w:tcBorders>
            <w:shd w:val="clear" w:color="000000" w:fill="F8CBAD"/>
            <w:noWrap/>
          </w:tcPr>
          <w:p w14:paraId="7BDD411C" w14:textId="45D1DF6C"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19.10 (0.83)</w:t>
            </w:r>
          </w:p>
        </w:tc>
        <w:tc>
          <w:tcPr>
            <w:tcW w:w="818" w:type="dxa"/>
            <w:tcBorders>
              <w:top w:val="nil"/>
              <w:left w:val="nil"/>
              <w:bottom w:val="single" w:sz="4" w:space="0" w:color="auto"/>
              <w:right w:val="single" w:sz="8" w:space="0" w:color="auto"/>
            </w:tcBorders>
            <w:shd w:val="clear" w:color="000000" w:fill="F8CBAD"/>
            <w:noWrap/>
          </w:tcPr>
          <w:p w14:paraId="7217B97E" w14:textId="2BB1B125"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20.50 (0.83)</w:t>
            </w:r>
            <w:r w:rsidR="00AF7927">
              <w:rPr>
                <w:rFonts w:ascii="Calibri" w:eastAsia="Times New Roman" w:hAnsi="Calibri" w:cs="Calibri"/>
                <w:color w:val="000000"/>
                <w:kern w:val="0"/>
                <w:sz w:val="20"/>
                <w:szCs w:val="20"/>
                <w14:ligatures w14:val="none"/>
              </w:rPr>
              <w:t xml:space="preserve"> </w:t>
            </w:r>
            <w:r w:rsidR="00AF7927" w:rsidRPr="00F81FFA">
              <w:rPr>
                <w:rFonts w:ascii="Calibri" w:eastAsia="Times New Roman" w:hAnsi="Calibri" w:cs="Calibri"/>
                <w:color w:val="000000"/>
                <w:kern w:val="0"/>
                <w:sz w:val="20"/>
                <w:szCs w:val="20"/>
                <w14:ligatures w14:val="none"/>
              </w:rPr>
              <w:t>†Ψ</w:t>
            </w:r>
          </w:p>
        </w:tc>
        <w:tc>
          <w:tcPr>
            <w:tcW w:w="814" w:type="dxa"/>
            <w:tcBorders>
              <w:top w:val="nil"/>
              <w:left w:val="single" w:sz="12" w:space="0" w:color="auto"/>
              <w:bottom w:val="single" w:sz="4" w:space="0" w:color="auto"/>
              <w:right w:val="single" w:sz="4" w:space="0" w:color="auto"/>
            </w:tcBorders>
            <w:shd w:val="clear" w:color="000000" w:fill="F8CBAD"/>
            <w:noWrap/>
          </w:tcPr>
          <w:p w14:paraId="13340D63" w14:textId="5317F599" w:rsidR="009F5189" w:rsidRPr="00F81FFA" w:rsidRDefault="006C3FA2"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19.75 (0.90)</w:t>
            </w:r>
            <w:r w:rsidR="00AF7927">
              <w:rPr>
                <w:rFonts w:ascii="Calibri" w:eastAsia="Times New Roman" w:hAnsi="Calibri" w:cs="Calibri"/>
                <w:color w:val="000000"/>
                <w:kern w:val="0"/>
                <w:sz w:val="20"/>
                <w:szCs w:val="20"/>
                <w14:ligatures w14:val="none"/>
              </w:rPr>
              <w:t xml:space="preserve"> </w:t>
            </w:r>
          </w:p>
        </w:tc>
        <w:tc>
          <w:tcPr>
            <w:tcW w:w="813" w:type="dxa"/>
            <w:tcBorders>
              <w:top w:val="nil"/>
              <w:left w:val="nil"/>
              <w:bottom w:val="single" w:sz="4" w:space="0" w:color="auto"/>
              <w:right w:val="single" w:sz="8" w:space="0" w:color="auto"/>
            </w:tcBorders>
            <w:shd w:val="clear" w:color="000000" w:fill="F8CBAD"/>
            <w:noWrap/>
          </w:tcPr>
          <w:p w14:paraId="4EF2571F" w14:textId="5AE59967" w:rsidR="009F5189" w:rsidRPr="00F81FFA" w:rsidRDefault="00AF7927"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 xml:space="preserve">22.65 (0.90) </w:t>
            </w:r>
            <w:r w:rsidRPr="00F81FFA">
              <w:rPr>
                <w:rFonts w:ascii="Calibri" w:eastAsia="Times New Roman" w:hAnsi="Calibri" w:cs="Calibri"/>
                <w:color w:val="000000"/>
                <w:kern w:val="0"/>
                <w:sz w:val="20"/>
                <w:szCs w:val="20"/>
                <w14:ligatures w14:val="none"/>
              </w:rPr>
              <w:t>†Ψ</w:t>
            </w:r>
          </w:p>
        </w:tc>
        <w:tc>
          <w:tcPr>
            <w:tcW w:w="813" w:type="dxa"/>
            <w:tcBorders>
              <w:top w:val="nil"/>
              <w:left w:val="nil"/>
              <w:bottom w:val="single" w:sz="4" w:space="0" w:color="auto"/>
              <w:right w:val="single" w:sz="4" w:space="0" w:color="auto"/>
            </w:tcBorders>
            <w:shd w:val="clear" w:color="000000" w:fill="F8CBAD"/>
            <w:noWrap/>
          </w:tcPr>
          <w:p w14:paraId="42051707" w14:textId="02B2223E" w:rsidR="009F5189" w:rsidRPr="00F81FFA" w:rsidRDefault="00AF7927"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 xml:space="preserve">21.00 (1.11) </w:t>
            </w:r>
            <w:r w:rsidRPr="00F81FFA">
              <w:rPr>
                <w:rFonts w:ascii="Calibri" w:eastAsia="Times New Roman" w:hAnsi="Calibri" w:cs="Calibri"/>
                <w:color w:val="000000"/>
                <w:kern w:val="0"/>
                <w:sz w:val="20"/>
                <w:szCs w:val="20"/>
                <w14:ligatures w14:val="none"/>
              </w:rPr>
              <w:t>†</w:t>
            </w:r>
          </w:p>
        </w:tc>
        <w:tc>
          <w:tcPr>
            <w:tcW w:w="815" w:type="dxa"/>
            <w:tcBorders>
              <w:top w:val="nil"/>
              <w:left w:val="nil"/>
              <w:bottom w:val="single" w:sz="4" w:space="0" w:color="auto"/>
              <w:right w:val="single" w:sz="12" w:space="0" w:color="auto"/>
            </w:tcBorders>
            <w:shd w:val="clear" w:color="000000" w:fill="F8CBAD"/>
            <w:noWrap/>
          </w:tcPr>
          <w:p w14:paraId="58514E6B" w14:textId="353AF0C4" w:rsidR="009F5189" w:rsidRPr="00F81FFA" w:rsidRDefault="00AF7927" w:rsidP="004A26A9">
            <w:pPr>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 xml:space="preserve">23.83 (1.11) </w:t>
            </w:r>
            <w:r w:rsidRPr="00F81FFA">
              <w:rPr>
                <w:rFonts w:ascii="Calibri" w:eastAsia="Times New Roman" w:hAnsi="Calibri" w:cs="Calibri"/>
                <w:color w:val="000000"/>
                <w:kern w:val="0"/>
                <w:sz w:val="20"/>
                <w:szCs w:val="20"/>
                <w14:ligatures w14:val="none"/>
              </w:rPr>
              <w:t>†Ψ</w:t>
            </w:r>
          </w:p>
        </w:tc>
      </w:tr>
      <w:tr w:rsidR="00256E95" w:rsidRPr="00F81FFA" w14:paraId="5FA209C8" w14:textId="77777777" w:rsidTr="00AF7927">
        <w:trPr>
          <w:trHeight w:val="809"/>
        </w:trPr>
        <w:tc>
          <w:tcPr>
            <w:tcW w:w="1342" w:type="dxa"/>
            <w:tcBorders>
              <w:top w:val="nil"/>
              <w:left w:val="single" w:sz="12" w:space="0" w:color="auto"/>
              <w:bottom w:val="single" w:sz="12" w:space="0" w:color="auto"/>
              <w:right w:val="single" w:sz="8" w:space="0" w:color="auto"/>
            </w:tcBorders>
            <w:vAlign w:val="center"/>
            <w:hideMark/>
          </w:tcPr>
          <w:p w14:paraId="031EF919" w14:textId="659EE05B"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Propulsive Impulse (%BW</w:t>
            </w:r>
            <w:r w:rsidR="00F80FAA">
              <w:rPr>
                <w:rFonts w:ascii="Calibri" w:eastAsia="Times New Roman" w:hAnsi="Calibri" w:cs="Calibri"/>
                <w:color w:val="000000"/>
                <w:kern w:val="0"/>
                <w:sz w:val="20"/>
                <w:szCs w:val="20"/>
                <w14:ligatures w14:val="none"/>
              </w:rPr>
              <w:t>·</w:t>
            </w:r>
            <w:r w:rsidRPr="00F81FFA">
              <w:rPr>
                <w:rFonts w:ascii="Calibri" w:eastAsia="Times New Roman" w:hAnsi="Calibri" w:cs="Calibri"/>
                <w:color w:val="000000"/>
                <w:kern w:val="0"/>
                <w:sz w:val="20"/>
                <w:szCs w:val="20"/>
                <w14:ligatures w14:val="none"/>
              </w:rPr>
              <w:t>s)</w:t>
            </w:r>
          </w:p>
        </w:tc>
        <w:tc>
          <w:tcPr>
            <w:tcW w:w="813" w:type="dxa"/>
            <w:tcBorders>
              <w:top w:val="nil"/>
              <w:left w:val="single" w:sz="12" w:space="0" w:color="auto"/>
              <w:bottom w:val="single" w:sz="12" w:space="0" w:color="auto"/>
              <w:right w:val="single" w:sz="4" w:space="0" w:color="auto"/>
            </w:tcBorders>
            <w:shd w:val="clear" w:color="000000" w:fill="D0CECE"/>
            <w:noWrap/>
            <w:hideMark/>
          </w:tcPr>
          <w:p w14:paraId="5646F784"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3.08 (0.12)</w:t>
            </w:r>
          </w:p>
        </w:tc>
        <w:tc>
          <w:tcPr>
            <w:tcW w:w="814" w:type="dxa"/>
            <w:tcBorders>
              <w:top w:val="nil"/>
              <w:left w:val="nil"/>
              <w:bottom w:val="single" w:sz="12" w:space="0" w:color="auto"/>
              <w:right w:val="single" w:sz="8" w:space="0" w:color="auto"/>
            </w:tcBorders>
            <w:shd w:val="clear" w:color="000000" w:fill="D0CECE"/>
            <w:noWrap/>
            <w:hideMark/>
          </w:tcPr>
          <w:p w14:paraId="7B926F13"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2.73 (0.12)</w:t>
            </w:r>
          </w:p>
        </w:tc>
        <w:tc>
          <w:tcPr>
            <w:tcW w:w="813" w:type="dxa"/>
            <w:tcBorders>
              <w:top w:val="nil"/>
              <w:left w:val="single" w:sz="12" w:space="0" w:color="auto"/>
              <w:bottom w:val="single" w:sz="12" w:space="0" w:color="auto"/>
              <w:right w:val="single" w:sz="4" w:space="0" w:color="auto"/>
            </w:tcBorders>
            <w:shd w:val="clear" w:color="000000" w:fill="BDD7EE"/>
            <w:noWrap/>
            <w:hideMark/>
          </w:tcPr>
          <w:p w14:paraId="3BBC20DE"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5.96 (0.27) †Ψ</w:t>
            </w:r>
          </w:p>
        </w:tc>
        <w:tc>
          <w:tcPr>
            <w:tcW w:w="814" w:type="dxa"/>
            <w:tcBorders>
              <w:top w:val="nil"/>
              <w:left w:val="nil"/>
              <w:bottom w:val="single" w:sz="12" w:space="0" w:color="auto"/>
              <w:right w:val="single" w:sz="8" w:space="0" w:color="auto"/>
            </w:tcBorders>
            <w:shd w:val="clear" w:color="000000" w:fill="BDD7EE"/>
            <w:noWrap/>
            <w:hideMark/>
          </w:tcPr>
          <w:p w14:paraId="3B45ACF4"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3.54 (0.27)</w:t>
            </w:r>
          </w:p>
        </w:tc>
        <w:tc>
          <w:tcPr>
            <w:tcW w:w="813" w:type="dxa"/>
            <w:tcBorders>
              <w:top w:val="nil"/>
              <w:left w:val="single" w:sz="12" w:space="0" w:color="auto"/>
              <w:bottom w:val="single" w:sz="12" w:space="0" w:color="auto"/>
              <w:right w:val="single" w:sz="4" w:space="0" w:color="auto"/>
            </w:tcBorders>
            <w:shd w:val="clear" w:color="000000" w:fill="BDD7EE"/>
            <w:noWrap/>
            <w:hideMark/>
          </w:tcPr>
          <w:p w14:paraId="7B08F157"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5.46 (0.31) †Ψ</w:t>
            </w:r>
          </w:p>
        </w:tc>
        <w:tc>
          <w:tcPr>
            <w:tcW w:w="814" w:type="dxa"/>
            <w:tcBorders>
              <w:top w:val="nil"/>
              <w:left w:val="nil"/>
              <w:bottom w:val="single" w:sz="12" w:space="0" w:color="auto"/>
              <w:right w:val="single" w:sz="8" w:space="0" w:color="auto"/>
            </w:tcBorders>
            <w:shd w:val="clear" w:color="000000" w:fill="BDD7EE"/>
            <w:noWrap/>
            <w:hideMark/>
          </w:tcPr>
          <w:p w14:paraId="211F9B9B"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3.46 (0.31)</w:t>
            </w:r>
          </w:p>
        </w:tc>
        <w:tc>
          <w:tcPr>
            <w:tcW w:w="813" w:type="dxa"/>
            <w:tcBorders>
              <w:top w:val="nil"/>
              <w:left w:val="single" w:sz="12" w:space="0" w:color="auto"/>
              <w:bottom w:val="single" w:sz="12" w:space="0" w:color="auto"/>
              <w:right w:val="single" w:sz="4" w:space="0" w:color="auto"/>
            </w:tcBorders>
            <w:shd w:val="clear" w:color="000000" w:fill="BDD7EE"/>
            <w:noWrap/>
            <w:hideMark/>
          </w:tcPr>
          <w:p w14:paraId="54A14CAB"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5.15 (0.31) †Ψ</w:t>
            </w:r>
          </w:p>
        </w:tc>
        <w:tc>
          <w:tcPr>
            <w:tcW w:w="814" w:type="dxa"/>
            <w:tcBorders>
              <w:top w:val="nil"/>
              <w:left w:val="nil"/>
              <w:bottom w:val="single" w:sz="12" w:space="0" w:color="auto"/>
              <w:right w:val="single" w:sz="8" w:space="0" w:color="auto"/>
            </w:tcBorders>
            <w:shd w:val="clear" w:color="000000" w:fill="BDD7EE"/>
            <w:noWrap/>
            <w:hideMark/>
          </w:tcPr>
          <w:p w14:paraId="4B072146"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3.39 (0.31)</w:t>
            </w:r>
          </w:p>
        </w:tc>
        <w:tc>
          <w:tcPr>
            <w:tcW w:w="813" w:type="dxa"/>
            <w:tcBorders>
              <w:top w:val="nil"/>
              <w:left w:val="single" w:sz="12" w:space="0" w:color="auto"/>
              <w:bottom w:val="single" w:sz="12" w:space="0" w:color="auto"/>
              <w:right w:val="single" w:sz="4" w:space="0" w:color="auto"/>
            </w:tcBorders>
            <w:shd w:val="clear" w:color="000000" w:fill="BDD7EE"/>
            <w:noWrap/>
            <w:hideMark/>
          </w:tcPr>
          <w:p w14:paraId="6B945C82"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3.89 (0.23)</w:t>
            </w:r>
          </w:p>
        </w:tc>
        <w:tc>
          <w:tcPr>
            <w:tcW w:w="814" w:type="dxa"/>
            <w:tcBorders>
              <w:top w:val="nil"/>
              <w:left w:val="nil"/>
              <w:bottom w:val="single" w:sz="12" w:space="0" w:color="auto"/>
              <w:right w:val="single" w:sz="8" w:space="0" w:color="auto"/>
            </w:tcBorders>
            <w:shd w:val="clear" w:color="000000" w:fill="F8CBAD"/>
            <w:noWrap/>
            <w:hideMark/>
          </w:tcPr>
          <w:p w14:paraId="35ADDE83"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3.35 (0.23)</w:t>
            </w:r>
          </w:p>
        </w:tc>
        <w:tc>
          <w:tcPr>
            <w:tcW w:w="813" w:type="dxa"/>
            <w:tcBorders>
              <w:top w:val="nil"/>
              <w:left w:val="single" w:sz="12" w:space="0" w:color="auto"/>
              <w:bottom w:val="single" w:sz="12" w:space="0" w:color="auto"/>
              <w:right w:val="single" w:sz="4" w:space="0" w:color="auto"/>
            </w:tcBorders>
            <w:shd w:val="clear" w:color="000000" w:fill="F8CBAD"/>
            <w:noWrap/>
            <w:hideMark/>
          </w:tcPr>
          <w:p w14:paraId="6A3E2805"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3.72 (0.27)</w:t>
            </w:r>
          </w:p>
        </w:tc>
        <w:tc>
          <w:tcPr>
            <w:tcW w:w="818" w:type="dxa"/>
            <w:tcBorders>
              <w:top w:val="nil"/>
              <w:left w:val="nil"/>
              <w:bottom w:val="single" w:sz="12" w:space="0" w:color="auto"/>
              <w:right w:val="single" w:sz="8" w:space="0" w:color="auto"/>
            </w:tcBorders>
            <w:shd w:val="clear" w:color="000000" w:fill="F8CBAD"/>
            <w:noWrap/>
            <w:hideMark/>
          </w:tcPr>
          <w:p w14:paraId="6D923F40"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4.49 (0.27) †Ψ</w:t>
            </w:r>
          </w:p>
        </w:tc>
        <w:tc>
          <w:tcPr>
            <w:tcW w:w="814" w:type="dxa"/>
            <w:tcBorders>
              <w:top w:val="nil"/>
              <w:left w:val="single" w:sz="12" w:space="0" w:color="auto"/>
              <w:bottom w:val="single" w:sz="12" w:space="0" w:color="auto"/>
              <w:right w:val="single" w:sz="4" w:space="0" w:color="auto"/>
            </w:tcBorders>
            <w:shd w:val="clear" w:color="000000" w:fill="F8CBAD"/>
            <w:noWrap/>
            <w:hideMark/>
          </w:tcPr>
          <w:p w14:paraId="1E91689F"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3.91 (0.26)</w:t>
            </w:r>
          </w:p>
        </w:tc>
        <w:tc>
          <w:tcPr>
            <w:tcW w:w="813" w:type="dxa"/>
            <w:tcBorders>
              <w:top w:val="nil"/>
              <w:left w:val="nil"/>
              <w:bottom w:val="single" w:sz="12" w:space="0" w:color="auto"/>
              <w:right w:val="single" w:sz="8" w:space="0" w:color="auto"/>
            </w:tcBorders>
            <w:shd w:val="clear" w:color="000000" w:fill="F8CBAD"/>
            <w:noWrap/>
            <w:hideMark/>
          </w:tcPr>
          <w:p w14:paraId="4B6764AB"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5.14 (0.26) †Ψ</w:t>
            </w:r>
          </w:p>
        </w:tc>
        <w:tc>
          <w:tcPr>
            <w:tcW w:w="813" w:type="dxa"/>
            <w:tcBorders>
              <w:top w:val="nil"/>
              <w:left w:val="nil"/>
              <w:bottom w:val="single" w:sz="12" w:space="0" w:color="auto"/>
              <w:right w:val="single" w:sz="4" w:space="0" w:color="auto"/>
            </w:tcBorders>
            <w:shd w:val="clear" w:color="000000" w:fill="F8CBAD"/>
            <w:noWrap/>
            <w:hideMark/>
          </w:tcPr>
          <w:p w14:paraId="588DC3D8"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4.25 (0.30)</w:t>
            </w:r>
          </w:p>
        </w:tc>
        <w:tc>
          <w:tcPr>
            <w:tcW w:w="815" w:type="dxa"/>
            <w:tcBorders>
              <w:top w:val="nil"/>
              <w:left w:val="nil"/>
              <w:bottom w:val="single" w:sz="12" w:space="0" w:color="auto"/>
              <w:right w:val="single" w:sz="12" w:space="0" w:color="auto"/>
            </w:tcBorders>
            <w:shd w:val="clear" w:color="000000" w:fill="F8CBAD"/>
            <w:noWrap/>
            <w:hideMark/>
          </w:tcPr>
          <w:p w14:paraId="519F197F" w14:textId="77777777" w:rsidR="00256E95" w:rsidRPr="00F81FFA" w:rsidRDefault="00256E95" w:rsidP="004A26A9">
            <w:pPr>
              <w:spacing w:after="0" w:line="240" w:lineRule="auto"/>
              <w:jc w:val="center"/>
              <w:rPr>
                <w:rFonts w:ascii="Calibri" w:eastAsia="Times New Roman" w:hAnsi="Calibri" w:cs="Calibri"/>
                <w:color w:val="000000"/>
                <w:kern w:val="0"/>
                <w:sz w:val="20"/>
                <w:szCs w:val="20"/>
                <w14:ligatures w14:val="none"/>
              </w:rPr>
            </w:pPr>
            <w:r w:rsidRPr="00F81FFA">
              <w:rPr>
                <w:rFonts w:ascii="Calibri" w:eastAsia="Times New Roman" w:hAnsi="Calibri" w:cs="Calibri"/>
                <w:color w:val="000000"/>
                <w:kern w:val="0"/>
                <w:sz w:val="20"/>
                <w:szCs w:val="20"/>
                <w14:ligatures w14:val="none"/>
              </w:rPr>
              <w:t>5.60 (0.30) †Ψ</w:t>
            </w:r>
          </w:p>
        </w:tc>
      </w:tr>
    </w:tbl>
    <w:p w14:paraId="14713A39" w14:textId="090A1E46" w:rsidR="00256E95" w:rsidRPr="003F54BE" w:rsidRDefault="003F54BE" w:rsidP="004A26A9">
      <w:pPr>
        <w:pStyle w:val="NoSpacing"/>
        <w:spacing w:line="360" w:lineRule="auto"/>
        <w:jc w:val="both"/>
        <w:rPr>
          <w:b w:val="0"/>
          <w:bCs/>
          <w:i/>
          <w:iCs/>
          <w:u w:val="none"/>
        </w:rPr>
        <w:sectPr w:rsidR="00256E95" w:rsidRPr="003F54BE" w:rsidSect="004A26A9">
          <w:type w:val="continuous"/>
          <w:pgSz w:w="15840" w:h="12240" w:orient="landscape"/>
          <w:pgMar w:top="1440" w:right="720" w:bottom="1440" w:left="720" w:header="720" w:footer="720" w:gutter="0"/>
          <w:lnNumType w:countBy="1" w:restart="continuous"/>
          <w:cols w:space="720"/>
          <w:docGrid w:linePitch="360"/>
        </w:sectPr>
      </w:pPr>
      <w:r>
        <w:rPr>
          <w:i/>
          <w:iCs/>
          <w:u w:val="none"/>
        </w:rPr>
        <w:t xml:space="preserve">Table S1: </w:t>
      </w:r>
      <w:r w:rsidRPr="003F54BE">
        <w:rPr>
          <w:rFonts w:cs="Times New Roman"/>
          <w:b w:val="0"/>
          <w:bCs/>
          <w:i/>
          <w:iCs/>
          <w:sz w:val="20"/>
          <w:szCs w:val="20"/>
          <w:u w:val="none"/>
        </w:rPr>
        <w:t>Linear mixed effects results across all conditions for all variable</w:t>
      </w:r>
      <w:r w:rsidR="006C3FA2">
        <w:rPr>
          <w:rFonts w:cs="Times New Roman"/>
          <w:b w:val="0"/>
          <w:bCs/>
          <w:i/>
          <w:iCs/>
          <w:sz w:val="20"/>
          <w:szCs w:val="20"/>
          <w:u w:val="none"/>
        </w:rPr>
        <w:t>s, estimated marginal means (standard error).</w:t>
      </w:r>
      <w:r w:rsidRPr="003F54BE">
        <w:rPr>
          <w:rFonts w:cs="Times New Roman"/>
          <w:b w:val="0"/>
          <w:bCs/>
          <w:i/>
          <w:iCs/>
          <w:sz w:val="20"/>
          <w:szCs w:val="20"/>
          <w:u w:val="none"/>
        </w:rPr>
        <w:t xml:space="preserve"> </w:t>
      </w:r>
      <w:r w:rsidRPr="003F54BE">
        <w:rPr>
          <w:rFonts w:eastAsia="Times New Roman" w:cs="Times New Roman"/>
          <w:b w:val="0"/>
          <w:bCs/>
          <w:i/>
          <w:iCs/>
          <w:color w:val="000000"/>
          <w:kern w:val="0"/>
          <w:sz w:val="20"/>
          <w:szCs w:val="20"/>
          <w:u w:val="none"/>
          <w14:ligatures w14:val="none"/>
        </w:rPr>
        <w:t xml:space="preserve">† </w:t>
      </w:r>
      <w:proofErr w:type="gramStart"/>
      <w:r w:rsidRPr="003F54BE">
        <w:rPr>
          <w:rFonts w:eastAsia="Times New Roman" w:cs="Times New Roman"/>
          <w:b w:val="0"/>
          <w:bCs/>
          <w:i/>
          <w:iCs/>
          <w:color w:val="000000"/>
          <w:kern w:val="0"/>
          <w:sz w:val="20"/>
          <w:szCs w:val="20"/>
          <w:u w:val="none"/>
          <w14:ligatures w14:val="none"/>
        </w:rPr>
        <w:t>denotes</w:t>
      </w:r>
      <w:proofErr w:type="gramEnd"/>
      <w:r w:rsidRPr="003F54BE">
        <w:rPr>
          <w:rFonts w:eastAsia="Times New Roman" w:cs="Times New Roman"/>
          <w:b w:val="0"/>
          <w:bCs/>
          <w:i/>
          <w:iCs/>
          <w:color w:val="000000"/>
          <w:kern w:val="0"/>
          <w:sz w:val="20"/>
          <w:szCs w:val="20"/>
          <w:u w:val="none"/>
          <w14:ligatures w14:val="none"/>
        </w:rPr>
        <w:t xml:space="preserve"> significant difference from no TS. Ψ denotes significant difference from </w:t>
      </w:r>
      <w:proofErr w:type="spellStart"/>
      <w:r w:rsidRPr="003F54BE">
        <w:rPr>
          <w:rFonts w:eastAsia="Times New Roman" w:cs="Times New Roman"/>
          <w:b w:val="0"/>
          <w:bCs/>
          <w:i/>
          <w:iCs/>
          <w:color w:val="000000"/>
          <w:kern w:val="0"/>
          <w:sz w:val="20"/>
          <w:szCs w:val="20"/>
          <w:u w:val="none"/>
          <w14:ligatures w14:val="none"/>
        </w:rPr>
        <w:t>BaselineTS</w:t>
      </w:r>
      <w:proofErr w:type="spellEnd"/>
      <w:r w:rsidRPr="003F54BE">
        <w:rPr>
          <w:rFonts w:eastAsia="Times New Roman" w:cs="Times New Roman"/>
          <w:b w:val="0"/>
          <w:bCs/>
          <w:i/>
          <w:iCs/>
          <w:color w:val="000000"/>
          <w:kern w:val="0"/>
          <w:sz w:val="20"/>
          <w:szCs w:val="20"/>
          <w:u w:val="none"/>
          <w14:ligatures w14:val="none"/>
        </w:rPr>
        <w:t>.</w:t>
      </w:r>
      <w:r>
        <w:rPr>
          <w:rFonts w:ascii="Calibri" w:eastAsia="Times New Roman" w:hAnsi="Calibri" w:cs="Calibri"/>
          <w:b w:val="0"/>
          <w:bCs/>
          <w:color w:val="000000"/>
          <w:kern w:val="0"/>
          <w:sz w:val="20"/>
          <w:szCs w:val="20"/>
          <w:u w:val="none"/>
          <w14:ligatures w14:val="none"/>
        </w:rPr>
        <w:t xml:space="preserve"> </w:t>
      </w:r>
    </w:p>
    <w:p w14:paraId="44E5DBB8" w14:textId="6443FEF6" w:rsidR="00256E95" w:rsidRDefault="007F4426" w:rsidP="004A26A9">
      <w:pPr>
        <w:pStyle w:val="NoSpacing"/>
        <w:spacing w:line="360" w:lineRule="auto"/>
        <w:jc w:val="both"/>
        <w:rPr>
          <w:b w:val="0"/>
          <w:bCs/>
          <w:u w:val="none"/>
        </w:rPr>
      </w:pPr>
      <w:r>
        <w:rPr>
          <w:b w:val="0"/>
          <w:bCs/>
          <w:u w:val="none"/>
        </w:rPr>
        <w:lastRenderedPageBreak/>
        <w:tab/>
        <w:t>For the relationships between stance time and propulsive features, below are the results for the whole dataset as well, opposed to the subset chosen to improve normality. These relationships are stronger with the whole dataset opposed to our subset chosen. However, we did not include this result in the main text due to the fit being heavily biased towards the baseline walking region.</w:t>
      </w:r>
    </w:p>
    <w:p w14:paraId="1B8E3F78" w14:textId="49635E29" w:rsidR="007F4426" w:rsidRDefault="00F80FAA" w:rsidP="004A26A9">
      <w:pPr>
        <w:pStyle w:val="NoSpacing"/>
        <w:spacing w:line="360" w:lineRule="auto"/>
        <w:jc w:val="both"/>
        <w:rPr>
          <w:b w:val="0"/>
          <w:bCs/>
          <w:u w:val="none"/>
        </w:rPr>
      </w:pPr>
      <w:r>
        <w:rPr>
          <w:b w:val="0"/>
          <w:bCs/>
          <w:noProof/>
          <w:u w:val="none"/>
        </w:rPr>
        <w:drawing>
          <wp:inline distT="0" distB="0" distL="0" distR="0" wp14:anchorId="0420305A" wp14:editId="4C996E51">
            <wp:extent cx="2154318" cy="5382232"/>
            <wp:effectExtent l="0" t="0" r="0" b="0"/>
            <wp:docPr id="117098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98116" name="Picture 1170981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9727" cy="5420729"/>
                    </a:xfrm>
                    <a:prstGeom prst="rect">
                      <a:avLst/>
                    </a:prstGeom>
                  </pic:spPr>
                </pic:pic>
              </a:graphicData>
            </a:graphic>
          </wp:inline>
        </w:drawing>
      </w:r>
    </w:p>
    <w:p w14:paraId="5F6B7EB0" w14:textId="080642C0" w:rsidR="00D11A83" w:rsidRPr="00D11A83" w:rsidRDefault="00D11A83" w:rsidP="004A26A9">
      <w:pPr>
        <w:pStyle w:val="NoSpacing"/>
        <w:spacing w:line="360" w:lineRule="auto"/>
        <w:jc w:val="both"/>
        <w:rPr>
          <w:b w:val="0"/>
          <w:bCs/>
          <w:i/>
          <w:iCs/>
          <w:u w:val="none"/>
        </w:rPr>
      </w:pPr>
      <w:r>
        <w:rPr>
          <w:i/>
          <w:iCs/>
          <w:u w:val="none"/>
        </w:rPr>
        <w:t>Figure S2:</w:t>
      </w:r>
      <w:r>
        <w:rPr>
          <w:b w:val="0"/>
          <w:bCs/>
          <w:i/>
          <w:iCs/>
          <w:u w:val="none"/>
        </w:rPr>
        <w:t xml:space="preserve"> Relationships between stance time and propulsive variables on the whole dataset opposed to the subset chosen in the main text. The relationships are similar but stronger due to the inflated fit from a large amount of data during the no TS condition. </w:t>
      </w:r>
    </w:p>
    <w:p w14:paraId="412B0161" w14:textId="77777777" w:rsidR="00256E95" w:rsidRDefault="00256E95" w:rsidP="004A26A9">
      <w:pPr>
        <w:pStyle w:val="NoSpacing"/>
        <w:spacing w:line="360" w:lineRule="auto"/>
        <w:jc w:val="both"/>
        <w:rPr>
          <w:b w:val="0"/>
          <w:bCs/>
          <w:i/>
          <w:iCs/>
          <w:u w:val="none"/>
        </w:rPr>
      </w:pPr>
    </w:p>
    <w:p w14:paraId="14A58068" w14:textId="7B137CAF" w:rsidR="00256E95" w:rsidRDefault="00927E91" w:rsidP="004A26A9">
      <w:pPr>
        <w:pStyle w:val="NoSpacing"/>
        <w:spacing w:line="360" w:lineRule="auto"/>
        <w:jc w:val="both"/>
        <w:rPr>
          <w:b w:val="0"/>
          <w:bCs/>
          <w:u w:val="none"/>
        </w:rPr>
      </w:pPr>
      <w:r>
        <w:rPr>
          <w:b w:val="0"/>
          <w:bCs/>
          <w:i/>
          <w:iCs/>
          <w:u w:val="none"/>
        </w:rPr>
        <w:t>Unstimulated Steps Still Related to Propulsion</w:t>
      </w:r>
    </w:p>
    <w:p w14:paraId="5068BB1E" w14:textId="78664F80" w:rsidR="00927E91" w:rsidRDefault="00927E91" w:rsidP="004A26A9">
      <w:pPr>
        <w:pStyle w:val="NoSpacing"/>
        <w:spacing w:line="360" w:lineRule="auto"/>
        <w:jc w:val="both"/>
        <w:rPr>
          <w:b w:val="0"/>
          <w:bCs/>
          <w:u w:val="none"/>
        </w:rPr>
      </w:pPr>
      <w:r>
        <w:rPr>
          <w:b w:val="0"/>
          <w:bCs/>
          <w:u w:val="none"/>
        </w:rPr>
        <w:lastRenderedPageBreak/>
        <w:tab/>
        <w:t xml:space="preserve">Lastly, we wanted to ensure that the type of instruction provided to the subjects, “push off with the vibration onset” was not a strong reason for the relation to propulsive variables. So, we ran the same analysis for the spearman correlations but instead on the opposite side during the TS feedback (right steps during </w:t>
      </w:r>
      <w:proofErr w:type="spellStart"/>
      <w:r>
        <w:rPr>
          <w:b w:val="0"/>
          <w:bCs/>
          <w:u w:val="none"/>
        </w:rPr>
        <w:t>LeftTS</w:t>
      </w:r>
      <w:proofErr w:type="spellEnd"/>
      <w:r>
        <w:rPr>
          <w:b w:val="0"/>
          <w:bCs/>
          <w:u w:val="none"/>
        </w:rPr>
        <w:t xml:space="preserve">; left steps during </w:t>
      </w:r>
      <w:proofErr w:type="spellStart"/>
      <w:r>
        <w:rPr>
          <w:b w:val="0"/>
          <w:bCs/>
          <w:u w:val="none"/>
        </w:rPr>
        <w:t>RightTS</w:t>
      </w:r>
      <w:proofErr w:type="spellEnd"/>
      <w:r>
        <w:rPr>
          <w:b w:val="0"/>
          <w:bCs/>
          <w:u w:val="none"/>
        </w:rPr>
        <w:t xml:space="preserve">; no TS not included). </w:t>
      </w:r>
      <w:r w:rsidR="00F30BE7">
        <w:rPr>
          <w:b w:val="0"/>
          <w:bCs/>
          <w:u w:val="none"/>
        </w:rPr>
        <w:t xml:space="preserve">The relations between the non-stimulated steps to the stance times were a little lower than what was reported for the stimulated side. However, this may be due to the reduced overall range of data for the non-stimulated steps being less. Further analysis of a mechanism testing these relations further may aid in this claim. </w:t>
      </w:r>
    </w:p>
    <w:p w14:paraId="3B094E1B" w14:textId="48EB6453" w:rsidR="00F30BE7" w:rsidRDefault="00DE4DD6" w:rsidP="004A26A9">
      <w:pPr>
        <w:pStyle w:val="NoSpacing"/>
        <w:spacing w:line="360" w:lineRule="auto"/>
        <w:jc w:val="both"/>
        <w:rPr>
          <w:b w:val="0"/>
          <w:bCs/>
          <w:u w:val="none"/>
        </w:rPr>
      </w:pPr>
      <w:r>
        <w:rPr>
          <w:b w:val="0"/>
          <w:bCs/>
          <w:noProof/>
          <w:u w:val="none"/>
        </w:rPr>
        <w:drawing>
          <wp:inline distT="0" distB="0" distL="0" distR="0" wp14:anchorId="09749933" wp14:editId="4AEFE2A6">
            <wp:extent cx="2528515" cy="5575125"/>
            <wp:effectExtent l="0" t="0" r="0" b="6985"/>
            <wp:docPr id="15578968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96891" name="Picture 15578968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7155" cy="5660322"/>
                    </a:xfrm>
                    <a:prstGeom prst="rect">
                      <a:avLst/>
                    </a:prstGeom>
                  </pic:spPr>
                </pic:pic>
              </a:graphicData>
            </a:graphic>
          </wp:inline>
        </w:drawing>
      </w:r>
    </w:p>
    <w:p w14:paraId="54630678" w14:textId="55754E2F" w:rsidR="00E17D93" w:rsidRPr="006D19C6" w:rsidRDefault="00F30BE7" w:rsidP="004A26A9">
      <w:pPr>
        <w:pStyle w:val="NoSpacing"/>
        <w:spacing w:line="360" w:lineRule="auto"/>
        <w:jc w:val="both"/>
        <w:rPr>
          <w:b w:val="0"/>
          <w:bCs/>
          <w:i/>
          <w:iCs/>
          <w:u w:val="none"/>
        </w:rPr>
      </w:pPr>
      <w:r>
        <w:rPr>
          <w:i/>
          <w:iCs/>
          <w:u w:val="none"/>
        </w:rPr>
        <w:t>Figure S3:</w:t>
      </w:r>
      <w:r>
        <w:rPr>
          <w:b w:val="0"/>
          <w:bCs/>
          <w:i/>
          <w:iCs/>
          <w:u w:val="none"/>
        </w:rPr>
        <w:t xml:space="preserve"> Relationships between stance time and propulsive variables on the reported dataset of the stimulated limb (blue) and the opposite side that did not receive the stimulation (maroon). The relationships </w:t>
      </w:r>
      <w:r>
        <w:rPr>
          <w:b w:val="0"/>
          <w:bCs/>
          <w:i/>
          <w:iCs/>
          <w:u w:val="none"/>
        </w:rPr>
        <w:lastRenderedPageBreak/>
        <w:t xml:space="preserve">are similar but slightly weaker, possibly due to the smaller range of stance times present in the non-stimulated limb. </w:t>
      </w:r>
    </w:p>
    <w:sectPr w:rsidR="00E17D93" w:rsidRPr="006D19C6" w:rsidSect="004A26A9">
      <w:type w:val="continuous"/>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00C71"/>
    <w:multiLevelType w:val="hybridMultilevel"/>
    <w:tmpl w:val="261A2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2151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E1"/>
    <w:rsid w:val="0000339E"/>
    <w:rsid w:val="00012D38"/>
    <w:rsid w:val="0001354A"/>
    <w:rsid w:val="00015595"/>
    <w:rsid w:val="00016777"/>
    <w:rsid w:val="00017CE1"/>
    <w:rsid w:val="00017EAA"/>
    <w:rsid w:val="00020CE3"/>
    <w:rsid w:val="00021277"/>
    <w:rsid w:val="00025777"/>
    <w:rsid w:val="00035083"/>
    <w:rsid w:val="00042ECE"/>
    <w:rsid w:val="000436E6"/>
    <w:rsid w:val="00045230"/>
    <w:rsid w:val="0005371E"/>
    <w:rsid w:val="00060971"/>
    <w:rsid w:val="0006288A"/>
    <w:rsid w:val="00067531"/>
    <w:rsid w:val="00067FEE"/>
    <w:rsid w:val="000707D0"/>
    <w:rsid w:val="00071F34"/>
    <w:rsid w:val="00075AFE"/>
    <w:rsid w:val="00076149"/>
    <w:rsid w:val="00086453"/>
    <w:rsid w:val="00092D1D"/>
    <w:rsid w:val="000967EC"/>
    <w:rsid w:val="000968F7"/>
    <w:rsid w:val="00096D3A"/>
    <w:rsid w:val="000A4DBA"/>
    <w:rsid w:val="000B3940"/>
    <w:rsid w:val="000B5108"/>
    <w:rsid w:val="000B5B60"/>
    <w:rsid w:val="000B6A6B"/>
    <w:rsid w:val="000B7689"/>
    <w:rsid w:val="000C0387"/>
    <w:rsid w:val="000C298B"/>
    <w:rsid w:val="000C3ECD"/>
    <w:rsid w:val="000C5156"/>
    <w:rsid w:val="000D0FB3"/>
    <w:rsid w:val="000D1558"/>
    <w:rsid w:val="000D1916"/>
    <w:rsid w:val="000D4575"/>
    <w:rsid w:val="000E03B6"/>
    <w:rsid w:val="000E6F23"/>
    <w:rsid w:val="000E727F"/>
    <w:rsid w:val="000F00BC"/>
    <w:rsid w:val="000F6E82"/>
    <w:rsid w:val="00102FEE"/>
    <w:rsid w:val="001055BD"/>
    <w:rsid w:val="00111CC0"/>
    <w:rsid w:val="001132BB"/>
    <w:rsid w:val="00116E6F"/>
    <w:rsid w:val="00121D3F"/>
    <w:rsid w:val="00130AA0"/>
    <w:rsid w:val="0013125F"/>
    <w:rsid w:val="0013544A"/>
    <w:rsid w:val="00137E1E"/>
    <w:rsid w:val="001411F2"/>
    <w:rsid w:val="0014240A"/>
    <w:rsid w:val="00142D5E"/>
    <w:rsid w:val="00142DE3"/>
    <w:rsid w:val="00155308"/>
    <w:rsid w:val="001554FC"/>
    <w:rsid w:val="001603E9"/>
    <w:rsid w:val="00162771"/>
    <w:rsid w:val="001635F0"/>
    <w:rsid w:val="00165D76"/>
    <w:rsid w:val="00166298"/>
    <w:rsid w:val="0017408F"/>
    <w:rsid w:val="0017601A"/>
    <w:rsid w:val="00177099"/>
    <w:rsid w:val="00177301"/>
    <w:rsid w:val="001807AA"/>
    <w:rsid w:val="001823E4"/>
    <w:rsid w:val="00184EEA"/>
    <w:rsid w:val="00190285"/>
    <w:rsid w:val="0019029A"/>
    <w:rsid w:val="00191875"/>
    <w:rsid w:val="0019396D"/>
    <w:rsid w:val="001950A0"/>
    <w:rsid w:val="001A3AE4"/>
    <w:rsid w:val="001A70D9"/>
    <w:rsid w:val="001A79A4"/>
    <w:rsid w:val="001B4EFB"/>
    <w:rsid w:val="001B5E65"/>
    <w:rsid w:val="001D1A7C"/>
    <w:rsid w:val="001D5081"/>
    <w:rsid w:val="001D64BF"/>
    <w:rsid w:val="001E5A40"/>
    <w:rsid w:val="001F2E83"/>
    <w:rsid w:val="001F540A"/>
    <w:rsid w:val="001F655D"/>
    <w:rsid w:val="00203467"/>
    <w:rsid w:val="00205CE1"/>
    <w:rsid w:val="002073BD"/>
    <w:rsid w:val="0021168A"/>
    <w:rsid w:val="00213C5E"/>
    <w:rsid w:val="0021499F"/>
    <w:rsid w:val="00216314"/>
    <w:rsid w:val="002165CD"/>
    <w:rsid w:val="00216ADD"/>
    <w:rsid w:val="00216B4F"/>
    <w:rsid w:val="00224AE5"/>
    <w:rsid w:val="00224F96"/>
    <w:rsid w:val="002257A4"/>
    <w:rsid w:val="00230A56"/>
    <w:rsid w:val="002310CF"/>
    <w:rsid w:val="00236A6A"/>
    <w:rsid w:val="00237CBB"/>
    <w:rsid w:val="00242C84"/>
    <w:rsid w:val="00243754"/>
    <w:rsid w:val="00243B57"/>
    <w:rsid w:val="002444E5"/>
    <w:rsid w:val="002531FE"/>
    <w:rsid w:val="002535F5"/>
    <w:rsid w:val="0025364B"/>
    <w:rsid w:val="00254C5C"/>
    <w:rsid w:val="00256E95"/>
    <w:rsid w:val="00257E92"/>
    <w:rsid w:val="002627DF"/>
    <w:rsid w:val="00264EA5"/>
    <w:rsid w:val="002655C5"/>
    <w:rsid w:val="00265CB7"/>
    <w:rsid w:val="00267435"/>
    <w:rsid w:val="0026778A"/>
    <w:rsid w:val="0027029D"/>
    <w:rsid w:val="002704A5"/>
    <w:rsid w:val="0027294F"/>
    <w:rsid w:val="00273C00"/>
    <w:rsid w:val="00274914"/>
    <w:rsid w:val="00276FCA"/>
    <w:rsid w:val="00280BF2"/>
    <w:rsid w:val="00283490"/>
    <w:rsid w:val="00286840"/>
    <w:rsid w:val="00290479"/>
    <w:rsid w:val="002910C0"/>
    <w:rsid w:val="00293A1A"/>
    <w:rsid w:val="002948FB"/>
    <w:rsid w:val="00297C35"/>
    <w:rsid w:val="002A650A"/>
    <w:rsid w:val="002A66EE"/>
    <w:rsid w:val="002A7602"/>
    <w:rsid w:val="002A7608"/>
    <w:rsid w:val="002B2492"/>
    <w:rsid w:val="002B480E"/>
    <w:rsid w:val="002B4A91"/>
    <w:rsid w:val="002B5AEB"/>
    <w:rsid w:val="002B5F1A"/>
    <w:rsid w:val="002B6451"/>
    <w:rsid w:val="002B744F"/>
    <w:rsid w:val="002B7606"/>
    <w:rsid w:val="002C2549"/>
    <w:rsid w:val="002C3547"/>
    <w:rsid w:val="002C6383"/>
    <w:rsid w:val="002D07A7"/>
    <w:rsid w:val="002D21FB"/>
    <w:rsid w:val="002D221B"/>
    <w:rsid w:val="002E52ED"/>
    <w:rsid w:val="002E6AD1"/>
    <w:rsid w:val="002F1C1B"/>
    <w:rsid w:val="002F274A"/>
    <w:rsid w:val="002F4B85"/>
    <w:rsid w:val="002F7629"/>
    <w:rsid w:val="003009E1"/>
    <w:rsid w:val="00302954"/>
    <w:rsid w:val="00303FA3"/>
    <w:rsid w:val="003046B5"/>
    <w:rsid w:val="00304942"/>
    <w:rsid w:val="00306CD0"/>
    <w:rsid w:val="00307F82"/>
    <w:rsid w:val="00310209"/>
    <w:rsid w:val="0031165E"/>
    <w:rsid w:val="00313120"/>
    <w:rsid w:val="0031779F"/>
    <w:rsid w:val="00321E52"/>
    <w:rsid w:val="00323678"/>
    <w:rsid w:val="00325BC8"/>
    <w:rsid w:val="003266A4"/>
    <w:rsid w:val="00332185"/>
    <w:rsid w:val="00333538"/>
    <w:rsid w:val="003354ED"/>
    <w:rsid w:val="00337CF6"/>
    <w:rsid w:val="00341732"/>
    <w:rsid w:val="0034383B"/>
    <w:rsid w:val="00352431"/>
    <w:rsid w:val="00353472"/>
    <w:rsid w:val="00372951"/>
    <w:rsid w:val="0037463F"/>
    <w:rsid w:val="003751F8"/>
    <w:rsid w:val="00376540"/>
    <w:rsid w:val="00376C24"/>
    <w:rsid w:val="00381586"/>
    <w:rsid w:val="0038241E"/>
    <w:rsid w:val="003837FA"/>
    <w:rsid w:val="00383E01"/>
    <w:rsid w:val="00386FEC"/>
    <w:rsid w:val="00390223"/>
    <w:rsid w:val="00390C33"/>
    <w:rsid w:val="003927B9"/>
    <w:rsid w:val="003943CE"/>
    <w:rsid w:val="00394BE5"/>
    <w:rsid w:val="003A4D14"/>
    <w:rsid w:val="003A4FAD"/>
    <w:rsid w:val="003A5E0A"/>
    <w:rsid w:val="003A6DC2"/>
    <w:rsid w:val="003A770A"/>
    <w:rsid w:val="003B0128"/>
    <w:rsid w:val="003B4E6D"/>
    <w:rsid w:val="003B6381"/>
    <w:rsid w:val="003B6E0D"/>
    <w:rsid w:val="003C0076"/>
    <w:rsid w:val="003C0E54"/>
    <w:rsid w:val="003C109D"/>
    <w:rsid w:val="003C232B"/>
    <w:rsid w:val="003C2741"/>
    <w:rsid w:val="003C61B7"/>
    <w:rsid w:val="003C716D"/>
    <w:rsid w:val="003D23C6"/>
    <w:rsid w:val="003F0177"/>
    <w:rsid w:val="003F1AEF"/>
    <w:rsid w:val="003F36C2"/>
    <w:rsid w:val="003F3849"/>
    <w:rsid w:val="003F385F"/>
    <w:rsid w:val="003F4614"/>
    <w:rsid w:val="003F54BE"/>
    <w:rsid w:val="003F7F7B"/>
    <w:rsid w:val="004001F8"/>
    <w:rsid w:val="004048F6"/>
    <w:rsid w:val="00405570"/>
    <w:rsid w:val="00413728"/>
    <w:rsid w:val="00413CA7"/>
    <w:rsid w:val="00422D4D"/>
    <w:rsid w:val="00425846"/>
    <w:rsid w:val="00426B07"/>
    <w:rsid w:val="00434DF7"/>
    <w:rsid w:val="004355AB"/>
    <w:rsid w:val="004367C1"/>
    <w:rsid w:val="00441E7A"/>
    <w:rsid w:val="004422A3"/>
    <w:rsid w:val="00443292"/>
    <w:rsid w:val="00445EFF"/>
    <w:rsid w:val="0045154D"/>
    <w:rsid w:val="0045530F"/>
    <w:rsid w:val="004651FA"/>
    <w:rsid w:val="00474D75"/>
    <w:rsid w:val="00484FE9"/>
    <w:rsid w:val="0048730D"/>
    <w:rsid w:val="00490EA9"/>
    <w:rsid w:val="00492BC5"/>
    <w:rsid w:val="00493346"/>
    <w:rsid w:val="00493704"/>
    <w:rsid w:val="00494A8A"/>
    <w:rsid w:val="004951AA"/>
    <w:rsid w:val="00496601"/>
    <w:rsid w:val="004A1540"/>
    <w:rsid w:val="004A26A9"/>
    <w:rsid w:val="004A59BC"/>
    <w:rsid w:val="004A7161"/>
    <w:rsid w:val="004A7649"/>
    <w:rsid w:val="004B357D"/>
    <w:rsid w:val="004B3B33"/>
    <w:rsid w:val="004B4153"/>
    <w:rsid w:val="004B580F"/>
    <w:rsid w:val="004C04D5"/>
    <w:rsid w:val="004C335E"/>
    <w:rsid w:val="004C6777"/>
    <w:rsid w:val="004C6E26"/>
    <w:rsid w:val="004D62FE"/>
    <w:rsid w:val="004E457E"/>
    <w:rsid w:val="004E70E2"/>
    <w:rsid w:val="004F472E"/>
    <w:rsid w:val="004F4CF6"/>
    <w:rsid w:val="004F50A7"/>
    <w:rsid w:val="005000B6"/>
    <w:rsid w:val="00503103"/>
    <w:rsid w:val="00506FFB"/>
    <w:rsid w:val="00507035"/>
    <w:rsid w:val="00507082"/>
    <w:rsid w:val="00507D58"/>
    <w:rsid w:val="0051065F"/>
    <w:rsid w:val="005141F7"/>
    <w:rsid w:val="005170F9"/>
    <w:rsid w:val="0051718E"/>
    <w:rsid w:val="005179D9"/>
    <w:rsid w:val="00521A38"/>
    <w:rsid w:val="005235B3"/>
    <w:rsid w:val="00527582"/>
    <w:rsid w:val="00530E8C"/>
    <w:rsid w:val="00531D8A"/>
    <w:rsid w:val="00532711"/>
    <w:rsid w:val="00532FBF"/>
    <w:rsid w:val="00537400"/>
    <w:rsid w:val="00537A67"/>
    <w:rsid w:val="005504DD"/>
    <w:rsid w:val="00555F26"/>
    <w:rsid w:val="0055644B"/>
    <w:rsid w:val="005657AC"/>
    <w:rsid w:val="00566769"/>
    <w:rsid w:val="00576919"/>
    <w:rsid w:val="00580B72"/>
    <w:rsid w:val="0059487C"/>
    <w:rsid w:val="00595888"/>
    <w:rsid w:val="005A78A9"/>
    <w:rsid w:val="005B3275"/>
    <w:rsid w:val="005B68A5"/>
    <w:rsid w:val="005C1E01"/>
    <w:rsid w:val="005C41D6"/>
    <w:rsid w:val="005C7889"/>
    <w:rsid w:val="005D18D2"/>
    <w:rsid w:val="005D3551"/>
    <w:rsid w:val="005D3678"/>
    <w:rsid w:val="005D3A80"/>
    <w:rsid w:val="005E018F"/>
    <w:rsid w:val="005E4553"/>
    <w:rsid w:val="005E4E3A"/>
    <w:rsid w:val="005E7058"/>
    <w:rsid w:val="005F5016"/>
    <w:rsid w:val="00600544"/>
    <w:rsid w:val="00603031"/>
    <w:rsid w:val="00604234"/>
    <w:rsid w:val="00605499"/>
    <w:rsid w:val="00607A40"/>
    <w:rsid w:val="006105C8"/>
    <w:rsid w:val="00611BDA"/>
    <w:rsid w:val="00611CF2"/>
    <w:rsid w:val="00612AE0"/>
    <w:rsid w:val="00613265"/>
    <w:rsid w:val="00613DAD"/>
    <w:rsid w:val="0061641F"/>
    <w:rsid w:val="00616F20"/>
    <w:rsid w:val="00621036"/>
    <w:rsid w:val="00632574"/>
    <w:rsid w:val="00635DE2"/>
    <w:rsid w:val="00636BE0"/>
    <w:rsid w:val="006413C1"/>
    <w:rsid w:val="00641D18"/>
    <w:rsid w:val="0064614B"/>
    <w:rsid w:val="00646FE6"/>
    <w:rsid w:val="006530E7"/>
    <w:rsid w:val="00653588"/>
    <w:rsid w:val="00660596"/>
    <w:rsid w:val="00660768"/>
    <w:rsid w:val="00663134"/>
    <w:rsid w:val="0067446F"/>
    <w:rsid w:val="00674C5F"/>
    <w:rsid w:val="0067642D"/>
    <w:rsid w:val="00680699"/>
    <w:rsid w:val="0068272D"/>
    <w:rsid w:val="00683660"/>
    <w:rsid w:val="0068499F"/>
    <w:rsid w:val="00691024"/>
    <w:rsid w:val="00692E78"/>
    <w:rsid w:val="006954F8"/>
    <w:rsid w:val="006A0E03"/>
    <w:rsid w:val="006A1892"/>
    <w:rsid w:val="006A26A6"/>
    <w:rsid w:val="006A4EDE"/>
    <w:rsid w:val="006A75B9"/>
    <w:rsid w:val="006B05B6"/>
    <w:rsid w:val="006B1BE9"/>
    <w:rsid w:val="006B4AED"/>
    <w:rsid w:val="006B68E5"/>
    <w:rsid w:val="006B6D3F"/>
    <w:rsid w:val="006C1702"/>
    <w:rsid w:val="006C2F50"/>
    <w:rsid w:val="006C3835"/>
    <w:rsid w:val="006C3AB7"/>
    <w:rsid w:val="006C3FA2"/>
    <w:rsid w:val="006C4863"/>
    <w:rsid w:val="006C4D0B"/>
    <w:rsid w:val="006C5B07"/>
    <w:rsid w:val="006D19C6"/>
    <w:rsid w:val="006D2AC5"/>
    <w:rsid w:val="006D3816"/>
    <w:rsid w:val="006E0371"/>
    <w:rsid w:val="006E3725"/>
    <w:rsid w:val="006E6ABE"/>
    <w:rsid w:val="006F1DA8"/>
    <w:rsid w:val="006F4ED3"/>
    <w:rsid w:val="0070008C"/>
    <w:rsid w:val="0070211A"/>
    <w:rsid w:val="007056D4"/>
    <w:rsid w:val="0070667B"/>
    <w:rsid w:val="0070669A"/>
    <w:rsid w:val="00706733"/>
    <w:rsid w:val="00707563"/>
    <w:rsid w:val="00712F40"/>
    <w:rsid w:val="0071350C"/>
    <w:rsid w:val="00713630"/>
    <w:rsid w:val="00714FA8"/>
    <w:rsid w:val="007222C9"/>
    <w:rsid w:val="0073196A"/>
    <w:rsid w:val="00732679"/>
    <w:rsid w:val="007338E5"/>
    <w:rsid w:val="00734556"/>
    <w:rsid w:val="00734567"/>
    <w:rsid w:val="00736A76"/>
    <w:rsid w:val="007376F4"/>
    <w:rsid w:val="007403FE"/>
    <w:rsid w:val="007421B3"/>
    <w:rsid w:val="00742A14"/>
    <w:rsid w:val="00743415"/>
    <w:rsid w:val="007450F9"/>
    <w:rsid w:val="0074722F"/>
    <w:rsid w:val="00747CE2"/>
    <w:rsid w:val="00751872"/>
    <w:rsid w:val="00755366"/>
    <w:rsid w:val="00757E2F"/>
    <w:rsid w:val="00767502"/>
    <w:rsid w:val="007679AA"/>
    <w:rsid w:val="00770B59"/>
    <w:rsid w:val="0077105E"/>
    <w:rsid w:val="00771A9C"/>
    <w:rsid w:val="007725A0"/>
    <w:rsid w:val="0077316D"/>
    <w:rsid w:val="00777E2C"/>
    <w:rsid w:val="007805D7"/>
    <w:rsid w:val="00784ECC"/>
    <w:rsid w:val="007853D0"/>
    <w:rsid w:val="007867A7"/>
    <w:rsid w:val="00791E9A"/>
    <w:rsid w:val="0079275E"/>
    <w:rsid w:val="00794157"/>
    <w:rsid w:val="00795089"/>
    <w:rsid w:val="00795169"/>
    <w:rsid w:val="007956B5"/>
    <w:rsid w:val="0079693C"/>
    <w:rsid w:val="007970F3"/>
    <w:rsid w:val="00797605"/>
    <w:rsid w:val="007A2BFF"/>
    <w:rsid w:val="007A68C2"/>
    <w:rsid w:val="007A6A6C"/>
    <w:rsid w:val="007A7A23"/>
    <w:rsid w:val="007B5645"/>
    <w:rsid w:val="007B6910"/>
    <w:rsid w:val="007C2108"/>
    <w:rsid w:val="007C4048"/>
    <w:rsid w:val="007C4B8D"/>
    <w:rsid w:val="007D43E9"/>
    <w:rsid w:val="007D7D0E"/>
    <w:rsid w:val="007E178A"/>
    <w:rsid w:val="007E2256"/>
    <w:rsid w:val="007E2AA5"/>
    <w:rsid w:val="007E7876"/>
    <w:rsid w:val="007E79C9"/>
    <w:rsid w:val="007F1621"/>
    <w:rsid w:val="007F2792"/>
    <w:rsid w:val="007F4426"/>
    <w:rsid w:val="007F4AE2"/>
    <w:rsid w:val="007F5586"/>
    <w:rsid w:val="00800915"/>
    <w:rsid w:val="008027D2"/>
    <w:rsid w:val="00804221"/>
    <w:rsid w:val="00804A9C"/>
    <w:rsid w:val="00805268"/>
    <w:rsid w:val="0080756E"/>
    <w:rsid w:val="00812AEF"/>
    <w:rsid w:val="008146F3"/>
    <w:rsid w:val="00820D53"/>
    <w:rsid w:val="008217CE"/>
    <w:rsid w:val="0082293B"/>
    <w:rsid w:val="0082491E"/>
    <w:rsid w:val="00827E1D"/>
    <w:rsid w:val="008375AF"/>
    <w:rsid w:val="00837DFC"/>
    <w:rsid w:val="00840BC4"/>
    <w:rsid w:val="00841AC2"/>
    <w:rsid w:val="00855972"/>
    <w:rsid w:val="00855E63"/>
    <w:rsid w:val="00864709"/>
    <w:rsid w:val="008654CE"/>
    <w:rsid w:val="00867A4F"/>
    <w:rsid w:val="00873B3D"/>
    <w:rsid w:val="0087401F"/>
    <w:rsid w:val="00874538"/>
    <w:rsid w:val="008765BE"/>
    <w:rsid w:val="008806B2"/>
    <w:rsid w:val="00881871"/>
    <w:rsid w:val="008855A6"/>
    <w:rsid w:val="00892AB6"/>
    <w:rsid w:val="008941A6"/>
    <w:rsid w:val="00895A90"/>
    <w:rsid w:val="008971B2"/>
    <w:rsid w:val="00897CB0"/>
    <w:rsid w:val="008A14AB"/>
    <w:rsid w:val="008A3D8A"/>
    <w:rsid w:val="008A4194"/>
    <w:rsid w:val="008A64BE"/>
    <w:rsid w:val="008A6833"/>
    <w:rsid w:val="008B09F4"/>
    <w:rsid w:val="008B197F"/>
    <w:rsid w:val="008B5736"/>
    <w:rsid w:val="008B6F16"/>
    <w:rsid w:val="008D28B0"/>
    <w:rsid w:val="008D33C4"/>
    <w:rsid w:val="008D601E"/>
    <w:rsid w:val="008D6857"/>
    <w:rsid w:val="008E2301"/>
    <w:rsid w:val="008E3391"/>
    <w:rsid w:val="008E4AF7"/>
    <w:rsid w:val="008E53AD"/>
    <w:rsid w:val="008E61F8"/>
    <w:rsid w:val="008F206D"/>
    <w:rsid w:val="008F217E"/>
    <w:rsid w:val="008F56DD"/>
    <w:rsid w:val="00903873"/>
    <w:rsid w:val="00905886"/>
    <w:rsid w:val="0090703D"/>
    <w:rsid w:val="0091029F"/>
    <w:rsid w:val="0091122B"/>
    <w:rsid w:val="009134B7"/>
    <w:rsid w:val="00916078"/>
    <w:rsid w:val="00920266"/>
    <w:rsid w:val="00921C01"/>
    <w:rsid w:val="00927E91"/>
    <w:rsid w:val="0093162B"/>
    <w:rsid w:val="00941290"/>
    <w:rsid w:val="00944382"/>
    <w:rsid w:val="00945F60"/>
    <w:rsid w:val="0095115B"/>
    <w:rsid w:val="009532B6"/>
    <w:rsid w:val="00961854"/>
    <w:rsid w:val="00961C3A"/>
    <w:rsid w:val="0097521F"/>
    <w:rsid w:val="00975CF6"/>
    <w:rsid w:val="00980726"/>
    <w:rsid w:val="009816B8"/>
    <w:rsid w:val="00984E4C"/>
    <w:rsid w:val="009977BE"/>
    <w:rsid w:val="00997A5B"/>
    <w:rsid w:val="009B2074"/>
    <w:rsid w:val="009B7823"/>
    <w:rsid w:val="009C1A7A"/>
    <w:rsid w:val="009C4CF1"/>
    <w:rsid w:val="009C4E2F"/>
    <w:rsid w:val="009C7E8A"/>
    <w:rsid w:val="009D2FEA"/>
    <w:rsid w:val="009D5CE4"/>
    <w:rsid w:val="009D6C83"/>
    <w:rsid w:val="009E14D9"/>
    <w:rsid w:val="009E207C"/>
    <w:rsid w:val="009E36A8"/>
    <w:rsid w:val="009E4FC6"/>
    <w:rsid w:val="009F215E"/>
    <w:rsid w:val="009F5189"/>
    <w:rsid w:val="009F612C"/>
    <w:rsid w:val="00A022F5"/>
    <w:rsid w:val="00A13EBA"/>
    <w:rsid w:val="00A15807"/>
    <w:rsid w:val="00A17899"/>
    <w:rsid w:val="00A2046F"/>
    <w:rsid w:val="00A218B0"/>
    <w:rsid w:val="00A26F33"/>
    <w:rsid w:val="00A26FF4"/>
    <w:rsid w:val="00A312E7"/>
    <w:rsid w:val="00A32127"/>
    <w:rsid w:val="00A3600E"/>
    <w:rsid w:val="00A400D7"/>
    <w:rsid w:val="00A446EF"/>
    <w:rsid w:val="00A44A27"/>
    <w:rsid w:val="00A47779"/>
    <w:rsid w:val="00A503DD"/>
    <w:rsid w:val="00A5044B"/>
    <w:rsid w:val="00A5771C"/>
    <w:rsid w:val="00A57BF0"/>
    <w:rsid w:val="00A66744"/>
    <w:rsid w:val="00A6693E"/>
    <w:rsid w:val="00A74F46"/>
    <w:rsid w:val="00A75B95"/>
    <w:rsid w:val="00A77325"/>
    <w:rsid w:val="00A80515"/>
    <w:rsid w:val="00A92190"/>
    <w:rsid w:val="00A94553"/>
    <w:rsid w:val="00A97EED"/>
    <w:rsid w:val="00AA078F"/>
    <w:rsid w:val="00AA2C67"/>
    <w:rsid w:val="00AB0021"/>
    <w:rsid w:val="00AB561C"/>
    <w:rsid w:val="00AB751D"/>
    <w:rsid w:val="00AC093E"/>
    <w:rsid w:val="00AC2145"/>
    <w:rsid w:val="00AC4180"/>
    <w:rsid w:val="00AC7733"/>
    <w:rsid w:val="00AE546F"/>
    <w:rsid w:val="00AE7F43"/>
    <w:rsid w:val="00AF1386"/>
    <w:rsid w:val="00AF1F5D"/>
    <w:rsid w:val="00AF2AA8"/>
    <w:rsid w:val="00AF54F2"/>
    <w:rsid w:val="00AF57B9"/>
    <w:rsid w:val="00AF7927"/>
    <w:rsid w:val="00B055C4"/>
    <w:rsid w:val="00B07B36"/>
    <w:rsid w:val="00B12EE1"/>
    <w:rsid w:val="00B13308"/>
    <w:rsid w:val="00B1436C"/>
    <w:rsid w:val="00B16F1A"/>
    <w:rsid w:val="00B178CA"/>
    <w:rsid w:val="00B2093B"/>
    <w:rsid w:val="00B20CB5"/>
    <w:rsid w:val="00B22CBA"/>
    <w:rsid w:val="00B244C7"/>
    <w:rsid w:val="00B30B55"/>
    <w:rsid w:val="00B31A2C"/>
    <w:rsid w:val="00B327A0"/>
    <w:rsid w:val="00B32BA7"/>
    <w:rsid w:val="00B34413"/>
    <w:rsid w:val="00B364C3"/>
    <w:rsid w:val="00B37EB5"/>
    <w:rsid w:val="00B404E4"/>
    <w:rsid w:val="00B41AC5"/>
    <w:rsid w:val="00B440E3"/>
    <w:rsid w:val="00B44342"/>
    <w:rsid w:val="00B44597"/>
    <w:rsid w:val="00B55382"/>
    <w:rsid w:val="00B637CA"/>
    <w:rsid w:val="00B657B3"/>
    <w:rsid w:val="00B65ED7"/>
    <w:rsid w:val="00B66581"/>
    <w:rsid w:val="00B70C4B"/>
    <w:rsid w:val="00B72D29"/>
    <w:rsid w:val="00B731FD"/>
    <w:rsid w:val="00B7380C"/>
    <w:rsid w:val="00B74686"/>
    <w:rsid w:val="00B75142"/>
    <w:rsid w:val="00B80214"/>
    <w:rsid w:val="00B80A88"/>
    <w:rsid w:val="00B8229B"/>
    <w:rsid w:val="00B8526F"/>
    <w:rsid w:val="00B870C5"/>
    <w:rsid w:val="00B9074A"/>
    <w:rsid w:val="00B91AE5"/>
    <w:rsid w:val="00B91C2E"/>
    <w:rsid w:val="00B921F6"/>
    <w:rsid w:val="00B92675"/>
    <w:rsid w:val="00B92A9A"/>
    <w:rsid w:val="00B94AFC"/>
    <w:rsid w:val="00B956DB"/>
    <w:rsid w:val="00B96B50"/>
    <w:rsid w:val="00B96E3E"/>
    <w:rsid w:val="00BA07E4"/>
    <w:rsid w:val="00BA2E47"/>
    <w:rsid w:val="00BA419B"/>
    <w:rsid w:val="00BA517D"/>
    <w:rsid w:val="00BB0139"/>
    <w:rsid w:val="00BC00EC"/>
    <w:rsid w:val="00BC2DAD"/>
    <w:rsid w:val="00BC33A9"/>
    <w:rsid w:val="00BC5230"/>
    <w:rsid w:val="00BC6AE9"/>
    <w:rsid w:val="00BD30EE"/>
    <w:rsid w:val="00BD35DA"/>
    <w:rsid w:val="00BD38E3"/>
    <w:rsid w:val="00BE0BDF"/>
    <w:rsid w:val="00BE19D9"/>
    <w:rsid w:val="00BF4D66"/>
    <w:rsid w:val="00BF59EB"/>
    <w:rsid w:val="00BF71B7"/>
    <w:rsid w:val="00BF7A9C"/>
    <w:rsid w:val="00C008EE"/>
    <w:rsid w:val="00C03220"/>
    <w:rsid w:val="00C044B8"/>
    <w:rsid w:val="00C0490B"/>
    <w:rsid w:val="00C062EA"/>
    <w:rsid w:val="00C10348"/>
    <w:rsid w:val="00C133FF"/>
    <w:rsid w:val="00C20A3D"/>
    <w:rsid w:val="00C21D34"/>
    <w:rsid w:val="00C270DE"/>
    <w:rsid w:val="00C31C34"/>
    <w:rsid w:val="00C323B5"/>
    <w:rsid w:val="00C368A7"/>
    <w:rsid w:val="00C44100"/>
    <w:rsid w:val="00C45300"/>
    <w:rsid w:val="00C453EA"/>
    <w:rsid w:val="00C47BEB"/>
    <w:rsid w:val="00C53604"/>
    <w:rsid w:val="00C54932"/>
    <w:rsid w:val="00C54C7F"/>
    <w:rsid w:val="00C554F8"/>
    <w:rsid w:val="00C63F5F"/>
    <w:rsid w:val="00C64A0D"/>
    <w:rsid w:val="00C64FC7"/>
    <w:rsid w:val="00C72C56"/>
    <w:rsid w:val="00C81A7E"/>
    <w:rsid w:val="00C8450C"/>
    <w:rsid w:val="00C867FC"/>
    <w:rsid w:val="00C87B28"/>
    <w:rsid w:val="00C87BEC"/>
    <w:rsid w:val="00C87E22"/>
    <w:rsid w:val="00CC216A"/>
    <w:rsid w:val="00CC4089"/>
    <w:rsid w:val="00CC6839"/>
    <w:rsid w:val="00CC72DD"/>
    <w:rsid w:val="00CC7BC0"/>
    <w:rsid w:val="00CD1B43"/>
    <w:rsid w:val="00CD3E3A"/>
    <w:rsid w:val="00CD5BE4"/>
    <w:rsid w:val="00CE0F1A"/>
    <w:rsid w:val="00CE4E3C"/>
    <w:rsid w:val="00CF5618"/>
    <w:rsid w:val="00CF60EB"/>
    <w:rsid w:val="00D0401C"/>
    <w:rsid w:val="00D04D80"/>
    <w:rsid w:val="00D05C21"/>
    <w:rsid w:val="00D07AC9"/>
    <w:rsid w:val="00D11A83"/>
    <w:rsid w:val="00D15B78"/>
    <w:rsid w:val="00D16411"/>
    <w:rsid w:val="00D16A7D"/>
    <w:rsid w:val="00D177A9"/>
    <w:rsid w:val="00D20931"/>
    <w:rsid w:val="00D27DCF"/>
    <w:rsid w:val="00D30330"/>
    <w:rsid w:val="00D31778"/>
    <w:rsid w:val="00D3448C"/>
    <w:rsid w:val="00D354EB"/>
    <w:rsid w:val="00D43D56"/>
    <w:rsid w:val="00D44A2C"/>
    <w:rsid w:val="00D4524D"/>
    <w:rsid w:val="00D461D6"/>
    <w:rsid w:val="00D52B36"/>
    <w:rsid w:val="00D55F52"/>
    <w:rsid w:val="00D57282"/>
    <w:rsid w:val="00D573C9"/>
    <w:rsid w:val="00D5781D"/>
    <w:rsid w:val="00D63A98"/>
    <w:rsid w:val="00D64148"/>
    <w:rsid w:val="00D646D9"/>
    <w:rsid w:val="00D66FAE"/>
    <w:rsid w:val="00D67FD7"/>
    <w:rsid w:val="00D70631"/>
    <w:rsid w:val="00D70DE4"/>
    <w:rsid w:val="00D72D8E"/>
    <w:rsid w:val="00D80671"/>
    <w:rsid w:val="00D84A96"/>
    <w:rsid w:val="00D862A6"/>
    <w:rsid w:val="00D90085"/>
    <w:rsid w:val="00D92831"/>
    <w:rsid w:val="00D9338C"/>
    <w:rsid w:val="00D9446B"/>
    <w:rsid w:val="00D95288"/>
    <w:rsid w:val="00D969E1"/>
    <w:rsid w:val="00DA01AD"/>
    <w:rsid w:val="00DA589D"/>
    <w:rsid w:val="00DA7A2A"/>
    <w:rsid w:val="00DB257A"/>
    <w:rsid w:val="00DB67A5"/>
    <w:rsid w:val="00DC1998"/>
    <w:rsid w:val="00DD165B"/>
    <w:rsid w:val="00DD28B0"/>
    <w:rsid w:val="00DD5BEA"/>
    <w:rsid w:val="00DD7FFB"/>
    <w:rsid w:val="00DE4DD6"/>
    <w:rsid w:val="00DF28EB"/>
    <w:rsid w:val="00DF425B"/>
    <w:rsid w:val="00DF6592"/>
    <w:rsid w:val="00E009F8"/>
    <w:rsid w:val="00E02E17"/>
    <w:rsid w:val="00E02FC8"/>
    <w:rsid w:val="00E03F3C"/>
    <w:rsid w:val="00E04DB7"/>
    <w:rsid w:val="00E05DC1"/>
    <w:rsid w:val="00E0608F"/>
    <w:rsid w:val="00E065FE"/>
    <w:rsid w:val="00E1525C"/>
    <w:rsid w:val="00E1669A"/>
    <w:rsid w:val="00E17D93"/>
    <w:rsid w:val="00E243B9"/>
    <w:rsid w:val="00E33DA7"/>
    <w:rsid w:val="00E35B4B"/>
    <w:rsid w:val="00E41BCA"/>
    <w:rsid w:val="00E43984"/>
    <w:rsid w:val="00E51AA6"/>
    <w:rsid w:val="00E55C7D"/>
    <w:rsid w:val="00E60063"/>
    <w:rsid w:val="00E660CC"/>
    <w:rsid w:val="00E84CBF"/>
    <w:rsid w:val="00E85F70"/>
    <w:rsid w:val="00E86BAC"/>
    <w:rsid w:val="00E96B37"/>
    <w:rsid w:val="00EA092F"/>
    <w:rsid w:val="00EA1C5D"/>
    <w:rsid w:val="00EA2426"/>
    <w:rsid w:val="00EA383E"/>
    <w:rsid w:val="00EA4E70"/>
    <w:rsid w:val="00EA686A"/>
    <w:rsid w:val="00EB5222"/>
    <w:rsid w:val="00EC1431"/>
    <w:rsid w:val="00EC1C27"/>
    <w:rsid w:val="00EC1E84"/>
    <w:rsid w:val="00EC3A3D"/>
    <w:rsid w:val="00EC61C2"/>
    <w:rsid w:val="00EC667D"/>
    <w:rsid w:val="00EC797E"/>
    <w:rsid w:val="00ED65F7"/>
    <w:rsid w:val="00ED6D85"/>
    <w:rsid w:val="00EF098D"/>
    <w:rsid w:val="00EF1F21"/>
    <w:rsid w:val="00EF2976"/>
    <w:rsid w:val="00EF4FA6"/>
    <w:rsid w:val="00EF54F4"/>
    <w:rsid w:val="00F12B0D"/>
    <w:rsid w:val="00F133D7"/>
    <w:rsid w:val="00F20882"/>
    <w:rsid w:val="00F2369A"/>
    <w:rsid w:val="00F23ABC"/>
    <w:rsid w:val="00F246F9"/>
    <w:rsid w:val="00F30BE7"/>
    <w:rsid w:val="00F3164E"/>
    <w:rsid w:val="00F33E2F"/>
    <w:rsid w:val="00F34EBE"/>
    <w:rsid w:val="00F370C4"/>
    <w:rsid w:val="00F42607"/>
    <w:rsid w:val="00F43E98"/>
    <w:rsid w:val="00F44751"/>
    <w:rsid w:val="00F51220"/>
    <w:rsid w:val="00F54D3E"/>
    <w:rsid w:val="00F569BC"/>
    <w:rsid w:val="00F57301"/>
    <w:rsid w:val="00F60509"/>
    <w:rsid w:val="00F62DFC"/>
    <w:rsid w:val="00F644D5"/>
    <w:rsid w:val="00F65B06"/>
    <w:rsid w:val="00F72583"/>
    <w:rsid w:val="00F748E9"/>
    <w:rsid w:val="00F74D00"/>
    <w:rsid w:val="00F80FAA"/>
    <w:rsid w:val="00F81392"/>
    <w:rsid w:val="00F81779"/>
    <w:rsid w:val="00F90990"/>
    <w:rsid w:val="00F91C6A"/>
    <w:rsid w:val="00F9613F"/>
    <w:rsid w:val="00F96679"/>
    <w:rsid w:val="00FA31B0"/>
    <w:rsid w:val="00FA34EC"/>
    <w:rsid w:val="00FA65D0"/>
    <w:rsid w:val="00FB16F6"/>
    <w:rsid w:val="00FB4264"/>
    <w:rsid w:val="00FB76BC"/>
    <w:rsid w:val="00FC0313"/>
    <w:rsid w:val="00FC05E9"/>
    <w:rsid w:val="00FC4668"/>
    <w:rsid w:val="00FC5EAA"/>
    <w:rsid w:val="00FC72F4"/>
    <w:rsid w:val="00FD527D"/>
    <w:rsid w:val="00FD7C5A"/>
    <w:rsid w:val="00FE1AEB"/>
    <w:rsid w:val="00FE28AA"/>
    <w:rsid w:val="00FE3A24"/>
    <w:rsid w:val="00FE5037"/>
    <w:rsid w:val="00FF0321"/>
    <w:rsid w:val="00FF0DFB"/>
    <w:rsid w:val="00FF3197"/>
    <w:rsid w:val="00FF3A88"/>
    <w:rsid w:val="00FF5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78AF9"/>
  <w15:chartTrackingRefBased/>
  <w15:docId w15:val="{59C3476E-37C6-474E-B417-8BF9C000C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DE4"/>
    <w:rPr>
      <w:rFonts w:ascii="Times New Roman" w:hAnsi="Times New Roman"/>
    </w:rPr>
  </w:style>
  <w:style w:type="paragraph" w:styleId="Heading1">
    <w:name w:val="heading 1"/>
    <w:basedOn w:val="Normal"/>
    <w:next w:val="Normal"/>
    <w:link w:val="Heading1Char"/>
    <w:uiPriority w:val="9"/>
    <w:qFormat/>
    <w:rsid w:val="00017C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C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C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C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C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C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C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C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C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70667B"/>
    <w:pPr>
      <w:spacing w:before="120" w:after="320" w:line="240" w:lineRule="auto"/>
      <w:jc w:val="both"/>
    </w:pPr>
    <w:rPr>
      <w:b/>
      <w:bCs/>
      <w:i/>
      <w:sz w:val="20"/>
      <w:szCs w:val="18"/>
    </w:rPr>
  </w:style>
  <w:style w:type="character" w:customStyle="1" w:styleId="Heading1Char">
    <w:name w:val="Heading 1 Char"/>
    <w:basedOn w:val="DefaultParagraphFont"/>
    <w:link w:val="Heading1"/>
    <w:uiPriority w:val="9"/>
    <w:rsid w:val="00017C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C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C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C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C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C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C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C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CE1"/>
    <w:rPr>
      <w:rFonts w:eastAsiaTheme="majorEastAsia" w:cstheme="majorBidi"/>
      <w:color w:val="272727" w:themeColor="text1" w:themeTint="D8"/>
    </w:rPr>
  </w:style>
  <w:style w:type="paragraph" w:styleId="Title">
    <w:name w:val="Title"/>
    <w:basedOn w:val="Normal"/>
    <w:next w:val="Normal"/>
    <w:link w:val="TitleChar"/>
    <w:uiPriority w:val="10"/>
    <w:qFormat/>
    <w:rsid w:val="00017C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C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C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C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CE1"/>
    <w:pPr>
      <w:spacing w:before="160"/>
      <w:jc w:val="center"/>
    </w:pPr>
    <w:rPr>
      <w:i/>
      <w:iCs/>
      <w:color w:val="404040" w:themeColor="text1" w:themeTint="BF"/>
    </w:rPr>
  </w:style>
  <w:style w:type="character" w:customStyle="1" w:styleId="QuoteChar">
    <w:name w:val="Quote Char"/>
    <w:basedOn w:val="DefaultParagraphFont"/>
    <w:link w:val="Quote"/>
    <w:uiPriority w:val="29"/>
    <w:rsid w:val="00017CE1"/>
    <w:rPr>
      <w:i/>
      <w:iCs/>
      <w:color w:val="404040" w:themeColor="text1" w:themeTint="BF"/>
    </w:rPr>
  </w:style>
  <w:style w:type="paragraph" w:styleId="ListParagraph">
    <w:name w:val="List Paragraph"/>
    <w:basedOn w:val="Normal"/>
    <w:uiPriority w:val="34"/>
    <w:qFormat/>
    <w:rsid w:val="00017CE1"/>
    <w:pPr>
      <w:ind w:left="720"/>
      <w:contextualSpacing/>
    </w:pPr>
  </w:style>
  <w:style w:type="character" w:styleId="IntenseEmphasis">
    <w:name w:val="Intense Emphasis"/>
    <w:basedOn w:val="DefaultParagraphFont"/>
    <w:uiPriority w:val="21"/>
    <w:qFormat/>
    <w:rsid w:val="00017CE1"/>
    <w:rPr>
      <w:i/>
      <w:iCs/>
      <w:color w:val="0F4761" w:themeColor="accent1" w:themeShade="BF"/>
    </w:rPr>
  </w:style>
  <w:style w:type="paragraph" w:styleId="IntenseQuote">
    <w:name w:val="Intense Quote"/>
    <w:basedOn w:val="Normal"/>
    <w:next w:val="Normal"/>
    <w:link w:val="IntenseQuoteChar"/>
    <w:uiPriority w:val="30"/>
    <w:qFormat/>
    <w:rsid w:val="00017C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CE1"/>
    <w:rPr>
      <w:i/>
      <w:iCs/>
      <w:color w:val="0F4761" w:themeColor="accent1" w:themeShade="BF"/>
    </w:rPr>
  </w:style>
  <w:style w:type="character" w:styleId="IntenseReference">
    <w:name w:val="Intense Reference"/>
    <w:basedOn w:val="DefaultParagraphFont"/>
    <w:uiPriority w:val="32"/>
    <w:qFormat/>
    <w:rsid w:val="00017CE1"/>
    <w:rPr>
      <w:b/>
      <w:bCs/>
      <w:smallCaps/>
      <w:color w:val="0F4761" w:themeColor="accent1" w:themeShade="BF"/>
      <w:spacing w:val="5"/>
    </w:rPr>
  </w:style>
  <w:style w:type="paragraph" w:styleId="NoSpacing">
    <w:name w:val="No Spacing"/>
    <w:aliases w:val="Section Heading"/>
    <w:uiPriority w:val="1"/>
    <w:qFormat/>
    <w:rsid w:val="00FE3A24"/>
    <w:pPr>
      <w:spacing w:before="120" w:after="120" w:line="240" w:lineRule="auto"/>
    </w:pPr>
    <w:rPr>
      <w:rFonts w:ascii="Times New Roman" w:hAnsi="Times New Roman"/>
      <w:b/>
      <w:u w:val="single"/>
    </w:rPr>
  </w:style>
  <w:style w:type="character" w:styleId="CommentReference">
    <w:name w:val="annotation reference"/>
    <w:basedOn w:val="DefaultParagraphFont"/>
    <w:uiPriority w:val="99"/>
    <w:semiHidden/>
    <w:unhideWhenUsed/>
    <w:rsid w:val="00874538"/>
    <w:rPr>
      <w:sz w:val="16"/>
      <w:szCs w:val="16"/>
    </w:rPr>
  </w:style>
  <w:style w:type="paragraph" w:styleId="CommentText">
    <w:name w:val="annotation text"/>
    <w:basedOn w:val="Normal"/>
    <w:link w:val="CommentTextChar"/>
    <w:uiPriority w:val="99"/>
    <w:unhideWhenUsed/>
    <w:rsid w:val="00874538"/>
    <w:pPr>
      <w:spacing w:line="240" w:lineRule="auto"/>
    </w:pPr>
    <w:rPr>
      <w:sz w:val="20"/>
      <w:szCs w:val="20"/>
    </w:rPr>
  </w:style>
  <w:style w:type="character" w:customStyle="1" w:styleId="CommentTextChar">
    <w:name w:val="Comment Text Char"/>
    <w:basedOn w:val="DefaultParagraphFont"/>
    <w:link w:val="CommentText"/>
    <w:uiPriority w:val="99"/>
    <w:rsid w:val="00874538"/>
    <w:rPr>
      <w:sz w:val="20"/>
      <w:szCs w:val="20"/>
    </w:rPr>
  </w:style>
  <w:style w:type="paragraph" w:styleId="CommentSubject">
    <w:name w:val="annotation subject"/>
    <w:basedOn w:val="CommentText"/>
    <w:next w:val="CommentText"/>
    <w:link w:val="CommentSubjectChar"/>
    <w:uiPriority w:val="99"/>
    <w:semiHidden/>
    <w:unhideWhenUsed/>
    <w:rsid w:val="00874538"/>
    <w:rPr>
      <w:b/>
      <w:bCs/>
    </w:rPr>
  </w:style>
  <w:style w:type="character" w:customStyle="1" w:styleId="CommentSubjectChar">
    <w:name w:val="Comment Subject Char"/>
    <w:basedOn w:val="CommentTextChar"/>
    <w:link w:val="CommentSubject"/>
    <w:uiPriority w:val="99"/>
    <w:semiHidden/>
    <w:rsid w:val="00874538"/>
    <w:rPr>
      <w:b/>
      <w:bCs/>
      <w:sz w:val="20"/>
      <w:szCs w:val="20"/>
    </w:rPr>
  </w:style>
  <w:style w:type="character" w:styleId="PlaceholderText">
    <w:name w:val="Placeholder Text"/>
    <w:basedOn w:val="DefaultParagraphFont"/>
    <w:uiPriority w:val="99"/>
    <w:semiHidden/>
    <w:rsid w:val="00C45300"/>
    <w:rPr>
      <w:color w:val="666666"/>
    </w:rPr>
  </w:style>
  <w:style w:type="paragraph" w:customStyle="1" w:styleId="DecimalAligned">
    <w:name w:val="Decimal Aligned"/>
    <w:basedOn w:val="Normal"/>
    <w:uiPriority w:val="40"/>
    <w:qFormat/>
    <w:rsid w:val="000B5108"/>
    <w:pPr>
      <w:tabs>
        <w:tab w:val="decimal" w:pos="360"/>
      </w:tabs>
      <w:spacing w:after="200" w:line="276" w:lineRule="auto"/>
    </w:pPr>
    <w:rPr>
      <w:rFonts w:asciiTheme="minorHAnsi" w:eastAsiaTheme="minorEastAsia" w:hAnsiTheme="minorHAnsi" w:cs="Times New Roman"/>
      <w:kern w:val="0"/>
      <w14:ligatures w14:val="none"/>
    </w:rPr>
  </w:style>
  <w:style w:type="paragraph" w:styleId="FootnoteText">
    <w:name w:val="footnote text"/>
    <w:basedOn w:val="Normal"/>
    <w:link w:val="FootnoteTextChar"/>
    <w:uiPriority w:val="99"/>
    <w:unhideWhenUsed/>
    <w:rsid w:val="000B5108"/>
    <w:pPr>
      <w:spacing w:after="0" w:line="240" w:lineRule="auto"/>
    </w:pPr>
    <w:rPr>
      <w:rFonts w:asciiTheme="minorHAnsi" w:eastAsiaTheme="minorEastAsia" w:hAnsiTheme="minorHAnsi" w:cs="Times New Roman"/>
      <w:kern w:val="0"/>
      <w:sz w:val="20"/>
      <w:szCs w:val="20"/>
      <w14:ligatures w14:val="none"/>
    </w:rPr>
  </w:style>
  <w:style w:type="character" w:customStyle="1" w:styleId="FootnoteTextChar">
    <w:name w:val="Footnote Text Char"/>
    <w:basedOn w:val="DefaultParagraphFont"/>
    <w:link w:val="FootnoteText"/>
    <w:uiPriority w:val="99"/>
    <w:rsid w:val="000B5108"/>
    <w:rPr>
      <w:rFonts w:eastAsiaTheme="minorEastAsia" w:cs="Times New Roman"/>
      <w:kern w:val="0"/>
      <w:sz w:val="20"/>
      <w:szCs w:val="20"/>
      <w14:ligatures w14:val="none"/>
    </w:rPr>
  </w:style>
  <w:style w:type="character" w:styleId="SubtleEmphasis">
    <w:name w:val="Subtle Emphasis"/>
    <w:basedOn w:val="DefaultParagraphFont"/>
    <w:uiPriority w:val="19"/>
    <w:qFormat/>
    <w:rsid w:val="000B5108"/>
    <w:rPr>
      <w:i/>
      <w:iCs/>
    </w:rPr>
  </w:style>
  <w:style w:type="table" w:styleId="LightShading-Accent1">
    <w:name w:val="Light Shading Accent 1"/>
    <w:basedOn w:val="TableNormal"/>
    <w:uiPriority w:val="60"/>
    <w:rsid w:val="000B5108"/>
    <w:pPr>
      <w:spacing w:after="0" w:line="240" w:lineRule="auto"/>
    </w:pPr>
    <w:rPr>
      <w:rFonts w:eastAsiaTheme="minorEastAsia"/>
      <w:color w:val="0F4761" w:themeColor="accent1" w:themeShade="BF"/>
      <w:kern w:val="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paragraph" w:styleId="Bibliography">
    <w:name w:val="Bibliography"/>
    <w:basedOn w:val="Normal"/>
    <w:next w:val="Normal"/>
    <w:uiPriority w:val="37"/>
    <w:unhideWhenUsed/>
    <w:rsid w:val="00017EAA"/>
    <w:pPr>
      <w:spacing w:after="0" w:line="480" w:lineRule="auto"/>
      <w:ind w:left="720" w:hanging="720"/>
    </w:pPr>
  </w:style>
  <w:style w:type="character" w:styleId="Hyperlink">
    <w:name w:val="Hyperlink"/>
    <w:basedOn w:val="DefaultParagraphFont"/>
    <w:uiPriority w:val="99"/>
    <w:unhideWhenUsed/>
    <w:rsid w:val="009B2074"/>
    <w:rPr>
      <w:color w:val="467886" w:themeColor="hyperlink"/>
      <w:u w:val="single"/>
    </w:rPr>
  </w:style>
  <w:style w:type="character" w:styleId="UnresolvedMention">
    <w:name w:val="Unresolved Mention"/>
    <w:basedOn w:val="DefaultParagraphFont"/>
    <w:uiPriority w:val="99"/>
    <w:semiHidden/>
    <w:unhideWhenUsed/>
    <w:rsid w:val="009B2074"/>
    <w:rPr>
      <w:color w:val="605E5C"/>
      <w:shd w:val="clear" w:color="auto" w:fill="E1DFDD"/>
    </w:rPr>
  </w:style>
  <w:style w:type="character" w:styleId="LineNumber">
    <w:name w:val="line number"/>
    <w:basedOn w:val="DefaultParagraphFont"/>
    <w:uiPriority w:val="99"/>
    <w:semiHidden/>
    <w:unhideWhenUsed/>
    <w:rsid w:val="00337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0DE31-B52B-439A-B2D0-16513D0E5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7406</TotalTime>
  <Pages>6</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Nebraska</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Engsberg</dc:creator>
  <cp:keywords/>
  <dc:description/>
  <cp:lastModifiedBy>Mukul Mukherjee</cp:lastModifiedBy>
  <cp:revision>598</cp:revision>
  <cp:lastPrinted>2026-04-15T15:48:00Z</cp:lastPrinted>
  <dcterms:created xsi:type="dcterms:W3CDTF">2024-11-08T20:40:00Z</dcterms:created>
  <dcterms:modified xsi:type="dcterms:W3CDTF">2026-06-15T14:11:00Z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id="VM5nvtez"/&gt;&lt;style id="http://www.zotero.org/styles/apa" locale="en-US" hasBibliography="1" bibliographyStyleHasBeenSet="1"/&gt;&lt;prefs&gt;&lt;pref name="fieldType" value="Field"/&gt;&lt;/prefs&gt;&lt;/data&gt;</vt:lpwstr>
  </property>
</Properties>
</file>