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440CC" w14:textId="77777777" w:rsidR="00AB21C0" w:rsidRDefault="00AB21C0" w:rsidP="00AB21C0">
      <w:pPr>
        <w:pStyle w:val="Heading1"/>
      </w:pPr>
      <w:r>
        <w:rPr>
          <w:rFonts w:ascii="Times New Roman" w:eastAsia="Times New Roman" w:hAnsi="Times New Roman"/>
          <w:sz w:val="24"/>
        </w:rPr>
        <w:t>Supplementary figure legends</w:t>
      </w:r>
    </w:p>
    <w:p w14:paraId="42568AFB" w14:textId="77777777" w:rsidR="00AB21C0" w:rsidRDefault="00AB21C0" w:rsidP="00AB21C0">
      <w:pPr>
        <w:pStyle w:val="Heading2"/>
      </w:pPr>
      <w:r>
        <w:t>Supplementary Figure S6. Kaplan-Meier survival by PNI group.</w:t>
      </w:r>
    </w:p>
    <w:p w14:paraId="0D1E93DB" w14:textId="77777777" w:rsidR="00AB21C0" w:rsidRDefault="00AB21C0" w:rsidP="00AB21C0">
      <w:r>
        <w:t>Kaplan-Meier estimates of all-cause survival in patients with low PNI (&lt;46.19) versus high PNI (≥46.19). (A) Primary cohort over 60 months of follow-up (low PNI, n = 1,633; high PNI, n = 2,010). (B) MIMIC-IV cohort over the 365-day (12-month) fixed window (low PNI, n = 1,620; high PNI, n = 352). Shaded areas are 95% confidence intervals; numbers at risk are shown below each panel. The two cohorts differ in follow-up design (open-ended chronic follow-up versus a 365-day fixed window), and the horizontal-axis scales differ accordingly. This figure is descriptive; adjusted hazard ratios are reported in Table 2 and Table 3. Log-rank P &lt; 0.001 in both cohorts.</w:t>
      </w:r>
    </w:p>
    <w:p w14:paraId="691AF5C6" w14:textId="77777777" w:rsidR="00AB21C0" w:rsidRDefault="00AB21C0" w:rsidP="00AB21C0">
      <w:pPr>
        <w:pStyle w:val="Heading2"/>
      </w:pPr>
      <w:r>
        <w:t>Supplementary Figure S7. Restricted cubic spline dose-response for albumin and PNI on a standardized scale.</w:t>
      </w:r>
    </w:p>
    <w:p w14:paraId="4A539621" w14:textId="77777777" w:rsidR="00AB21C0" w:rsidRDefault="00AB21C0" w:rsidP="00AB21C0">
      <w:r>
        <w:t>Cox restricted cubic spline curves (4 knots) for serum albumin and PNI in (A) the primary cohort (full biomarker-adjusted model, full follow-up) and (B) MIMIC-IV (parsimonious model, 365-day endpoint). To allow two markers measured on different native scales to be compared directly, the horizontal axis shows each marker standardized as (value − median)/SD using its own median and SD, so that both curves are referenced to a hazard ratio of 1 at the marker median; curves are displayed over approximately the 5th-95th percentile and shaded areas are 95% confidence intervals. The albumin and PNI curves closely overlapped in both cohorts, consistent with an albumin-dominated dose-response. The vertical dotted line marks the PNI cut-off of 46.19 and applies to the PNI curve only. The upward inflection at high marker values in panel A lies in a sparse, wide-confidence-interval region and is not statistically significant.</w:t>
      </w:r>
    </w:p>
    <w:p w14:paraId="7F93FF03" w14:textId="77777777" w:rsidR="00AB21C0" w:rsidRDefault="00AB21C0" w:rsidP="00AB21C0">
      <w:r>
        <w:br w:type="page"/>
      </w:r>
    </w:p>
    <w:p w14:paraId="6BAB0F2C" w14:textId="77777777" w:rsidR="00AB21C0" w:rsidRDefault="00AB21C0" w:rsidP="00AB21C0">
      <w:pPr>
        <w:pStyle w:val="Heading1"/>
      </w:pPr>
      <w:r>
        <w:rPr>
          <w:rFonts w:ascii="Times New Roman" w:eastAsia="Times New Roman" w:hAnsi="Times New Roman"/>
          <w:sz w:val="24"/>
        </w:rPr>
        <w:lastRenderedPageBreak/>
        <w:t>Supplementary material</w:t>
      </w:r>
    </w:p>
    <w:p w14:paraId="1C71F935" w14:textId="77777777" w:rsidR="00AB21C0" w:rsidRDefault="00AB21C0" w:rsidP="00AB21C0">
      <w:r>
        <w:t>Supplementary Tables S1–S8 and Supplementary Figures S1–S7 are provided in the Supplementary Information.</w:t>
      </w:r>
    </w:p>
    <w:p w14:paraId="04EE1DAE" w14:textId="77777777" w:rsidR="00DC2479" w:rsidRDefault="00DC2479"/>
    <w:sectPr w:rsidR="00DC2479" w:rsidSect="00AB21C0">
      <w:pgSz w:w="11906" w:h="16838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C0"/>
    <w:rsid w:val="005B6877"/>
    <w:rsid w:val="00AA0C39"/>
    <w:rsid w:val="00AB21C0"/>
    <w:rsid w:val="00CF5EC8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7FA98"/>
  <w15:chartTrackingRefBased/>
  <w15:docId w15:val="{1EB31106-0906-4672-A7D4-119314E2F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1C0"/>
    <w:pPr>
      <w:spacing w:after="0" w:line="360" w:lineRule="auto"/>
    </w:pPr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21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21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21C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1C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1C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1C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1C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1C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1C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1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B21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21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1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1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1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1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1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1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21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B2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1C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B2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21C0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B21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21C0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B21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1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1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21C0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2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2026-07-24T17:59:00Z</dcterms:created>
  <dcterms:modified xsi:type="dcterms:W3CDTF">2026-07-24T17:59:00Z</dcterms:modified>
</cp:coreProperties>
</file>