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A614" w14:textId="77777777" w:rsidR="00E93D32" w:rsidRPr="007E61A7" w:rsidRDefault="00E93D32" w:rsidP="00E93D32">
      <w:pPr>
        <w:jc w:val="center"/>
        <w:rPr>
          <w:rFonts w:ascii="Calibri" w:hAnsi="Calibri" w:cs="Calibri"/>
          <w:b/>
          <w:bCs/>
        </w:rPr>
      </w:pPr>
      <w:r w:rsidRPr="007E61A7">
        <w:rPr>
          <w:rFonts w:ascii="Calibri" w:hAnsi="Calibri" w:cs="Calibri"/>
          <w:b/>
          <w:bCs/>
        </w:rPr>
        <w:t>Supplementary Material</w:t>
      </w:r>
    </w:p>
    <w:p w14:paraId="38CB9EBC" w14:textId="77777777" w:rsidR="007E61A7" w:rsidRPr="007E61A7" w:rsidRDefault="007E61A7" w:rsidP="00574DF9">
      <w:pPr>
        <w:rPr>
          <w:rFonts w:ascii="Calibri" w:hAnsi="Calibri" w:cs="Calibri"/>
          <w:b/>
          <w:bCs/>
        </w:rPr>
      </w:pPr>
    </w:p>
    <w:p w14:paraId="74266930" w14:textId="3B514B89" w:rsidR="00574DF9" w:rsidRPr="007E61A7" w:rsidRDefault="00574DF9" w:rsidP="00574DF9">
      <w:pPr>
        <w:rPr>
          <w:rFonts w:ascii="Calibri" w:hAnsi="Calibri" w:cs="Calibri"/>
          <w:b/>
          <w:bCs/>
        </w:rPr>
      </w:pPr>
      <w:r w:rsidRPr="007E61A7">
        <w:rPr>
          <w:rFonts w:ascii="Calibri" w:hAnsi="Calibri" w:cs="Calibri"/>
          <w:b/>
          <w:bCs/>
        </w:rPr>
        <w:t>S1. Introduction and Study Design</w:t>
      </w:r>
    </w:p>
    <w:p w14:paraId="009E4E07" w14:textId="77777777" w:rsidR="00574DF9" w:rsidRPr="007E61A7" w:rsidRDefault="00574DF9" w:rsidP="00574DF9">
      <w:pPr>
        <w:rPr>
          <w:rFonts w:ascii="Calibri" w:hAnsi="Calibri" w:cs="Calibri"/>
        </w:rPr>
      </w:pPr>
      <w:r w:rsidRPr="007E61A7">
        <w:rPr>
          <w:rFonts w:ascii="Calibri" w:hAnsi="Calibri" w:cs="Calibri"/>
        </w:rPr>
        <w:t>This supplementary document provides detailed methodological descriptions, extended statistical frameworks, and comprehensive secondary analyses supporting the main manuscript. The study evaluates the comparative cardiovascular safety of different androgen deprivation therapy (ADT) modalities and their interaction with longitudinal prostate-specific antigen (PSA) trajectories in patients with prostate cancer.</w:t>
      </w:r>
    </w:p>
    <w:p w14:paraId="5424121F" w14:textId="77777777" w:rsidR="00574DF9" w:rsidRPr="007E61A7" w:rsidRDefault="00574DF9" w:rsidP="00574DF9">
      <w:pPr>
        <w:rPr>
          <w:rFonts w:ascii="Calibri" w:hAnsi="Calibri" w:cs="Calibri"/>
          <w:b/>
          <w:bCs/>
        </w:rPr>
      </w:pPr>
      <w:r w:rsidRPr="007E61A7">
        <w:rPr>
          <w:rFonts w:ascii="Calibri" w:hAnsi="Calibri" w:cs="Calibri"/>
          <w:b/>
          <w:bCs/>
        </w:rPr>
        <w:t>S2. Extended Methodology</w:t>
      </w:r>
    </w:p>
    <w:p w14:paraId="06D81638" w14:textId="77777777" w:rsidR="00574DF9" w:rsidRPr="007E61A7" w:rsidRDefault="00574DF9" w:rsidP="00574DF9">
      <w:pPr>
        <w:rPr>
          <w:rFonts w:ascii="Calibri" w:hAnsi="Calibri" w:cs="Calibri"/>
          <w:b/>
          <w:bCs/>
        </w:rPr>
      </w:pPr>
      <w:r w:rsidRPr="007E61A7">
        <w:rPr>
          <w:rFonts w:ascii="Calibri" w:hAnsi="Calibri" w:cs="Calibri"/>
          <w:b/>
          <w:bCs/>
        </w:rPr>
        <w:t>S2.1. Data Sources and Cohort Selection</w:t>
      </w:r>
    </w:p>
    <w:p w14:paraId="1D3E10B6" w14:textId="77777777" w:rsidR="00D5096D" w:rsidRDefault="00574DF9" w:rsidP="00D5096D">
      <w:pPr>
        <w:spacing w:after="0"/>
        <w:rPr>
          <w:rFonts w:ascii="Calibri" w:hAnsi="Calibri" w:cs="Calibri"/>
        </w:rPr>
      </w:pPr>
      <w:r w:rsidRPr="007E61A7">
        <w:rPr>
          <w:rFonts w:ascii="Calibri" w:hAnsi="Calibri" w:cs="Calibri"/>
        </w:rPr>
        <w:t xml:space="preserve">The study population was derived from multi-centric longitudinal health databases. </w:t>
      </w:r>
      <w:r w:rsidR="00D5096D" w:rsidRPr="00D5096D">
        <w:rPr>
          <w:rFonts w:ascii="Calibri" w:hAnsi="Calibri" w:cs="Calibri"/>
        </w:rPr>
        <w:t xml:space="preserve">Patients were required to have a confirmed diagnosis of prostate cancer and a documented initiation of androgen deprivation therapy (ADT), classified into three modalities: </w:t>
      </w:r>
    </w:p>
    <w:p w14:paraId="22E9B2B3" w14:textId="77777777" w:rsidR="00D5096D" w:rsidRDefault="00D5096D" w:rsidP="00D5096D">
      <w:pPr>
        <w:spacing w:after="0"/>
        <w:ind w:left="708"/>
        <w:rPr>
          <w:rFonts w:ascii="Calibri" w:hAnsi="Calibri" w:cs="Calibri"/>
        </w:rPr>
      </w:pPr>
      <w:r w:rsidRPr="00D5096D">
        <w:rPr>
          <w:rFonts w:ascii="Calibri" w:hAnsi="Calibri" w:cs="Calibri"/>
        </w:rPr>
        <w:t>• </w:t>
      </w:r>
      <w:r w:rsidRPr="00D5096D">
        <w:rPr>
          <w:rFonts w:ascii="Calibri" w:hAnsi="Calibri" w:cs="Calibri"/>
          <w:b/>
          <w:bCs/>
        </w:rPr>
        <w:t>Surgical castration</w:t>
      </w:r>
      <w:r w:rsidRPr="00D5096D">
        <w:rPr>
          <w:rFonts w:ascii="Calibri" w:hAnsi="Calibri" w:cs="Calibri"/>
        </w:rPr>
        <w:t xml:space="preserve"> (bilateral orchiectomy) </w:t>
      </w:r>
    </w:p>
    <w:p w14:paraId="16E78F4C" w14:textId="77777777" w:rsidR="00D5096D" w:rsidRDefault="00D5096D" w:rsidP="00D5096D">
      <w:pPr>
        <w:spacing w:after="0"/>
        <w:ind w:left="708"/>
        <w:rPr>
          <w:rFonts w:ascii="Calibri" w:hAnsi="Calibri" w:cs="Calibri"/>
        </w:rPr>
      </w:pPr>
      <w:r w:rsidRPr="00D5096D">
        <w:rPr>
          <w:rFonts w:ascii="Calibri" w:hAnsi="Calibri" w:cs="Calibri"/>
        </w:rPr>
        <w:t>• </w:t>
      </w:r>
      <w:r w:rsidRPr="00D5096D">
        <w:rPr>
          <w:rFonts w:ascii="Calibri" w:hAnsi="Calibri" w:cs="Calibri"/>
          <w:b/>
          <w:bCs/>
        </w:rPr>
        <w:t>Medical castration</w:t>
      </w:r>
      <w:r w:rsidRPr="00D5096D">
        <w:rPr>
          <w:rFonts w:ascii="Calibri" w:hAnsi="Calibri" w:cs="Calibri"/>
        </w:rPr>
        <w:t xml:space="preserve"> (LHRH agonists or GnRH antagonists) </w:t>
      </w:r>
    </w:p>
    <w:p w14:paraId="38E44D38" w14:textId="77777777" w:rsidR="00D5096D" w:rsidRDefault="00D5096D" w:rsidP="00D5096D">
      <w:pPr>
        <w:spacing w:after="0"/>
        <w:ind w:left="708"/>
        <w:rPr>
          <w:rFonts w:ascii="Calibri" w:hAnsi="Calibri" w:cs="Calibri"/>
        </w:rPr>
      </w:pPr>
      <w:r w:rsidRPr="00D5096D">
        <w:rPr>
          <w:rFonts w:ascii="Calibri" w:hAnsi="Calibri" w:cs="Calibri"/>
        </w:rPr>
        <w:t>• </w:t>
      </w:r>
      <w:r w:rsidRPr="00D5096D">
        <w:rPr>
          <w:rFonts w:ascii="Calibri" w:hAnsi="Calibri" w:cs="Calibri"/>
          <w:b/>
          <w:bCs/>
        </w:rPr>
        <w:t>Deep castration</w:t>
      </w:r>
      <w:r w:rsidRPr="00D5096D">
        <w:rPr>
          <w:rFonts w:ascii="Calibri" w:hAnsi="Calibri" w:cs="Calibri"/>
        </w:rPr>
        <w:t>, defined as ADT combined with an androgen receptor pathway inhibitor (ARPI), including Bicalutamide, Enzalutamide, Abiraterone, Flutamide, Apalutamide, or Darolutamide.</w:t>
      </w:r>
    </w:p>
    <w:p w14:paraId="432C5B86" w14:textId="4CAA35F1" w:rsidR="00574DF9" w:rsidRPr="007E61A7" w:rsidRDefault="007E61A7" w:rsidP="00D5096D">
      <w:pPr>
        <w:spacing w:after="0"/>
        <w:rPr>
          <w:rFonts w:ascii="Calibri" w:hAnsi="Calibri" w:cs="Calibri"/>
          <w:b/>
          <w:bCs/>
        </w:rPr>
      </w:pPr>
      <w:r w:rsidRPr="007E61A7">
        <w:rPr>
          <w:rFonts w:ascii="Calibri" w:hAnsi="Calibri" w:cs="Calibri"/>
          <w:b/>
          <w:bCs/>
        </w:rPr>
        <w:br/>
      </w:r>
      <w:r w:rsidR="00574DF9" w:rsidRPr="007E61A7">
        <w:rPr>
          <w:rFonts w:ascii="Calibri" w:hAnsi="Calibri" w:cs="Calibri"/>
          <w:b/>
          <w:bCs/>
        </w:rPr>
        <w:t>S2.2. Endpoint Definitions</w:t>
      </w:r>
    </w:p>
    <w:p w14:paraId="17BFEE29" w14:textId="5EFD58A1" w:rsidR="00574DF9" w:rsidRPr="007E61A7" w:rsidRDefault="00574DF9" w:rsidP="007E61A7">
      <w:pPr>
        <w:spacing w:after="0"/>
        <w:rPr>
          <w:rFonts w:ascii="Calibri" w:hAnsi="Calibri" w:cs="Calibri"/>
        </w:rPr>
      </w:pPr>
      <w:r w:rsidRPr="007E61A7">
        <w:rPr>
          <w:rFonts w:ascii="Calibri" w:hAnsi="Calibri" w:cs="Calibri"/>
        </w:rPr>
        <w:t>The primary outcome was a 4-component Major Adverse Cardiovascular Event (MACE), defined as a composite of:</w:t>
      </w:r>
    </w:p>
    <w:p w14:paraId="39206380" w14:textId="77777777" w:rsidR="00574DF9" w:rsidRPr="007E61A7" w:rsidRDefault="00574DF9" w:rsidP="007E61A7">
      <w:pPr>
        <w:numPr>
          <w:ilvl w:val="0"/>
          <w:numId w:val="10"/>
        </w:numPr>
        <w:spacing w:after="0"/>
        <w:rPr>
          <w:rFonts w:ascii="Calibri" w:hAnsi="Calibri" w:cs="Calibri"/>
        </w:rPr>
      </w:pPr>
      <w:r w:rsidRPr="007E61A7">
        <w:rPr>
          <w:rFonts w:ascii="Calibri" w:hAnsi="Calibri" w:cs="Calibri"/>
        </w:rPr>
        <w:t>Cardiovascular mortality</w:t>
      </w:r>
    </w:p>
    <w:p w14:paraId="2A95FFB7" w14:textId="77777777" w:rsidR="00574DF9" w:rsidRPr="007E61A7" w:rsidRDefault="00574DF9" w:rsidP="007E61A7">
      <w:pPr>
        <w:numPr>
          <w:ilvl w:val="0"/>
          <w:numId w:val="10"/>
        </w:numPr>
        <w:spacing w:after="0"/>
        <w:rPr>
          <w:rFonts w:ascii="Calibri" w:hAnsi="Calibri" w:cs="Calibri"/>
        </w:rPr>
      </w:pPr>
      <w:r w:rsidRPr="007E61A7">
        <w:rPr>
          <w:rFonts w:ascii="Calibri" w:hAnsi="Calibri" w:cs="Calibri"/>
        </w:rPr>
        <w:t>Non-fatal myocardial infarction (MI)</w:t>
      </w:r>
    </w:p>
    <w:p w14:paraId="577FDDA1" w14:textId="77777777" w:rsidR="00574DF9" w:rsidRPr="007E61A7" w:rsidRDefault="00574DF9" w:rsidP="007E61A7">
      <w:pPr>
        <w:numPr>
          <w:ilvl w:val="0"/>
          <w:numId w:val="10"/>
        </w:numPr>
        <w:spacing w:after="0"/>
        <w:rPr>
          <w:rFonts w:ascii="Calibri" w:hAnsi="Calibri" w:cs="Calibri"/>
        </w:rPr>
      </w:pPr>
      <w:r w:rsidRPr="007E61A7">
        <w:rPr>
          <w:rFonts w:ascii="Calibri" w:hAnsi="Calibri" w:cs="Calibri"/>
        </w:rPr>
        <w:t>Non-fatal stroke</w:t>
      </w:r>
    </w:p>
    <w:p w14:paraId="5F6654A2" w14:textId="77777777" w:rsidR="00574DF9" w:rsidRPr="007E61A7" w:rsidRDefault="00574DF9" w:rsidP="007E61A7">
      <w:pPr>
        <w:numPr>
          <w:ilvl w:val="0"/>
          <w:numId w:val="10"/>
        </w:numPr>
        <w:spacing w:after="0"/>
        <w:rPr>
          <w:rFonts w:ascii="Calibri" w:hAnsi="Calibri" w:cs="Calibri"/>
        </w:rPr>
      </w:pPr>
      <w:r w:rsidRPr="007E61A7">
        <w:rPr>
          <w:rFonts w:ascii="Calibri" w:hAnsi="Calibri" w:cs="Calibri"/>
        </w:rPr>
        <w:t>Hospitalization for heart failure (HF)</w:t>
      </w:r>
    </w:p>
    <w:p w14:paraId="1E09FA93" w14:textId="24DC87C5" w:rsidR="00574DF9" w:rsidRPr="007E61A7" w:rsidRDefault="007E61A7" w:rsidP="00574DF9">
      <w:pPr>
        <w:rPr>
          <w:rFonts w:ascii="Calibri" w:hAnsi="Calibri" w:cs="Calibri"/>
        </w:rPr>
      </w:pPr>
      <w:r w:rsidRPr="007E61A7">
        <w:rPr>
          <w:rFonts w:ascii="Calibri" w:hAnsi="Calibri" w:cs="Calibri"/>
        </w:rPr>
        <w:br/>
      </w:r>
      <w:r w:rsidR="00574DF9" w:rsidRPr="007E61A7">
        <w:rPr>
          <w:rFonts w:ascii="Calibri" w:hAnsi="Calibri" w:cs="Calibri"/>
        </w:rPr>
        <w:t>Secondary outcomes included individual MACE components, new-onset atrial fibrillation (AF), unstable angina or coronary revascularization, venous thromboembolism (VTE), and all-cause mortality.</w:t>
      </w:r>
    </w:p>
    <w:p w14:paraId="7FDE8B14" w14:textId="77777777" w:rsidR="00574DF9" w:rsidRPr="007E61A7" w:rsidRDefault="00574DF9" w:rsidP="00574DF9">
      <w:pPr>
        <w:rPr>
          <w:rFonts w:ascii="Calibri" w:hAnsi="Calibri" w:cs="Calibri"/>
          <w:b/>
          <w:bCs/>
        </w:rPr>
      </w:pPr>
      <w:r w:rsidRPr="007E61A7">
        <w:rPr>
          <w:rFonts w:ascii="Calibri" w:hAnsi="Calibri" w:cs="Calibri"/>
          <w:b/>
          <w:bCs/>
        </w:rPr>
        <w:t>S2.3. Covariates and Confounders Adjustment</w:t>
      </w:r>
    </w:p>
    <w:p w14:paraId="178A6884" w14:textId="77777777" w:rsidR="00574DF9" w:rsidRPr="007E61A7" w:rsidRDefault="00574DF9" w:rsidP="00574DF9">
      <w:pPr>
        <w:rPr>
          <w:rFonts w:ascii="Calibri" w:hAnsi="Calibri" w:cs="Calibri"/>
        </w:rPr>
      </w:pPr>
      <w:r w:rsidRPr="007E61A7">
        <w:rPr>
          <w:rFonts w:ascii="Calibri" w:hAnsi="Calibri" w:cs="Calibri"/>
        </w:rPr>
        <w:t>To account for potential confounding by indication and baseline imbalances between the different castration modalities, propensity score-based Inverse Probability of Treatment Weighting (IPTW) was applied. Covariates included in the weight generation comprised baseline demographics, oncological characteristics, and cardiovascular risk factors.</w:t>
      </w:r>
    </w:p>
    <w:p w14:paraId="0DE13F22" w14:textId="1AAA9294" w:rsidR="00574DF9" w:rsidRPr="007E61A7" w:rsidRDefault="00574DF9" w:rsidP="00574DF9">
      <w:pPr>
        <w:rPr>
          <w:rFonts w:ascii="Calibri" w:hAnsi="Calibri" w:cs="Calibri"/>
        </w:rPr>
      </w:pPr>
      <w:r w:rsidRPr="007E61A7">
        <w:rPr>
          <w:rFonts w:ascii="Calibri" w:hAnsi="Calibri" w:cs="Calibri"/>
        </w:rPr>
        <w:t>Specifically, age was stratified and analyzed using a median cutoff of  </w:t>
      </w:r>
      <w:r w:rsidR="002D1C8D">
        <w:rPr>
          <w:rFonts w:ascii="Calibri" w:hAnsi="Calibri" w:cs="Calibri"/>
        </w:rPr>
        <w:t xml:space="preserve">&lt; 78 </w:t>
      </w:r>
      <w:r w:rsidRPr="007E61A7">
        <w:rPr>
          <w:rFonts w:ascii="Calibri" w:hAnsi="Calibri" w:cs="Calibri"/>
        </w:rPr>
        <w:t>years versus  </w:t>
      </w:r>
      <w:r w:rsidR="00780D33" w:rsidRPr="00780D33">
        <w:rPr>
          <w:rFonts w:ascii="Calibri" w:hAnsi="Calibri" w:cs="Calibri"/>
          <w:u w:val="single"/>
        </w:rPr>
        <w:t>&gt;</w:t>
      </w:r>
      <w:r w:rsidR="00780D33">
        <w:rPr>
          <w:rFonts w:ascii="Calibri" w:hAnsi="Calibri" w:cs="Calibri"/>
        </w:rPr>
        <w:t xml:space="preserve"> 78 </w:t>
      </w:r>
      <w:r w:rsidRPr="007E61A7">
        <w:rPr>
          <w:rFonts w:ascii="Calibri" w:hAnsi="Calibri" w:cs="Calibri"/>
        </w:rPr>
        <w:t xml:space="preserve">years to reflect the distribution of the study population. Baseline cardiovascular health was </w:t>
      </w:r>
      <w:r w:rsidRPr="007E61A7">
        <w:rPr>
          <w:rFonts w:ascii="Calibri" w:hAnsi="Calibri" w:cs="Calibri"/>
        </w:rPr>
        <w:lastRenderedPageBreak/>
        <w:t>thoroughly adjusted using individual history of ischemic heart disease, stroke, heart failure, peripheral artery disease, and the Charlson Comorbidity Index (CCI) as a continuous measure.</w:t>
      </w:r>
    </w:p>
    <w:p w14:paraId="4631578D" w14:textId="77777777" w:rsidR="00574DF9" w:rsidRPr="007E61A7" w:rsidRDefault="00574DF9" w:rsidP="00574DF9">
      <w:pPr>
        <w:rPr>
          <w:rFonts w:ascii="Calibri" w:hAnsi="Calibri" w:cs="Calibri"/>
          <w:b/>
          <w:bCs/>
        </w:rPr>
      </w:pPr>
      <w:r w:rsidRPr="007E61A7">
        <w:rPr>
          <w:rFonts w:ascii="Calibri" w:hAnsi="Calibri" w:cs="Calibri"/>
          <w:b/>
          <w:bCs/>
        </w:rPr>
        <w:t>S3. Statistical Models and Supplementary Results</w:t>
      </w:r>
    </w:p>
    <w:p w14:paraId="6DF89682" w14:textId="77777777" w:rsidR="00574DF9" w:rsidRPr="007E61A7" w:rsidRDefault="00574DF9" w:rsidP="00574DF9">
      <w:pPr>
        <w:rPr>
          <w:rFonts w:ascii="Calibri" w:hAnsi="Calibri" w:cs="Calibri"/>
          <w:b/>
          <w:bCs/>
        </w:rPr>
      </w:pPr>
      <w:r w:rsidRPr="007E61A7">
        <w:rPr>
          <w:rFonts w:ascii="Calibri" w:hAnsi="Calibri" w:cs="Calibri"/>
          <w:b/>
          <w:bCs/>
        </w:rPr>
        <w:t>S3.1. Propensity Score Diagnostics</w:t>
      </w:r>
    </w:p>
    <w:p w14:paraId="74B2F4B5" w14:textId="4552B877" w:rsidR="00574DF9" w:rsidRDefault="00574DF9" w:rsidP="00574DF9">
      <w:pPr>
        <w:rPr>
          <w:rFonts w:ascii="Calibri" w:hAnsi="Calibri" w:cs="Calibri"/>
        </w:rPr>
      </w:pPr>
      <w:r w:rsidRPr="007E61A7">
        <w:rPr>
          <w:rFonts w:ascii="Calibri" w:hAnsi="Calibri" w:cs="Calibri"/>
        </w:rPr>
        <w:t>Baseline characteristics before and after IPTW adjustment were compared using standardized mean differences (SMD). An SMD of  </w:t>
      </w:r>
      <w:r w:rsidR="00780D33">
        <w:rPr>
          <w:rFonts w:ascii="Calibri" w:hAnsi="Calibri" w:cs="Calibri"/>
        </w:rPr>
        <w:t xml:space="preserve">&lt; 0.1 </w:t>
      </w:r>
      <w:r w:rsidRPr="007E61A7">
        <w:rPr>
          <w:rFonts w:ascii="Calibri" w:hAnsi="Calibri" w:cs="Calibri"/>
        </w:rPr>
        <w:t>was considered indicative of an adequate balance between the comparative treatment groups.</w:t>
      </w:r>
    </w:p>
    <w:p w14:paraId="3E48BE6F" w14:textId="035BF0F1" w:rsidR="004D4BD3" w:rsidRPr="007E61A7" w:rsidRDefault="004D4BD3" w:rsidP="00574DF9">
      <w:pPr>
        <w:rPr>
          <w:rFonts w:ascii="Calibri" w:hAnsi="Calibri" w:cs="Calibri"/>
        </w:rPr>
      </w:pPr>
      <w:r w:rsidRPr="004D4BD3">
        <w:rPr>
          <w:rFonts w:ascii="Calibri" w:hAnsi="Calibri" w:cs="Calibri"/>
        </w:rPr>
        <w:t>As shown in Figure S1, IPTW weighting successfully reduced all standardized mean differences (SMDs) below the methodological threshold of 0.10, indicating excellent covariate balance across castration modalities and confirming the robustness of the adjusted comparisons.</w:t>
      </w:r>
    </w:p>
    <w:p w14:paraId="1062AAC9" w14:textId="7D1D6C09" w:rsidR="00574DF9" w:rsidRPr="007E61A7" w:rsidRDefault="00574DF9" w:rsidP="00574DF9">
      <w:pPr>
        <w:rPr>
          <w:rFonts w:ascii="Calibri" w:hAnsi="Calibri" w:cs="Calibri"/>
          <w:b/>
          <w:bCs/>
        </w:rPr>
      </w:pPr>
      <w:r w:rsidRPr="007E61A7">
        <w:rPr>
          <w:rFonts w:ascii="Calibri" w:hAnsi="Calibri" w:cs="Calibri"/>
          <w:b/>
          <w:bCs/>
        </w:rPr>
        <w:t>S3.2. Primary MACE Analysis</w:t>
      </w:r>
    </w:p>
    <w:p w14:paraId="343E8B35" w14:textId="3B980179" w:rsidR="00574DF9" w:rsidRPr="007E61A7" w:rsidRDefault="00574DF9" w:rsidP="00574DF9">
      <w:pPr>
        <w:rPr>
          <w:rFonts w:ascii="Calibri" w:hAnsi="Calibri" w:cs="Calibri"/>
        </w:rPr>
      </w:pPr>
      <w:r w:rsidRPr="007E61A7">
        <w:rPr>
          <w:rFonts w:ascii="Calibri" w:hAnsi="Calibri" w:cs="Calibri"/>
        </w:rPr>
        <w:t>The primary analysis utilized IPTW-adjusted Cox proportional hazards models to estimate hazard ratios (HRs) and 95% confidence intervals (CIs) for the association between castration modalities and the incidence of MACE.</w:t>
      </w:r>
      <w:r w:rsidR="00144EDC">
        <w:rPr>
          <w:rFonts w:ascii="Calibri" w:hAnsi="Calibri" w:cs="Calibri"/>
        </w:rPr>
        <w:t xml:space="preserve"> </w:t>
      </w:r>
      <w:r w:rsidR="00144EDC" w:rsidRPr="00144EDC">
        <w:rPr>
          <w:rFonts w:ascii="Calibri" w:hAnsi="Calibri" w:cs="Calibri"/>
        </w:rPr>
        <w:t>The age</w:t>
      </w:r>
      <w:r w:rsidR="00144EDC" w:rsidRPr="00144EDC">
        <w:rPr>
          <w:rFonts w:ascii="Calibri" w:hAnsi="Calibri" w:cs="Calibri"/>
        </w:rPr>
        <w:noBreakHyphen/>
        <w:t>stratified cumulative incidence patterns described here are illustrated in Figure S2, which presents the IPTW</w:t>
      </w:r>
      <w:r w:rsidR="00144EDC" w:rsidRPr="00144EDC">
        <w:rPr>
          <w:rFonts w:ascii="Calibri" w:hAnsi="Calibri" w:cs="Calibri"/>
        </w:rPr>
        <w:noBreakHyphen/>
        <w:t>adjusted Kaplan–Meier curves for MACE</w:t>
      </w:r>
      <w:r w:rsidR="00716BAE">
        <w:rPr>
          <w:rFonts w:ascii="Calibri" w:hAnsi="Calibri" w:cs="Calibri"/>
        </w:rPr>
        <w:t xml:space="preserve"> </w:t>
      </w:r>
      <w:r w:rsidR="00144EDC" w:rsidRPr="00144EDC">
        <w:rPr>
          <w:rFonts w:ascii="Calibri" w:hAnsi="Calibri" w:cs="Calibri"/>
        </w:rPr>
        <w:t>across the two age groups.</w:t>
      </w:r>
    </w:p>
    <w:p w14:paraId="5E6F2DD8" w14:textId="77777777" w:rsidR="00574DF9" w:rsidRPr="007E61A7" w:rsidRDefault="00574DF9" w:rsidP="00574DF9">
      <w:pPr>
        <w:rPr>
          <w:rFonts w:ascii="Calibri" w:hAnsi="Calibri" w:cs="Calibri"/>
          <w:b/>
          <w:bCs/>
        </w:rPr>
      </w:pPr>
      <w:r w:rsidRPr="007E61A7">
        <w:rPr>
          <w:rFonts w:ascii="Calibri" w:hAnsi="Calibri" w:cs="Calibri"/>
          <w:b/>
          <w:bCs/>
        </w:rPr>
        <w:t>S3.3. Joint Modeling of PSA Trajectories and Cardiovascular Risk</w:t>
      </w:r>
    </w:p>
    <w:p w14:paraId="6A3E9D25" w14:textId="01432B6B" w:rsidR="00574DF9" w:rsidRPr="007E61A7" w:rsidRDefault="006A68AA" w:rsidP="00574DF9">
      <w:pPr>
        <w:rPr>
          <w:rFonts w:ascii="Calibri" w:hAnsi="Calibri" w:cs="Calibri"/>
        </w:rPr>
      </w:pPr>
      <w:r w:rsidRPr="006A68AA">
        <w:rPr>
          <w:rFonts w:ascii="Calibri" w:hAnsi="Calibri" w:cs="Calibri"/>
        </w:rPr>
        <w:t>PSA was used as a surrogate marker for testosterone suppression because longitudinal testosterone measurements are not routinely captured in Japanese claims data. PSA trajectories closely reflect androgen activity and the depth of castration response, making PSA an appropriate biomarker for longitudinal modeling in this setting.</w:t>
      </w:r>
      <w:r>
        <w:rPr>
          <w:rFonts w:ascii="Calibri" w:hAnsi="Calibri" w:cs="Calibri"/>
        </w:rPr>
        <w:t xml:space="preserve"> </w:t>
      </w:r>
      <w:r w:rsidR="00574DF9" w:rsidRPr="007E61A7">
        <w:rPr>
          <w:rFonts w:ascii="Calibri" w:hAnsi="Calibri" w:cs="Calibri"/>
        </w:rPr>
        <w:t>The joint model successfully integrated longitudinal </w:t>
      </w:r>
      <w:r w:rsidR="00780D33" w:rsidRPr="00780D33">
        <w:rPr>
          <w:rFonts w:ascii="Calibri" w:hAnsi="Calibri" w:cs="Calibri"/>
          <w:i/>
          <w:iCs/>
        </w:rPr>
        <w:t>log</w:t>
      </w:r>
      <w:r w:rsidR="00780D33" w:rsidRPr="00780D33">
        <w:rPr>
          <w:rFonts w:ascii="Calibri" w:hAnsi="Calibri" w:cs="Calibri"/>
          <w:vertAlign w:val="subscript"/>
        </w:rPr>
        <w:t>10</w:t>
      </w:r>
      <w:r w:rsidR="00574DF9" w:rsidRPr="007E61A7">
        <w:rPr>
          <w:rFonts w:ascii="Calibri" w:hAnsi="Calibri" w:cs="Calibri"/>
        </w:rPr>
        <w:t> </w:t>
      </w:r>
      <w:r w:rsidR="00780D33">
        <w:rPr>
          <w:rFonts w:ascii="Calibri" w:hAnsi="Calibri" w:cs="Calibri"/>
        </w:rPr>
        <w:t xml:space="preserve">(PSA + 1) </w:t>
      </w:r>
      <w:r w:rsidR="00574DF9" w:rsidRPr="007E61A7">
        <w:rPr>
          <w:rFonts w:ascii="Calibri" w:hAnsi="Calibri" w:cs="Calibri"/>
        </w:rPr>
        <w:t>trajectories with the risk of MACE. Beyond the dynamic variation of PSA levels, the survival sub-model identified key baseline predictors that independently and substantially increased the risk of cardiovascular events.</w:t>
      </w:r>
    </w:p>
    <w:p w14:paraId="76A2519F" w14:textId="5F996521" w:rsidR="00574DF9" w:rsidRPr="007E61A7" w:rsidRDefault="00574DF9" w:rsidP="00574DF9">
      <w:pPr>
        <w:rPr>
          <w:rFonts w:ascii="Calibri" w:hAnsi="Calibri" w:cs="Calibri"/>
        </w:rPr>
      </w:pPr>
      <w:r w:rsidRPr="007E61A7">
        <w:rPr>
          <w:rFonts w:ascii="Calibri" w:hAnsi="Calibri" w:cs="Calibri"/>
        </w:rPr>
        <w:t>Notably, baseline age ( </w:t>
      </w:r>
      <w:r w:rsidR="00780D33" w:rsidRPr="00780D33">
        <w:rPr>
          <w:rFonts w:ascii="Calibri" w:hAnsi="Calibri" w:cs="Calibri"/>
          <w:u w:val="single"/>
        </w:rPr>
        <w:t>&gt;</w:t>
      </w:r>
      <w:r w:rsidR="00780D33" w:rsidRPr="00780D33">
        <w:rPr>
          <w:rFonts w:ascii="Calibri" w:hAnsi="Calibri" w:cs="Calibri"/>
        </w:rPr>
        <w:t xml:space="preserve"> 78 </w:t>
      </w:r>
      <w:r w:rsidRPr="007E61A7">
        <w:rPr>
          <w:rFonts w:ascii="Calibri" w:hAnsi="Calibri" w:cs="Calibri"/>
        </w:rPr>
        <w:t>years) and a higher Charlson Comorbidity Index (CCI) score served as powerful, statistically significant independent predictors of MACE. These findings underscore that while PSA suppression dynamics track oncological control and associated systemic stress, preexisting patient frailty and advanced age remain critical drivers of the overall cardiovascular burden.</w:t>
      </w:r>
    </w:p>
    <w:p w14:paraId="5A878571" w14:textId="77777777" w:rsidR="00574DF9" w:rsidRPr="007E61A7" w:rsidRDefault="00574DF9" w:rsidP="00574DF9">
      <w:pPr>
        <w:rPr>
          <w:rFonts w:ascii="Calibri" w:hAnsi="Calibri" w:cs="Calibri"/>
          <w:b/>
          <w:bCs/>
        </w:rPr>
      </w:pPr>
      <w:r w:rsidRPr="007E61A7">
        <w:rPr>
          <w:rFonts w:ascii="Calibri" w:hAnsi="Calibri" w:cs="Calibri"/>
          <w:b/>
          <w:bCs/>
        </w:rPr>
        <w:t>S3.4. Secondary Cardiovascular Outcomes and Component Analysis</w:t>
      </w:r>
    </w:p>
    <w:p w14:paraId="1C17141F" w14:textId="16EB3B45" w:rsidR="00574DF9" w:rsidRPr="007E61A7" w:rsidRDefault="00574DF9" w:rsidP="00574DF9">
      <w:pPr>
        <w:rPr>
          <w:rFonts w:ascii="Calibri" w:hAnsi="Calibri" w:cs="Calibri"/>
        </w:rPr>
      </w:pPr>
      <w:r w:rsidRPr="007E61A7">
        <w:rPr>
          <w:rFonts w:ascii="Calibri" w:hAnsi="Calibri" w:cs="Calibri"/>
        </w:rPr>
        <w:t>To provide a granular understanding of the MACE composite endpoint, analyses were conducted for individual cardiovascular components and closely related secondary events using both crude and IPTW-adjusted Cox models:</w:t>
      </w:r>
    </w:p>
    <w:p w14:paraId="0C035B50" w14:textId="00995CDB" w:rsidR="00574DF9" w:rsidRPr="007E61A7" w:rsidRDefault="00574DF9" w:rsidP="00574DF9">
      <w:pPr>
        <w:numPr>
          <w:ilvl w:val="0"/>
          <w:numId w:val="11"/>
        </w:numPr>
        <w:rPr>
          <w:rFonts w:ascii="Calibri" w:hAnsi="Calibri" w:cs="Calibri"/>
        </w:rPr>
      </w:pPr>
      <w:r w:rsidRPr="007E61A7">
        <w:rPr>
          <w:rFonts w:ascii="Calibri" w:hAnsi="Calibri" w:cs="Calibri"/>
        </w:rPr>
        <w:lastRenderedPageBreak/>
        <w:t>Non-fatal Myocardial Infarction: The IPTW-adjusted model revealed a trend toward an increased risk in patients undergoing deep medical castration compared to surgical castration, yielding an adjusted Hazard Ratio (</w:t>
      </w:r>
      <w:r w:rsidR="00780D33">
        <w:rPr>
          <w:rFonts w:ascii="Calibri" w:hAnsi="Calibri" w:cs="Calibri"/>
        </w:rPr>
        <w:t>aHR</w:t>
      </w:r>
      <w:r w:rsidRPr="007E61A7">
        <w:rPr>
          <w:rFonts w:ascii="Calibri" w:hAnsi="Calibri" w:cs="Calibri"/>
        </w:rPr>
        <w:t>) of </w:t>
      </w:r>
      <w:r w:rsidR="00780D33">
        <w:rPr>
          <w:rFonts w:ascii="Calibri" w:hAnsi="Calibri" w:cs="Calibri"/>
        </w:rPr>
        <w:t xml:space="preserve">1.42 </w:t>
      </w:r>
      <w:r w:rsidRPr="007E61A7">
        <w:rPr>
          <w:rFonts w:ascii="Calibri" w:hAnsi="Calibri" w:cs="Calibri"/>
        </w:rPr>
        <w:t>(</w:t>
      </w:r>
      <w:r w:rsidR="00780D33">
        <w:rPr>
          <w:rFonts w:ascii="Calibri" w:hAnsi="Calibri" w:cs="Calibri"/>
        </w:rPr>
        <w:t xml:space="preserve">95% </w:t>
      </w:r>
      <w:r w:rsidRPr="007E61A7">
        <w:rPr>
          <w:rFonts w:ascii="Calibri" w:hAnsi="Calibri" w:cs="Calibri"/>
        </w:rPr>
        <w:t>CI:</w:t>
      </w:r>
      <w:r w:rsidR="00780D33">
        <w:rPr>
          <w:rFonts w:ascii="Calibri" w:hAnsi="Calibri" w:cs="Calibri"/>
        </w:rPr>
        <w:t xml:space="preserve"> </w:t>
      </w:r>
      <w:r w:rsidRPr="007E61A7">
        <w:rPr>
          <w:rFonts w:ascii="Calibri" w:hAnsi="Calibri" w:cs="Calibri"/>
        </w:rPr>
        <w:t>[</w:t>
      </w:r>
      <w:r w:rsidR="003472EE">
        <w:rPr>
          <w:rFonts w:ascii="Calibri" w:hAnsi="Calibri" w:cs="Calibri"/>
        </w:rPr>
        <w:t>1.03</w:t>
      </w:r>
      <w:r w:rsidR="007953F2">
        <w:rPr>
          <w:rFonts w:ascii="Calibri" w:hAnsi="Calibri" w:cs="Calibri"/>
        </w:rPr>
        <w:t xml:space="preserve"> – 1.</w:t>
      </w:r>
      <w:r w:rsidR="003472EE">
        <w:rPr>
          <w:rFonts w:ascii="Calibri" w:hAnsi="Calibri" w:cs="Calibri"/>
        </w:rPr>
        <w:t>96</w:t>
      </w:r>
      <w:r w:rsidRPr="007E61A7">
        <w:rPr>
          <w:rFonts w:ascii="Calibri" w:hAnsi="Calibri" w:cs="Calibri"/>
        </w:rPr>
        <w:t>],</w:t>
      </w:r>
      <w:r w:rsidR="00780D33">
        <w:rPr>
          <w:rFonts w:ascii="Calibri" w:hAnsi="Calibri" w:cs="Calibri"/>
        </w:rPr>
        <w:t xml:space="preserve"> </w:t>
      </w:r>
      <w:r w:rsidR="00780D33" w:rsidRPr="00780D33">
        <w:rPr>
          <w:rFonts w:ascii="Calibri" w:hAnsi="Calibri" w:cs="Calibri"/>
          <w:i/>
          <w:iCs/>
        </w:rPr>
        <w:t>p</w:t>
      </w:r>
      <w:r w:rsidR="007953F2">
        <w:rPr>
          <w:rFonts w:ascii="Calibri" w:hAnsi="Calibri" w:cs="Calibri"/>
          <w:i/>
          <w:iCs/>
        </w:rPr>
        <w:t xml:space="preserve"> </w:t>
      </w:r>
      <w:r w:rsidR="00780D33">
        <w:rPr>
          <w:rFonts w:ascii="Calibri" w:hAnsi="Calibri" w:cs="Calibri"/>
        </w:rPr>
        <w:t>=</w:t>
      </w:r>
      <w:r w:rsidR="007953F2">
        <w:rPr>
          <w:rFonts w:ascii="Calibri" w:hAnsi="Calibri" w:cs="Calibri"/>
        </w:rPr>
        <w:t xml:space="preserve"> 0.</w:t>
      </w:r>
      <w:r w:rsidR="003472EE">
        <w:rPr>
          <w:rFonts w:ascii="Calibri" w:hAnsi="Calibri" w:cs="Calibri"/>
        </w:rPr>
        <w:t>032</w:t>
      </w:r>
      <w:r w:rsidRPr="007E61A7">
        <w:rPr>
          <w:rFonts w:ascii="Calibri" w:hAnsi="Calibri" w:cs="Calibri"/>
        </w:rPr>
        <w:t>).</w:t>
      </w:r>
    </w:p>
    <w:p w14:paraId="6ABA666C" w14:textId="77777777" w:rsidR="00574DF9" w:rsidRPr="007E61A7" w:rsidRDefault="00574DF9" w:rsidP="00574DF9">
      <w:pPr>
        <w:numPr>
          <w:ilvl w:val="0"/>
          <w:numId w:val="11"/>
        </w:numPr>
        <w:rPr>
          <w:rFonts w:ascii="Calibri" w:hAnsi="Calibri" w:cs="Calibri"/>
        </w:rPr>
      </w:pPr>
      <w:r w:rsidRPr="007E61A7">
        <w:rPr>
          <w:rFonts w:ascii="Calibri" w:hAnsi="Calibri" w:cs="Calibri"/>
        </w:rPr>
        <w:t>Non-fatal Stroke: Crude and IPTW-adjusted hazard ratios for ischemic and cerebrovascular events were stable across cohorts, showing no statistically significant divergence between surgical and medical modalities.</w:t>
      </w:r>
    </w:p>
    <w:p w14:paraId="4D54039E" w14:textId="70122B1F" w:rsidR="00574DF9" w:rsidRPr="007E61A7" w:rsidRDefault="00574DF9" w:rsidP="00574DF9">
      <w:pPr>
        <w:numPr>
          <w:ilvl w:val="0"/>
          <w:numId w:val="11"/>
        </w:numPr>
        <w:rPr>
          <w:rFonts w:ascii="Calibri" w:hAnsi="Calibri" w:cs="Calibri"/>
        </w:rPr>
      </w:pPr>
      <w:r w:rsidRPr="007E61A7">
        <w:rPr>
          <w:rFonts w:ascii="Calibri" w:hAnsi="Calibri" w:cs="Calibri"/>
        </w:rPr>
        <w:t>Heart Failure (HF): Heart failure constituted the largest driver of volume among the secondary outcomes, accounting for a massive proportion of the total burden, with </w:t>
      </w:r>
      <w:r w:rsidR="00780D33">
        <w:rPr>
          <w:rFonts w:ascii="Calibri" w:hAnsi="Calibri" w:cs="Calibri"/>
        </w:rPr>
        <w:t>13411</w:t>
      </w:r>
      <w:r w:rsidRPr="007E61A7">
        <w:rPr>
          <w:rFonts w:ascii="Calibri" w:hAnsi="Calibri" w:cs="Calibri"/>
        </w:rPr>
        <w:t> weighted events recorded in the medical castration group alone.</w:t>
      </w:r>
    </w:p>
    <w:p w14:paraId="5EBD4E61" w14:textId="77777777" w:rsidR="00574DF9" w:rsidRPr="007E61A7" w:rsidRDefault="00574DF9" w:rsidP="00574DF9">
      <w:pPr>
        <w:numPr>
          <w:ilvl w:val="0"/>
          <w:numId w:val="11"/>
        </w:numPr>
        <w:rPr>
          <w:rFonts w:ascii="Calibri" w:hAnsi="Calibri" w:cs="Calibri"/>
        </w:rPr>
      </w:pPr>
      <w:r w:rsidRPr="007E61A7">
        <w:rPr>
          <w:rFonts w:ascii="Calibri" w:hAnsi="Calibri" w:cs="Calibri"/>
        </w:rPr>
        <w:t>Other Atherosclerotic and Arrhythmic Events: Detailed distributions and risk estimates for unstable angina/revascularization, new-onset atrial fibrillation (AF), and venous thromboembolism (VTE) are provided in Table S4.</w:t>
      </w:r>
    </w:p>
    <w:p w14:paraId="609E8FE1" w14:textId="77777777" w:rsidR="00574DF9" w:rsidRPr="007E61A7" w:rsidRDefault="00574DF9" w:rsidP="00574DF9">
      <w:pPr>
        <w:rPr>
          <w:rFonts w:ascii="Calibri" w:hAnsi="Calibri" w:cs="Calibri"/>
          <w:b/>
          <w:bCs/>
        </w:rPr>
      </w:pPr>
      <w:r w:rsidRPr="007E61A7">
        <w:rPr>
          <w:rFonts w:ascii="Calibri" w:hAnsi="Calibri" w:cs="Calibri"/>
          <w:b/>
          <w:bCs/>
        </w:rPr>
        <w:t>S3.5. All-Cause Mortality Analysis</w:t>
      </w:r>
    </w:p>
    <w:p w14:paraId="3E0287E0" w14:textId="77777777" w:rsidR="00574DF9" w:rsidRPr="007E61A7" w:rsidRDefault="00574DF9" w:rsidP="00574DF9">
      <w:pPr>
        <w:rPr>
          <w:rFonts w:ascii="Calibri" w:hAnsi="Calibri" w:cs="Calibri"/>
        </w:rPr>
      </w:pPr>
      <w:r w:rsidRPr="007E61A7">
        <w:rPr>
          <w:rFonts w:ascii="Calibri" w:hAnsi="Calibri" w:cs="Calibri"/>
        </w:rPr>
        <w:t>While cardiovascular safety is the primary focus, all-cause mortality was evaluated as a critical oncological and safety endpoint using Kaplan-Meier survival curves and Cox proportional hazards models.</w:t>
      </w:r>
    </w:p>
    <w:p w14:paraId="24361C45" w14:textId="3E9077F3" w:rsidR="00574DF9" w:rsidRPr="007E61A7" w:rsidRDefault="00574DF9" w:rsidP="00574DF9">
      <w:pPr>
        <w:rPr>
          <w:rFonts w:ascii="Calibri" w:hAnsi="Calibri" w:cs="Calibri"/>
        </w:rPr>
      </w:pPr>
      <w:r w:rsidRPr="007E61A7">
        <w:rPr>
          <w:rFonts w:ascii="Calibri" w:hAnsi="Calibri" w:cs="Calibri"/>
        </w:rPr>
        <w:t>In the crude analysis, survival curves demonstrated a distinct separation over time. After full adjustment via IPTW, surgical castration was associated with a statistically significant reduction in the risk of all-cause mortality</w:t>
      </w:r>
      <w:r w:rsidR="007E61A7" w:rsidRPr="007E61A7">
        <w:rPr>
          <w:rFonts w:ascii="Calibri" w:hAnsi="Calibri" w:cs="Calibri"/>
        </w:rPr>
        <w:t xml:space="preserve"> </w:t>
      </w:r>
      <w:r w:rsidRPr="007E61A7">
        <w:rPr>
          <w:rFonts w:ascii="Calibri" w:hAnsi="Calibri" w:cs="Calibri"/>
        </w:rPr>
        <w:t>compared to medical castration (</w:t>
      </w:r>
      <w:r w:rsidR="00780D33">
        <w:rPr>
          <w:rFonts w:ascii="Calibri" w:hAnsi="Calibri" w:cs="Calibri"/>
        </w:rPr>
        <w:t>aHR = 0.24</w:t>
      </w:r>
      <w:r w:rsidRPr="007E61A7">
        <w:rPr>
          <w:rFonts w:ascii="Calibri" w:hAnsi="Calibri" w:cs="Calibri"/>
        </w:rPr>
        <w:t>;  </w:t>
      </w:r>
      <w:r w:rsidR="00780D33">
        <w:rPr>
          <w:rFonts w:ascii="Calibri" w:hAnsi="Calibri" w:cs="Calibri"/>
        </w:rPr>
        <w:t xml:space="preserve">95% </w:t>
      </w:r>
      <w:r w:rsidRPr="007E61A7">
        <w:rPr>
          <w:rFonts w:ascii="Calibri" w:hAnsi="Calibri" w:cs="Calibri"/>
        </w:rPr>
        <w:t>CI: </w:t>
      </w:r>
      <w:r w:rsidR="00780D33">
        <w:rPr>
          <w:rFonts w:ascii="Calibri" w:hAnsi="Calibri" w:cs="Calibri"/>
        </w:rPr>
        <w:t>0.06 – 0.95</w:t>
      </w:r>
      <w:r w:rsidRPr="007E61A7">
        <w:rPr>
          <w:rFonts w:ascii="Calibri" w:hAnsi="Calibri" w:cs="Calibri"/>
        </w:rPr>
        <w:t>,</w:t>
      </w:r>
      <w:r w:rsidR="00780D33">
        <w:rPr>
          <w:rFonts w:ascii="Calibri" w:hAnsi="Calibri" w:cs="Calibri"/>
        </w:rPr>
        <w:t xml:space="preserve"> </w:t>
      </w:r>
      <w:r w:rsidR="00780D33" w:rsidRPr="00780D33">
        <w:rPr>
          <w:rFonts w:ascii="Calibri" w:hAnsi="Calibri" w:cs="Calibri"/>
          <w:i/>
          <w:iCs/>
        </w:rPr>
        <w:t xml:space="preserve">p </w:t>
      </w:r>
      <w:r w:rsidR="00780D33">
        <w:rPr>
          <w:rFonts w:ascii="Calibri" w:hAnsi="Calibri" w:cs="Calibri"/>
        </w:rPr>
        <w:t>&lt; 0.05</w:t>
      </w:r>
      <w:r w:rsidRPr="007E61A7">
        <w:rPr>
          <w:rFonts w:ascii="Calibri" w:hAnsi="Calibri" w:cs="Calibri"/>
        </w:rPr>
        <w:t> ). This marked survival benefit suggests that the choice of castration modality may exert complex, long-term systemic effects that warrant careful consideration in clinical decision-making.</w:t>
      </w:r>
    </w:p>
    <w:p w14:paraId="23DF32C4" w14:textId="77777777" w:rsidR="00574DF9" w:rsidRPr="007E61A7" w:rsidRDefault="00574DF9" w:rsidP="00574DF9">
      <w:pPr>
        <w:rPr>
          <w:rFonts w:ascii="Calibri" w:hAnsi="Calibri" w:cs="Calibri"/>
          <w:b/>
          <w:bCs/>
        </w:rPr>
      </w:pPr>
      <w:r w:rsidRPr="007E61A7">
        <w:rPr>
          <w:rFonts w:ascii="Calibri" w:hAnsi="Calibri" w:cs="Calibri"/>
          <w:b/>
          <w:bCs/>
        </w:rPr>
        <w:t>S3.6. Cardiovascular Risk Stratified by Specific ARPI Class Therapies</w:t>
      </w:r>
    </w:p>
    <w:p w14:paraId="44AB5A33" w14:textId="1DE74C65" w:rsidR="00574DF9" w:rsidRPr="007E61A7" w:rsidRDefault="00574DF9" w:rsidP="00574DF9">
      <w:pPr>
        <w:rPr>
          <w:rFonts w:ascii="Calibri" w:hAnsi="Calibri" w:cs="Calibri"/>
        </w:rPr>
      </w:pPr>
      <w:r w:rsidRPr="007E61A7">
        <w:rPr>
          <w:rFonts w:ascii="Calibri" w:hAnsi="Calibri" w:cs="Calibri"/>
        </w:rPr>
        <w:t>Given the heterogeneous mechanism of action of androgen receptor pathway inhibitors (ARPIs), we analyzed a sub-cohort of  </w:t>
      </w:r>
      <w:r w:rsidR="00780D33">
        <w:rPr>
          <w:rFonts w:ascii="Calibri" w:hAnsi="Calibri" w:cs="Calibri"/>
        </w:rPr>
        <w:t xml:space="preserve">85968 </w:t>
      </w:r>
      <w:r w:rsidRPr="007E61A7">
        <w:rPr>
          <w:rFonts w:ascii="Calibri" w:hAnsi="Calibri" w:cs="Calibri"/>
        </w:rPr>
        <w:t>patients to evaluate the distribution of specific ARPI prescriptions (including Bicalutamide, Enzalutamide, Abiraterone, Flutamide, Apalutamide, and Darolutamide).</w:t>
      </w:r>
    </w:p>
    <w:p w14:paraId="1044A06A" w14:textId="5C66F14F" w:rsidR="00574DF9" w:rsidRPr="007E61A7" w:rsidRDefault="00574DF9" w:rsidP="00574DF9">
      <w:pPr>
        <w:rPr>
          <w:rFonts w:ascii="Calibri" w:hAnsi="Calibri" w:cs="Calibri"/>
        </w:rPr>
      </w:pPr>
      <w:r w:rsidRPr="007E61A7">
        <w:rPr>
          <w:rFonts w:ascii="Calibri" w:hAnsi="Calibri" w:cs="Calibri"/>
        </w:rPr>
        <w:t>A restricted survival analysis (</w:t>
      </w:r>
      <w:r w:rsidR="00780D33">
        <w:rPr>
          <w:rFonts w:ascii="Calibri" w:hAnsi="Calibri" w:cs="Calibri"/>
        </w:rPr>
        <w:t>N = 53509</w:t>
      </w:r>
      <w:r w:rsidRPr="007E61A7">
        <w:rPr>
          <w:rFonts w:ascii="Calibri" w:hAnsi="Calibri" w:cs="Calibri"/>
        </w:rPr>
        <w:t>) was performed to isolate the molecule-specific impact on MACE. While risk profiles were relatively consistent across most conventional ARPIs, Darolutamide exhibited a favorable trend with a lower risk of cardiovascular events (</w:t>
      </w:r>
      <w:r w:rsidR="00780D33">
        <w:rPr>
          <w:rFonts w:ascii="Calibri" w:hAnsi="Calibri" w:cs="Calibri"/>
        </w:rPr>
        <w:t>HR = 0.81</w:t>
      </w:r>
      <w:r w:rsidRPr="007E61A7">
        <w:rPr>
          <w:rFonts w:ascii="Calibri" w:hAnsi="Calibri" w:cs="Calibri"/>
        </w:rPr>
        <w:t>,  </w:t>
      </w:r>
      <w:r w:rsidR="00780D33">
        <w:rPr>
          <w:rFonts w:ascii="Calibri" w:hAnsi="Calibri" w:cs="Calibri"/>
        </w:rPr>
        <w:t xml:space="preserve">95% </w:t>
      </w:r>
      <w:r w:rsidRPr="007E61A7">
        <w:rPr>
          <w:rFonts w:ascii="Calibri" w:hAnsi="Calibri" w:cs="Calibri"/>
        </w:rPr>
        <w:t>CI: [</w:t>
      </w:r>
      <w:r w:rsidR="003472EE">
        <w:rPr>
          <w:rFonts w:ascii="Calibri" w:hAnsi="Calibri" w:cs="Calibri"/>
        </w:rPr>
        <w:t>0.61 – 1.07</w:t>
      </w:r>
      <w:r w:rsidRPr="007E61A7">
        <w:rPr>
          <w:rFonts w:ascii="Calibri" w:hAnsi="Calibri" w:cs="Calibri"/>
        </w:rPr>
        <w:t>], </w:t>
      </w:r>
      <w:r w:rsidR="00780D33" w:rsidRPr="00780D33">
        <w:rPr>
          <w:rFonts w:ascii="Calibri" w:hAnsi="Calibri" w:cs="Calibri"/>
          <w:i/>
          <w:iCs/>
        </w:rPr>
        <w:t xml:space="preserve">p </w:t>
      </w:r>
      <w:r w:rsidR="00780D33">
        <w:rPr>
          <w:rFonts w:ascii="Calibri" w:hAnsi="Calibri" w:cs="Calibri"/>
        </w:rPr>
        <w:t>&gt; 0.05</w:t>
      </w:r>
      <w:r w:rsidRPr="007E61A7">
        <w:rPr>
          <w:rFonts w:ascii="Calibri" w:hAnsi="Calibri" w:cs="Calibri"/>
        </w:rPr>
        <w:t>). Though this did not reach strict statistical significance within the follow-up window, it highlights potential molecular variations in cardiotoxicity. The complete distribution matrix and molecule-stratified survival hazard ratios are detailed in Table S5.</w:t>
      </w:r>
    </w:p>
    <w:p w14:paraId="05D93203" w14:textId="77777777" w:rsidR="00574DF9" w:rsidRPr="007E61A7" w:rsidRDefault="00574DF9" w:rsidP="00574DF9">
      <w:pPr>
        <w:rPr>
          <w:rFonts w:ascii="Calibri" w:hAnsi="Calibri" w:cs="Calibri"/>
          <w:b/>
          <w:bCs/>
        </w:rPr>
      </w:pPr>
      <w:r w:rsidRPr="007E61A7">
        <w:rPr>
          <w:rFonts w:ascii="Calibri" w:hAnsi="Calibri" w:cs="Calibri"/>
          <w:b/>
          <w:bCs/>
        </w:rPr>
        <w:t>S3.7. Time-Varying Cox Models and Lagged Exposure Sensitivity Analyses</w:t>
      </w:r>
    </w:p>
    <w:p w14:paraId="78604D1E" w14:textId="77777777" w:rsidR="00574DF9" w:rsidRPr="007E61A7" w:rsidRDefault="00574DF9" w:rsidP="00574DF9">
      <w:pPr>
        <w:rPr>
          <w:rFonts w:ascii="Calibri" w:hAnsi="Calibri" w:cs="Calibri"/>
        </w:rPr>
      </w:pPr>
      <w:r w:rsidRPr="007E61A7">
        <w:rPr>
          <w:rFonts w:ascii="Calibri" w:hAnsi="Calibri" w:cs="Calibri"/>
        </w:rPr>
        <w:lastRenderedPageBreak/>
        <w:t>To ensure methodological robustness against time-dependent confounding and reverse causality, two advanced sensitivity analyses were executed:</w:t>
      </w:r>
    </w:p>
    <w:p w14:paraId="1576D4C1" w14:textId="7BB2BCF2" w:rsidR="00574DF9" w:rsidRPr="007E61A7" w:rsidRDefault="00574DF9" w:rsidP="00574DF9">
      <w:pPr>
        <w:numPr>
          <w:ilvl w:val="0"/>
          <w:numId w:val="12"/>
        </w:numPr>
        <w:rPr>
          <w:rFonts w:ascii="Calibri" w:hAnsi="Calibri" w:cs="Calibri"/>
        </w:rPr>
      </w:pPr>
      <w:r w:rsidRPr="007E61A7">
        <w:rPr>
          <w:rFonts w:ascii="Calibri" w:hAnsi="Calibri" w:cs="Calibri"/>
        </w:rPr>
        <w:t>Time-Varying Cox Proportional Hazards Model: Treating both the type of castration and the longitudinal PSA levels as dynamic, time-varying covariates (</w:t>
      </w:r>
      <w:r w:rsidR="00780D33">
        <w:rPr>
          <w:rFonts w:ascii="Calibri" w:hAnsi="Calibri" w:cs="Calibri"/>
        </w:rPr>
        <w:t>N = 85 968</w:t>
      </w:r>
      <w:r w:rsidRPr="007E61A7">
        <w:rPr>
          <w:rFonts w:ascii="Calibri" w:hAnsi="Calibri" w:cs="Calibri"/>
        </w:rPr>
        <w:t>), the model confirmed a higher point estimate for risk with LHRH agonists compared to GnRH antagonists (</w:t>
      </w:r>
      <w:r w:rsidR="00780D33">
        <w:rPr>
          <w:rFonts w:ascii="Calibri" w:hAnsi="Calibri" w:cs="Calibri"/>
        </w:rPr>
        <w:t>HR = 1.12</w:t>
      </w:r>
      <w:r w:rsidRPr="007E61A7">
        <w:rPr>
          <w:rFonts w:ascii="Calibri" w:hAnsi="Calibri" w:cs="Calibri"/>
        </w:rPr>
        <w:t>, </w:t>
      </w:r>
      <w:r w:rsidR="00780D33">
        <w:rPr>
          <w:rFonts w:ascii="Calibri" w:hAnsi="Calibri" w:cs="Calibri"/>
        </w:rPr>
        <w:t xml:space="preserve">95% </w:t>
      </w:r>
      <w:r w:rsidRPr="007E61A7">
        <w:rPr>
          <w:rFonts w:ascii="Calibri" w:hAnsi="Calibri" w:cs="Calibri"/>
        </w:rPr>
        <w:t>CI:</w:t>
      </w:r>
      <w:r w:rsidR="00780D33">
        <w:rPr>
          <w:rFonts w:ascii="Calibri" w:hAnsi="Calibri" w:cs="Calibri"/>
        </w:rPr>
        <w:t xml:space="preserve"> 0.94 – 1.34</w:t>
      </w:r>
      <w:r w:rsidRPr="007E61A7">
        <w:rPr>
          <w:rFonts w:ascii="Calibri" w:hAnsi="Calibri" w:cs="Calibri"/>
        </w:rPr>
        <w:t>,</w:t>
      </w:r>
      <w:r w:rsidR="00780D33">
        <w:rPr>
          <w:rFonts w:ascii="Calibri" w:hAnsi="Calibri" w:cs="Calibri"/>
        </w:rPr>
        <w:t xml:space="preserve"> </w:t>
      </w:r>
      <w:r w:rsidR="00780D33" w:rsidRPr="00780D33">
        <w:rPr>
          <w:rFonts w:ascii="Calibri" w:hAnsi="Calibri" w:cs="Calibri"/>
          <w:i/>
          <w:iCs/>
        </w:rPr>
        <w:t>p</w:t>
      </w:r>
      <w:r w:rsidR="00780D33">
        <w:rPr>
          <w:rFonts w:ascii="Calibri" w:hAnsi="Calibri" w:cs="Calibri"/>
        </w:rPr>
        <w:t xml:space="preserve"> = 0.2</w:t>
      </w:r>
      <w:r w:rsidRPr="007E61A7">
        <w:rPr>
          <w:rFonts w:ascii="Calibri" w:hAnsi="Calibri" w:cs="Calibri"/>
        </w:rPr>
        <w:t> ). Although non-significant, this aligns with the main clinical trends.</w:t>
      </w:r>
    </w:p>
    <w:p w14:paraId="6919B91A" w14:textId="77777777" w:rsidR="00574DF9" w:rsidRPr="007E61A7" w:rsidRDefault="00574DF9" w:rsidP="00574DF9">
      <w:pPr>
        <w:numPr>
          <w:ilvl w:val="0"/>
          <w:numId w:val="12"/>
        </w:numPr>
        <w:rPr>
          <w:rFonts w:ascii="Calibri" w:hAnsi="Calibri" w:cs="Calibri"/>
        </w:rPr>
      </w:pPr>
      <w:r w:rsidRPr="007E61A7">
        <w:rPr>
          <w:rFonts w:ascii="Calibri" w:hAnsi="Calibri" w:cs="Calibri"/>
        </w:rPr>
        <w:t>Lagged Exposure Sensitivity Analysis: To rule out the possibility that early cardiovascular events were driving treatment changes (reverse-causality), exposure and PSA suppression metrics were analyzed using pre-specified landmark lag periods of 0, 3, 6, and 12 months. The stability of the hazard ratios across these varying lag windows (Figure S4 / Table S6) confirms that the observed association between PSA trajectories and cardiovascular risk is robust and independent of immediate post-treatment protopathic bias.</w:t>
      </w:r>
    </w:p>
    <w:p w14:paraId="3800E0AE" w14:textId="77777777" w:rsidR="00E93D32" w:rsidRPr="007E61A7" w:rsidRDefault="00E93D32">
      <w:pPr>
        <w:rPr>
          <w:rFonts w:ascii="Calibri" w:hAnsi="Calibri" w:cs="Calibri"/>
          <w:b/>
          <w:bCs/>
        </w:rPr>
      </w:pPr>
      <w:r w:rsidRPr="007E61A7">
        <w:rPr>
          <w:rFonts w:ascii="Calibri" w:hAnsi="Calibri" w:cs="Calibri"/>
          <w:b/>
          <w:bCs/>
        </w:rPr>
        <w:br w:type="page"/>
      </w:r>
    </w:p>
    <w:p w14:paraId="66F3DA7F" w14:textId="7E30FA57" w:rsidR="00524F26" w:rsidRPr="007E61A7" w:rsidRDefault="00524F26" w:rsidP="00524F26">
      <w:pPr>
        <w:rPr>
          <w:rFonts w:ascii="Calibri" w:hAnsi="Calibri" w:cs="Calibri"/>
          <w:b/>
          <w:bCs/>
        </w:rPr>
      </w:pPr>
      <w:r w:rsidRPr="007E61A7">
        <w:rPr>
          <w:rFonts w:ascii="Calibri" w:hAnsi="Calibri" w:cs="Calibri"/>
          <w:b/>
          <w:bCs/>
        </w:rPr>
        <w:lastRenderedPageBreak/>
        <w:t>Table S1 — Baseline characteristics before and after IPTW weighting</w:t>
      </w:r>
    </w:p>
    <w:tbl>
      <w:tblPr>
        <w:tblStyle w:val="GridTable4-Accent1"/>
        <w:tblW w:w="5000" w:type="pct"/>
        <w:tblInd w:w="0" w:type="dxa"/>
        <w:tblLook w:val="04A0" w:firstRow="1" w:lastRow="0" w:firstColumn="1" w:lastColumn="0" w:noHBand="0" w:noVBand="1"/>
      </w:tblPr>
      <w:tblGrid>
        <w:gridCol w:w="2965"/>
        <w:gridCol w:w="1451"/>
        <w:gridCol w:w="1442"/>
        <w:gridCol w:w="1725"/>
        <w:gridCol w:w="1473"/>
      </w:tblGrid>
      <w:tr w:rsidR="00BF2994" w:rsidRPr="007E61A7" w14:paraId="6EC63E46" w14:textId="77777777" w:rsidTr="00FB07B6">
        <w:trPr>
          <w:tblHeader/>
        </w:trPr>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CEA78BC" w14:textId="77777777" w:rsidR="00BF2994" w:rsidRPr="007E61A7" w:rsidRDefault="00BF2994">
            <w:pPr>
              <w:spacing w:after="160"/>
              <w:rPr>
                <w:rFonts w:ascii="Calibri" w:hAnsi="Calibri" w:cs="Calibri"/>
              </w:rPr>
            </w:pPr>
            <w:r w:rsidRPr="007E61A7">
              <w:rPr>
                <w:rFonts w:ascii="Calibri" w:hAnsi="Calibri" w:cs="Calibri"/>
                <w:b/>
                <w:bCs/>
              </w:rPr>
              <w:t>Variable</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A26B032" w14:textId="77777777" w:rsidR="00BF2994" w:rsidRPr="007E61A7" w:rsidRDefault="00BF2994">
            <w:pPr>
              <w:spacing w:after="160"/>
              <w:rPr>
                <w:rFonts w:ascii="Calibri" w:hAnsi="Calibri" w:cs="Calibri"/>
              </w:rPr>
            </w:pPr>
            <w:r w:rsidRPr="007E61A7">
              <w:rPr>
                <w:rFonts w:ascii="Calibri" w:hAnsi="Calibri" w:cs="Calibri"/>
                <w:b/>
                <w:bCs/>
              </w:rPr>
              <w:t>Unweighted Mean / %</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9423739" w14:textId="77777777" w:rsidR="00BF2994" w:rsidRPr="007E61A7" w:rsidRDefault="00BF2994">
            <w:pPr>
              <w:spacing w:after="160"/>
              <w:rPr>
                <w:rFonts w:ascii="Calibri" w:hAnsi="Calibri" w:cs="Calibri"/>
              </w:rPr>
            </w:pPr>
            <w:r w:rsidRPr="007E61A7">
              <w:rPr>
                <w:rFonts w:ascii="Calibri" w:hAnsi="Calibri" w:cs="Calibri"/>
                <w:b/>
                <w:bCs/>
              </w:rPr>
              <w:t>Weighted Mean / %</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C4D3D00" w14:textId="77777777" w:rsidR="00BF2994" w:rsidRPr="007E61A7" w:rsidRDefault="00BF2994">
            <w:pPr>
              <w:spacing w:after="160"/>
              <w:rPr>
                <w:rFonts w:ascii="Calibri" w:hAnsi="Calibri" w:cs="Calibri"/>
              </w:rPr>
            </w:pPr>
            <w:r w:rsidRPr="007E61A7">
              <w:rPr>
                <w:rFonts w:ascii="Calibri" w:hAnsi="Calibri" w:cs="Calibri"/>
                <w:b/>
                <w:bCs/>
              </w:rPr>
              <w:t>SMD (Unweighted)</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A2A2B26" w14:textId="77777777" w:rsidR="00BF2994" w:rsidRPr="007E61A7" w:rsidRDefault="00BF2994">
            <w:pPr>
              <w:spacing w:after="160"/>
              <w:rPr>
                <w:rFonts w:ascii="Calibri" w:hAnsi="Calibri" w:cs="Calibri"/>
              </w:rPr>
            </w:pPr>
            <w:r w:rsidRPr="007E61A7">
              <w:rPr>
                <w:rFonts w:ascii="Calibri" w:hAnsi="Calibri" w:cs="Calibri"/>
                <w:b/>
                <w:bCs/>
              </w:rPr>
              <w:t>SMD (Weighted)</w:t>
            </w:r>
          </w:p>
        </w:tc>
      </w:tr>
      <w:tr w:rsidR="00BF2994" w:rsidRPr="007E61A7" w14:paraId="1E3B6320"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64FEBBB" w14:textId="77777777" w:rsidR="00BF2994" w:rsidRPr="007E61A7" w:rsidRDefault="00BF2994">
            <w:pPr>
              <w:spacing w:after="160"/>
              <w:rPr>
                <w:rFonts w:ascii="Calibri" w:hAnsi="Calibri" w:cs="Calibri"/>
              </w:rPr>
            </w:pPr>
            <w:r w:rsidRPr="007E61A7">
              <w:rPr>
                <w:rFonts w:ascii="Calibri" w:hAnsi="Calibri" w:cs="Calibri"/>
                <w:b/>
                <w:bCs/>
              </w:rPr>
              <w:t>Age</w:t>
            </w:r>
            <w:r w:rsidRPr="007E61A7">
              <w:rPr>
                <w:rFonts w:ascii="Calibri" w:hAnsi="Calibri" w:cs="Calibri"/>
              </w:rPr>
              <w:t> (years, median)</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31338C8" w14:textId="77777777" w:rsidR="00BF2994" w:rsidRPr="007E61A7" w:rsidRDefault="00BF2994">
            <w:pPr>
              <w:spacing w:after="160"/>
              <w:rPr>
                <w:rFonts w:ascii="Calibri" w:hAnsi="Calibri" w:cs="Calibri"/>
              </w:rPr>
            </w:pPr>
            <w:r w:rsidRPr="007E61A7">
              <w:rPr>
                <w:rFonts w:ascii="Calibri" w:hAnsi="Calibri" w:cs="Calibri"/>
              </w:rPr>
              <w:t>78.00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3760DF3" w14:textId="77777777" w:rsidR="00BF2994" w:rsidRPr="007E61A7" w:rsidRDefault="00BF2994">
            <w:pPr>
              <w:spacing w:after="160"/>
              <w:rPr>
                <w:rFonts w:ascii="Calibri" w:hAnsi="Calibri" w:cs="Calibri"/>
              </w:rPr>
            </w:pPr>
            <w:r w:rsidRPr="007E61A7">
              <w:rPr>
                <w:rFonts w:ascii="Calibri" w:hAnsi="Calibri" w:cs="Calibri"/>
              </w:rPr>
              <w:t>77.00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301ED16" w14:textId="77777777" w:rsidR="00BF2994" w:rsidRPr="007E61A7" w:rsidRDefault="00BF2994">
            <w:pPr>
              <w:spacing w:after="160"/>
              <w:rPr>
                <w:rFonts w:ascii="Calibri" w:hAnsi="Calibri" w:cs="Calibri"/>
              </w:rPr>
            </w:pPr>
            <w:r w:rsidRPr="007E61A7">
              <w:rPr>
                <w:rFonts w:ascii="Calibri" w:hAnsi="Calibri" w:cs="Calibri"/>
              </w:rPr>
              <w:t>0.23</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BF12C3F" w14:textId="77777777" w:rsidR="00BF2994" w:rsidRPr="007E61A7" w:rsidRDefault="00BF2994">
            <w:pPr>
              <w:spacing w:after="160"/>
              <w:rPr>
                <w:rFonts w:ascii="Calibri" w:hAnsi="Calibri" w:cs="Calibri"/>
              </w:rPr>
            </w:pPr>
            <w:r w:rsidRPr="007E61A7">
              <w:rPr>
                <w:rFonts w:ascii="Calibri" w:hAnsi="Calibri" w:cs="Calibri"/>
              </w:rPr>
              <w:t>0.04</w:t>
            </w:r>
          </w:p>
        </w:tc>
      </w:tr>
      <w:tr w:rsidR="00BF2994" w:rsidRPr="007E61A7" w14:paraId="65B4F4D6"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7568E3A" w14:textId="77777777" w:rsidR="00BF2994" w:rsidRPr="007E61A7" w:rsidRDefault="00BF2994">
            <w:pPr>
              <w:spacing w:after="160"/>
              <w:rPr>
                <w:rFonts w:ascii="Calibri" w:hAnsi="Calibri" w:cs="Calibri"/>
              </w:rPr>
            </w:pPr>
            <w:r w:rsidRPr="007E61A7">
              <w:rPr>
                <w:rFonts w:ascii="Calibri" w:hAnsi="Calibri" w:cs="Calibri"/>
                <w:b/>
                <w:bCs/>
              </w:rPr>
              <w:t>BMI</w:t>
            </w:r>
            <w:r w:rsidRPr="007E61A7">
              <w:rPr>
                <w:rFonts w:ascii="Calibri" w:hAnsi="Calibri" w:cs="Calibri"/>
              </w:rPr>
              <w:t> (kg/m², median)</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E9B2B79" w14:textId="77777777" w:rsidR="00BF2994" w:rsidRPr="007E61A7" w:rsidRDefault="00BF2994">
            <w:pPr>
              <w:spacing w:after="160"/>
              <w:rPr>
                <w:rFonts w:ascii="Calibri" w:hAnsi="Calibri" w:cs="Calibri"/>
              </w:rPr>
            </w:pPr>
            <w:r w:rsidRPr="007E61A7">
              <w:rPr>
                <w:rFonts w:ascii="Calibri" w:hAnsi="Calibri" w:cs="Calibri"/>
              </w:rPr>
              <w:t>23.18</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1DFAA15" w14:textId="77777777" w:rsidR="00BF2994" w:rsidRPr="007E61A7" w:rsidRDefault="00BF2994">
            <w:pPr>
              <w:spacing w:after="160"/>
              <w:rPr>
                <w:rFonts w:ascii="Calibri" w:hAnsi="Calibri" w:cs="Calibri"/>
              </w:rPr>
            </w:pPr>
            <w:r w:rsidRPr="007E61A7">
              <w:rPr>
                <w:rFonts w:ascii="Calibri" w:hAnsi="Calibri" w:cs="Calibri"/>
              </w:rPr>
              <w:t>23.23</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C8CBB7A" w14:textId="77777777" w:rsidR="00BF2994" w:rsidRPr="007E61A7" w:rsidRDefault="00BF2994">
            <w:pPr>
              <w:spacing w:after="160"/>
              <w:rPr>
                <w:rFonts w:ascii="Calibri" w:hAnsi="Calibri" w:cs="Calibri"/>
              </w:rPr>
            </w:pPr>
            <w:r w:rsidRPr="007E61A7">
              <w:rPr>
                <w:rFonts w:ascii="Calibri" w:hAnsi="Calibri" w:cs="Calibri"/>
              </w:rPr>
              <w:t>0.18</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E00F49C" w14:textId="77777777" w:rsidR="00BF2994" w:rsidRPr="007E61A7" w:rsidRDefault="00BF2994">
            <w:pPr>
              <w:spacing w:after="160"/>
              <w:rPr>
                <w:rFonts w:ascii="Calibri" w:hAnsi="Calibri" w:cs="Calibri"/>
              </w:rPr>
            </w:pPr>
            <w:r w:rsidRPr="007E61A7">
              <w:rPr>
                <w:rFonts w:ascii="Calibri" w:hAnsi="Calibri" w:cs="Calibri"/>
              </w:rPr>
              <w:t>0.03</w:t>
            </w:r>
          </w:p>
        </w:tc>
      </w:tr>
      <w:tr w:rsidR="00BF2994" w:rsidRPr="007E61A7" w14:paraId="537DEC9B"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A21B2B8" w14:textId="77777777" w:rsidR="00BF2994" w:rsidRPr="007E61A7" w:rsidRDefault="00BF2994">
            <w:pPr>
              <w:spacing w:after="160"/>
              <w:rPr>
                <w:rFonts w:ascii="Calibri" w:hAnsi="Calibri" w:cs="Calibri"/>
              </w:rPr>
            </w:pPr>
            <w:r w:rsidRPr="007E61A7">
              <w:rPr>
                <w:rFonts w:ascii="Calibri" w:hAnsi="Calibri" w:cs="Calibri"/>
                <w:b/>
                <w:bCs/>
              </w:rPr>
              <w:t>Hypertension</w:t>
            </w:r>
            <w:r w:rsidRPr="007E61A7">
              <w:rPr>
                <w:rFonts w:ascii="Calibri" w:hAnsi="Calibri" w:cs="Calibri"/>
              </w:rPr>
              <w:t> (%)</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9D23C26" w14:textId="77777777" w:rsidR="00BF2994" w:rsidRPr="007E61A7" w:rsidRDefault="00BF2994">
            <w:pPr>
              <w:spacing w:after="160"/>
              <w:rPr>
                <w:rFonts w:ascii="Calibri" w:hAnsi="Calibri" w:cs="Calibri"/>
              </w:rPr>
            </w:pPr>
            <w:r w:rsidRPr="007E61A7">
              <w:rPr>
                <w:rFonts w:ascii="Calibri" w:hAnsi="Calibri" w:cs="Calibri"/>
              </w:rPr>
              <w:t>32.00%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15A4896" w14:textId="77777777" w:rsidR="00BF2994" w:rsidRPr="007E61A7" w:rsidRDefault="00BF2994">
            <w:pPr>
              <w:spacing w:after="160"/>
              <w:rPr>
                <w:rFonts w:ascii="Calibri" w:hAnsi="Calibri" w:cs="Calibri"/>
              </w:rPr>
            </w:pPr>
            <w:r w:rsidRPr="007E61A7">
              <w:rPr>
                <w:rFonts w:ascii="Calibri" w:hAnsi="Calibri" w:cs="Calibri"/>
              </w:rPr>
              <w:t>31.80%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F9F609B" w14:textId="77777777" w:rsidR="00BF2994" w:rsidRPr="007E61A7" w:rsidRDefault="00BF2994">
            <w:pPr>
              <w:spacing w:after="160"/>
              <w:rPr>
                <w:rFonts w:ascii="Calibri" w:hAnsi="Calibri" w:cs="Calibri"/>
              </w:rPr>
            </w:pPr>
            <w:r w:rsidRPr="007E61A7">
              <w:rPr>
                <w:rFonts w:ascii="Calibri" w:hAnsi="Calibri" w:cs="Calibri"/>
              </w:rPr>
              <w:t>0.21</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04A0A68" w14:textId="77777777" w:rsidR="00BF2994" w:rsidRPr="007E61A7" w:rsidRDefault="00BF2994">
            <w:pPr>
              <w:spacing w:after="160"/>
              <w:rPr>
                <w:rFonts w:ascii="Calibri" w:hAnsi="Calibri" w:cs="Calibri"/>
              </w:rPr>
            </w:pPr>
            <w:r w:rsidRPr="007E61A7">
              <w:rPr>
                <w:rFonts w:ascii="Calibri" w:hAnsi="Calibri" w:cs="Calibri"/>
              </w:rPr>
              <w:t>0.05</w:t>
            </w:r>
          </w:p>
        </w:tc>
      </w:tr>
      <w:tr w:rsidR="00BF2994" w:rsidRPr="007E61A7" w14:paraId="1B042479"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0EAD253" w14:textId="77777777" w:rsidR="00BF2994" w:rsidRPr="007E61A7" w:rsidRDefault="00BF2994">
            <w:pPr>
              <w:spacing w:after="160"/>
              <w:rPr>
                <w:rFonts w:ascii="Calibri" w:hAnsi="Calibri" w:cs="Calibri"/>
              </w:rPr>
            </w:pPr>
            <w:r w:rsidRPr="007E61A7">
              <w:rPr>
                <w:rFonts w:ascii="Calibri" w:hAnsi="Calibri" w:cs="Calibri"/>
                <w:b/>
                <w:bCs/>
              </w:rPr>
              <w:t>Dyslipidemia</w:t>
            </w:r>
            <w:r w:rsidRPr="007E61A7">
              <w:rPr>
                <w:rFonts w:ascii="Calibri" w:hAnsi="Calibri" w:cs="Calibri"/>
              </w:rPr>
              <w:t> (%)</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B936FB9" w14:textId="77777777" w:rsidR="00BF2994" w:rsidRPr="007E61A7" w:rsidRDefault="00BF2994">
            <w:pPr>
              <w:spacing w:after="160"/>
              <w:rPr>
                <w:rFonts w:ascii="Calibri" w:hAnsi="Calibri" w:cs="Calibri"/>
              </w:rPr>
            </w:pPr>
            <w:r w:rsidRPr="007E61A7">
              <w:rPr>
                <w:rFonts w:ascii="Calibri" w:hAnsi="Calibri" w:cs="Calibri"/>
              </w:rPr>
              <w:t>20.00%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232078B" w14:textId="77777777" w:rsidR="00BF2994" w:rsidRPr="007E61A7" w:rsidRDefault="00BF2994">
            <w:pPr>
              <w:spacing w:after="160"/>
              <w:rPr>
                <w:rFonts w:ascii="Calibri" w:hAnsi="Calibri" w:cs="Calibri"/>
              </w:rPr>
            </w:pPr>
            <w:r w:rsidRPr="007E61A7">
              <w:rPr>
                <w:rFonts w:ascii="Calibri" w:hAnsi="Calibri" w:cs="Calibri"/>
              </w:rPr>
              <w:t>20.20%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4581239" w14:textId="77777777" w:rsidR="00BF2994" w:rsidRPr="007E61A7" w:rsidRDefault="00BF2994">
            <w:pPr>
              <w:spacing w:after="160"/>
              <w:rPr>
                <w:rFonts w:ascii="Calibri" w:hAnsi="Calibri" w:cs="Calibri"/>
              </w:rPr>
            </w:pPr>
            <w:r w:rsidRPr="007E61A7">
              <w:rPr>
                <w:rFonts w:ascii="Calibri" w:hAnsi="Calibri" w:cs="Calibri"/>
              </w:rPr>
              <w:t>0.19</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1BFED6C" w14:textId="77777777" w:rsidR="00BF2994" w:rsidRPr="007E61A7" w:rsidRDefault="00BF2994">
            <w:pPr>
              <w:spacing w:after="160"/>
              <w:rPr>
                <w:rFonts w:ascii="Calibri" w:hAnsi="Calibri" w:cs="Calibri"/>
              </w:rPr>
            </w:pPr>
            <w:r w:rsidRPr="007E61A7">
              <w:rPr>
                <w:rFonts w:ascii="Calibri" w:hAnsi="Calibri" w:cs="Calibri"/>
              </w:rPr>
              <w:t>0.04</w:t>
            </w:r>
          </w:p>
        </w:tc>
      </w:tr>
      <w:tr w:rsidR="00BF2994" w:rsidRPr="007E61A7" w14:paraId="6563B0EA"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8F80070" w14:textId="77777777" w:rsidR="00BF2994" w:rsidRPr="007E61A7" w:rsidRDefault="00BF2994">
            <w:pPr>
              <w:spacing w:after="160"/>
              <w:rPr>
                <w:rFonts w:ascii="Calibri" w:hAnsi="Calibri" w:cs="Calibri"/>
              </w:rPr>
            </w:pPr>
            <w:r w:rsidRPr="007E61A7">
              <w:rPr>
                <w:rFonts w:ascii="Calibri" w:hAnsi="Calibri" w:cs="Calibri"/>
                <w:b/>
                <w:bCs/>
              </w:rPr>
              <w:t>Diabetes</w:t>
            </w:r>
            <w:r w:rsidRPr="007E61A7">
              <w:rPr>
                <w:rFonts w:ascii="Calibri" w:hAnsi="Calibri" w:cs="Calibri"/>
              </w:rPr>
              <w:t> (%)</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D35914B" w14:textId="77777777" w:rsidR="00BF2994" w:rsidRPr="007E61A7" w:rsidRDefault="00BF2994">
            <w:pPr>
              <w:spacing w:after="160"/>
              <w:rPr>
                <w:rFonts w:ascii="Calibri" w:hAnsi="Calibri" w:cs="Calibri"/>
              </w:rPr>
            </w:pPr>
            <w:r w:rsidRPr="007E61A7">
              <w:rPr>
                <w:rFonts w:ascii="Calibri" w:hAnsi="Calibri" w:cs="Calibri"/>
              </w:rPr>
              <w:t>23.00%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B13C475" w14:textId="77777777" w:rsidR="00BF2994" w:rsidRPr="007E61A7" w:rsidRDefault="00BF2994">
            <w:pPr>
              <w:spacing w:after="160"/>
              <w:rPr>
                <w:rFonts w:ascii="Calibri" w:hAnsi="Calibri" w:cs="Calibri"/>
              </w:rPr>
            </w:pPr>
            <w:r w:rsidRPr="007E61A7">
              <w:rPr>
                <w:rFonts w:ascii="Calibri" w:hAnsi="Calibri" w:cs="Calibri"/>
              </w:rPr>
              <w:t>22.90%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064B105" w14:textId="77777777" w:rsidR="00BF2994" w:rsidRPr="007E61A7" w:rsidRDefault="00BF2994">
            <w:pPr>
              <w:spacing w:after="160"/>
              <w:rPr>
                <w:rFonts w:ascii="Calibri" w:hAnsi="Calibri" w:cs="Calibri"/>
              </w:rPr>
            </w:pPr>
            <w:r w:rsidRPr="007E61A7">
              <w:rPr>
                <w:rFonts w:ascii="Calibri" w:hAnsi="Calibri" w:cs="Calibri"/>
              </w:rPr>
              <w:t>0.17</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1E7D1AC" w14:textId="77777777" w:rsidR="00BF2994" w:rsidRPr="007E61A7" w:rsidRDefault="00BF2994">
            <w:pPr>
              <w:spacing w:after="160"/>
              <w:rPr>
                <w:rFonts w:ascii="Calibri" w:hAnsi="Calibri" w:cs="Calibri"/>
              </w:rPr>
            </w:pPr>
            <w:r w:rsidRPr="007E61A7">
              <w:rPr>
                <w:rFonts w:ascii="Calibri" w:hAnsi="Calibri" w:cs="Calibri"/>
              </w:rPr>
              <w:t>0.03</w:t>
            </w:r>
          </w:p>
        </w:tc>
      </w:tr>
      <w:tr w:rsidR="00BF2994" w:rsidRPr="007E61A7" w14:paraId="64FECEB7"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C86DD65" w14:textId="77777777" w:rsidR="00BF2994" w:rsidRPr="007E61A7" w:rsidRDefault="00BF2994">
            <w:pPr>
              <w:spacing w:after="160"/>
              <w:rPr>
                <w:rFonts w:ascii="Calibri" w:hAnsi="Calibri" w:cs="Calibri"/>
              </w:rPr>
            </w:pPr>
            <w:r w:rsidRPr="007E61A7">
              <w:rPr>
                <w:rFonts w:ascii="Calibri" w:hAnsi="Calibri" w:cs="Calibri"/>
                <w:b/>
                <w:bCs/>
              </w:rPr>
              <w:t>Smoking</w:t>
            </w:r>
            <w:r w:rsidRPr="007E61A7">
              <w:rPr>
                <w:rFonts w:ascii="Calibri" w:hAnsi="Calibri" w:cs="Calibri"/>
              </w:rPr>
              <w:t> (current/past) (%)</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CE8441C" w14:textId="77777777" w:rsidR="00BF2994" w:rsidRPr="007E61A7" w:rsidRDefault="00BF2994">
            <w:pPr>
              <w:spacing w:after="160"/>
              <w:rPr>
                <w:rFonts w:ascii="Calibri" w:hAnsi="Calibri" w:cs="Calibri"/>
              </w:rPr>
            </w:pPr>
            <w:r w:rsidRPr="007E61A7">
              <w:rPr>
                <w:rFonts w:ascii="Calibri" w:hAnsi="Calibri" w:cs="Calibri"/>
              </w:rPr>
              <w:t>45.50%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589A68A" w14:textId="77777777" w:rsidR="00BF2994" w:rsidRPr="007E61A7" w:rsidRDefault="00BF2994">
            <w:pPr>
              <w:spacing w:after="160"/>
              <w:rPr>
                <w:rFonts w:ascii="Calibri" w:hAnsi="Calibri" w:cs="Calibri"/>
              </w:rPr>
            </w:pPr>
            <w:r w:rsidRPr="007E61A7">
              <w:rPr>
                <w:rFonts w:ascii="Calibri" w:hAnsi="Calibri" w:cs="Calibri"/>
              </w:rPr>
              <w:t>45.40%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CC6B0BB" w14:textId="77777777" w:rsidR="00BF2994" w:rsidRPr="007E61A7" w:rsidRDefault="00BF2994">
            <w:pPr>
              <w:spacing w:after="160"/>
              <w:rPr>
                <w:rFonts w:ascii="Calibri" w:hAnsi="Calibri" w:cs="Calibri"/>
              </w:rPr>
            </w:pPr>
            <w:r w:rsidRPr="007E61A7">
              <w:rPr>
                <w:rFonts w:ascii="Calibri" w:hAnsi="Calibri" w:cs="Calibri"/>
              </w:rPr>
              <w:t>0.22</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D76E367" w14:textId="77777777" w:rsidR="00BF2994" w:rsidRPr="007E61A7" w:rsidRDefault="00BF2994">
            <w:pPr>
              <w:spacing w:after="160"/>
              <w:rPr>
                <w:rFonts w:ascii="Calibri" w:hAnsi="Calibri" w:cs="Calibri"/>
              </w:rPr>
            </w:pPr>
            <w:r w:rsidRPr="007E61A7">
              <w:rPr>
                <w:rFonts w:ascii="Calibri" w:hAnsi="Calibri" w:cs="Calibri"/>
              </w:rPr>
              <w:t>0.06</w:t>
            </w:r>
          </w:p>
        </w:tc>
      </w:tr>
      <w:tr w:rsidR="00BF2994" w:rsidRPr="007E61A7" w14:paraId="49D84C93"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E4D3CB1" w14:textId="77777777" w:rsidR="00BF2994" w:rsidRPr="007E61A7" w:rsidRDefault="00BF2994">
            <w:pPr>
              <w:spacing w:after="160"/>
              <w:rPr>
                <w:rFonts w:ascii="Calibri" w:hAnsi="Calibri" w:cs="Calibri"/>
              </w:rPr>
            </w:pPr>
            <w:r w:rsidRPr="007E61A7">
              <w:rPr>
                <w:rFonts w:ascii="Calibri" w:hAnsi="Calibri" w:cs="Calibri"/>
                <w:b/>
                <w:bCs/>
              </w:rPr>
              <w:t>Cancer stage (I–IV)</w:t>
            </w:r>
            <w:r w:rsidRPr="007E61A7">
              <w:rPr>
                <w:rFonts w:ascii="Calibri" w:hAnsi="Calibri" w:cs="Calibri"/>
              </w:rPr>
              <w:t> (% Stage IV)</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41E0F98" w14:textId="77777777" w:rsidR="00BF2994" w:rsidRPr="007E61A7" w:rsidRDefault="00BF2994">
            <w:pPr>
              <w:spacing w:after="160"/>
              <w:rPr>
                <w:rFonts w:ascii="Calibri" w:hAnsi="Calibri" w:cs="Calibri"/>
              </w:rPr>
            </w:pPr>
            <w:r w:rsidRPr="007E61A7">
              <w:rPr>
                <w:rFonts w:ascii="Calibri" w:hAnsi="Calibri" w:cs="Calibri"/>
              </w:rPr>
              <w:t>28.30%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0490405" w14:textId="77777777" w:rsidR="00BF2994" w:rsidRPr="007E61A7" w:rsidRDefault="00BF2994">
            <w:pPr>
              <w:spacing w:after="160"/>
              <w:rPr>
                <w:rFonts w:ascii="Calibri" w:hAnsi="Calibri" w:cs="Calibri"/>
              </w:rPr>
            </w:pPr>
            <w:r w:rsidRPr="007E61A7">
              <w:rPr>
                <w:rFonts w:ascii="Calibri" w:hAnsi="Calibri" w:cs="Calibri"/>
              </w:rPr>
              <w:t>31.50%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C2C30CB" w14:textId="77777777" w:rsidR="00BF2994" w:rsidRPr="007E61A7" w:rsidRDefault="00BF2994">
            <w:pPr>
              <w:spacing w:after="160"/>
              <w:rPr>
                <w:rFonts w:ascii="Calibri" w:hAnsi="Calibri" w:cs="Calibri"/>
              </w:rPr>
            </w:pPr>
            <w:r w:rsidRPr="007E61A7">
              <w:rPr>
                <w:rFonts w:ascii="Calibri" w:hAnsi="Calibri" w:cs="Calibri"/>
              </w:rPr>
              <w:t>0.25</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658DB0C" w14:textId="77777777" w:rsidR="00BF2994" w:rsidRPr="007E61A7" w:rsidRDefault="00BF2994">
            <w:pPr>
              <w:spacing w:after="160"/>
              <w:rPr>
                <w:rFonts w:ascii="Calibri" w:hAnsi="Calibri" w:cs="Calibri"/>
              </w:rPr>
            </w:pPr>
            <w:r w:rsidRPr="007E61A7">
              <w:rPr>
                <w:rFonts w:ascii="Calibri" w:hAnsi="Calibri" w:cs="Calibri"/>
              </w:rPr>
              <w:t>0.07</w:t>
            </w:r>
          </w:p>
        </w:tc>
      </w:tr>
      <w:tr w:rsidR="00BF2994" w:rsidRPr="007E61A7" w14:paraId="1E591D53" w14:textId="77777777" w:rsidTr="00FB07B6">
        <w:tc>
          <w:tcPr>
            <w:tcW w:w="1639"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9FE8EEE" w14:textId="77777777" w:rsidR="00BF2994" w:rsidRPr="007E61A7" w:rsidRDefault="00BF2994">
            <w:pPr>
              <w:spacing w:after="160"/>
              <w:rPr>
                <w:rFonts w:ascii="Calibri" w:hAnsi="Calibri" w:cs="Calibri"/>
              </w:rPr>
            </w:pPr>
            <w:r w:rsidRPr="007E61A7">
              <w:rPr>
                <w:rFonts w:ascii="Calibri" w:hAnsi="Calibri" w:cs="Calibri"/>
                <w:b/>
                <w:bCs/>
              </w:rPr>
              <w:t>PSA &lt;1.0 ng/mL</w:t>
            </w:r>
            <w:r w:rsidRPr="007E61A7">
              <w:rPr>
                <w:rFonts w:ascii="Calibri" w:hAnsi="Calibri" w:cs="Calibri"/>
              </w:rPr>
              <w:t> (%)</w:t>
            </w:r>
          </w:p>
        </w:tc>
        <w:tc>
          <w:tcPr>
            <w:tcW w:w="79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5BDE6AE" w14:textId="77777777" w:rsidR="00BF2994" w:rsidRPr="007E61A7" w:rsidRDefault="00BF2994">
            <w:pPr>
              <w:spacing w:after="160"/>
              <w:rPr>
                <w:rFonts w:ascii="Calibri" w:hAnsi="Calibri" w:cs="Calibri"/>
              </w:rPr>
            </w:pPr>
            <w:r w:rsidRPr="007E61A7">
              <w:rPr>
                <w:rFonts w:ascii="Calibri" w:hAnsi="Calibri" w:cs="Calibri"/>
              </w:rPr>
              <w:t>62.00%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14746C0" w14:textId="77777777" w:rsidR="00BF2994" w:rsidRPr="007E61A7" w:rsidRDefault="00BF2994">
            <w:pPr>
              <w:spacing w:after="160"/>
              <w:rPr>
                <w:rFonts w:ascii="Calibri" w:hAnsi="Calibri" w:cs="Calibri"/>
              </w:rPr>
            </w:pPr>
            <w:r w:rsidRPr="007E61A7">
              <w:rPr>
                <w:rFonts w:ascii="Calibri" w:hAnsi="Calibri" w:cs="Calibri"/>
              </w:rPr>
              <w:t>62.00%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6720DAB" w14:textId="77777777" w:rsidR="00BF2994" w:rsidRPr="007E61A7" w:rsidRDefault="00BF2994">
            <w:pPr>
              <w:spacing w:after="160"/>
              <w:rPr>
                <w:rFonts w:ascii="Calibri" w:hAnsi="Calibri" w:cs="Calibri"/>
              </w:rPr>
            </w:pPr>
            <w:r w:rsidRPr="007E61A7">
              <w:rPr>
                <w:rFonts w:ascii="Calibri" w:hAnsi="Calibri" w:cs="Calibri"/>
              </w:rPr>
              <w:t>0.28</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0830B65" w14:textId="77777777" w:rsidR="00BF2994" w:rsidRPr="007E61A7" w:rsidRDefault="00BF2994">
            <w:pPr>
              <w:spacing w:after="160"/>
              <w:rPr>
                <w:rFonts w:ascii="Calibri" w:hAnsi="Calibri" w:cs="Calibri"/>
              </w:rPr>
            </w:pPr>
            <w:r w:rsidRPr="007E61A7">
              <w:rPr>
                <w:rFonts w:ascii="Calibri" w:hAnsi="Calibri" w:cs="Calibri"/>
              </w:rPr>
              <w:t>0.08</w:t>
            </w:r>
          </w:p>
        </w:tc>
      </w:tr>
    </w:tbl>
    <w:p w14:paraId="0E034349" w14:textId="77777777" w:rsidR="0038496C" w:rsidRPr="007E61A7" w:rsidRDefault="0038496C" w:rsidP="0038496C">
      <w:pPr>
        <w:spacing w:after="0"/>
        <w:rPr>
          <w:rFonts w:ascii="Calibri" w:hAnsi="Calibri" w:cs="Calibri"/>
          <w:b/>
          <w:bCs/>
        </w:rPr>
      </w:pPr>
    </w:p>
    <w:p w14:paraId="7E057E96" w14:textId="51B0FDBE" w:rsidR="0038496C" w:rsidRPr="007E61A7" w:rsidRDefault="0038496C" w:rsidP="0038496C">
      <w:pPr>
        <w:spacing w:after="0"/>
        <w:rPr>
          <w:rFonts w:ascii="Calibri" w:hAnsi="Calibri" w:cs="Calibri"/>
          <w:i/>
          <w:iCs/>
        </w:rPr>
      </w:pPr>
      <w:r w:rsidRPr="007E61A7">
        <w:rPr>
          <w:rFonts w:ascii="Calibri" w:hAnsi="Calibri" w:cs="Calibri"/>
          <w:b/>
          <w:bCs/>
        </w:rPr>
        <w:t xml:space="preserve">Legend : </w:t>
      </w:r>
      <w:r w:rsidRPr="007E61A7">
        <w:rPr>
          <w:rFonts w:ascii="Calibri" w:hAnsi="Calibri" w:cs="Calibri"/>
          <w:i/>
          <w:iCs/>
        </w:rPr>
        <w:t>Baseline demographic and clinical characteristics before and after IPTW weighting. Weighted covariate distributions show improved balance across castration modalities, with all standardized mean differences (SMDs) reduced below 0.10.</w:t>
      </w:r>
    </w:p>
    <w:p w14:paraId="3A88C059" w14:textId="77777777" w:rsidR="0038496C" w:rsidRPr="007E61A7" w:rsidRDefault="0038496C" w:rsidP="00524F26">
      <w:pPr>
        <w:rPr>
          <w:rFonts w:ascii="Calibri" w:hAnsi="Calibri" w:cs="Calibri"/>
          <w:i/>
          <w:iCs/>
        </w:rPr>
      </w:pPr>
    </w:p>
    <w:p w14:paraId="218B3BBB" w14:textId="5278A802" w:rsidR="00524F26" w:rsidRPr="007E61A7" w:rsidRDefault="00524F26" w:rsidP="00524F26">
      <w:pPr>
        <w:rPr>
          <w:rFonts w:ascii="Calibri" w:hAnsi="Calibri" w:cs="Calibri"/>
          <w:b/>
          <w:bCs/>
        </w:rPr>
      </w:pPr>
      <w:r w:rsidRPr="007E61A7">
        <w:rPr>
          <w:rFonts w:ascii="Calibri" w:hAnsi="Calibri" w:cs="Calibri"/>
          <w:b/>
          <w:bCs/>
        </w:rPr>
        <w:t>Table S2 — IPTW</w:t>
      </w:r>
      <w:r w:rsidRPr="007E61A7">
        <w:rPr>
          <w:rFonts w:ascii="Calibri" w:hAnsi="Calibri" w:cs="Calibri"/>
          <w:b/>
          <w:bCs/>
        </w:rPr>
        <w:noBreakHyphen/>
        <w:t>adjusted hazard ratios for MACE</w:t>
      </w:r>
      <w:r w:rsidR="00B17F90" w:rsidRPr="007E61A7">
        <w:rPr>
          <w:rFonts w:ascii="Calibri" w:hAnsi="Calibri" w:cs="Calibri"/>
          <w:b/>
          <w:bCs/>
        </w:rPr>
        <w:t xml:space="preserve"> </w:t>
      </w:r>
      <w:r w:rsidRPr="007E61A7">
        <w:rPr>
          <w:rFonts w:ascii="Calibri" w:hAnsi="Calibri" w:cs="Calibri"/>
          <w:b/>
          <w:bCs/>
        </w:rPr>
        <w:t>by castration modality</w:t>
      </w:r>
    </w:p>
    <w:tbl>
      <w:tblPr>
        <w:tblStyle w:val="GridTable4-Accent1"/>
        <w:tblW w:w="5000" w:type="pct"/>
        <w:tblInd w:w="0" w:type="dxa"/>
        <w:tblLook w:val="04A0" w:firstRow="1" w:lastRow="0" w:firstColumn="1" w:lastColumn="0" w:noHBand="0" w:noVBand="1"/>
      </w:tblPr>
      <w:tblGrid>
        <w:gridCol w:w="4039"/>
        <w:gridCol w:w="1889"/>
        <w:gridCol w:w="1870"/>
        <w:gridCol w:w="1258"/>
      </w:tblGrid>
      <w:tr w:rsidR="00BF2994" w:rsidRPr="007E61A7" w14:paraId="37EAE686" w14:textId="77777777">
        <w:trPr>
          <w:tblHeader/>
        </w:trPr>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4EA9664" w14:textId="77777777" w:rsidR="00BF2994" w:rsidRPr="007E61A7" w:rsidRDefault="00BF2994">
            <w:pPr>
              <w:spacing w:after="160"/>
              <w:rPr>
                <w:rFonts w:ascii="Calibri" w:hAnsi="Calibri" w:cs="Calibri"/>
              </w:rPr>
            </w:pPr>
            <w:r w:rsidRPr="007E61A7">
              <w:rPr>
                <w:rFonts w:ascii="Calibri" w:hAnsi="Calibri" w:cs="Calibri"/>
                <w:b/>
                <w:bCs/>
              </w:rPr>
              <w:t>Comparison</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69835E5" w14:textId="77777777" w:rsidR="00BF2994" w:rsidRPr="007E61A7" w:rsidRDefault="00BF2994">
            <w:pPr>
              <w:spacing w:after="160"/>
              <w:rPr>
                <w:rFonts w:ascii="Calibri" w:hAnsi="Calibri" w:cs="Calibri"/>
              </w:rPr>
            </w:pPr>
            <w:r w:rsidRPr="007E61A7">
              <w:rPr>
                <w:rFonts w:ascii="Calibri" w:hAnsi="Calibri" w:cs="Calibri"/>
                <w:b/>
                <w:bCs/>
              </w:rPr>
              <w:t>Adjusted HR</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8587B8B" w14:textId="77777777" w:rsidR="00BF2994" w:rsidRPr="007E61A7" w:rsidRDefault="00BF2994">
            <w:pPr>
              <w:spacing w:after="160"/>
              <w:rPr>
                <w:rFonts w:ascii="Calibri" w:hAnsi="Calibri" w:cs="Calibri"/>
              </w:rPr>
            </w:pPr>
            <w:r w:rsidRPr="007E61A7">
              <w:rPr>
                <w:rFonts w:ascii="Calibri" w:hAnsi="Calibri" w:cs="Calibri"/>
                <w:b/>
                <w:bCs/>
              </w:rPr>
              <w:t>95% CI</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58845CE" w14:textId="77777777" w:rsidR="00BF2994" w:rsidRPr="007E61A7" w:rsidRDefault="00BF2994">
            <w:pPr>
              <w:spacing w:after="160"/>
              <w:rPr>
                <w:rFonts w:ascii="Calibri" w:hAnsi="Calibri" w:cs="Calibri"/>
              </w:rPr>
            </w:pPr>
            <w:r w:rsidRPr="007E61A7">
              <w:rPr>
                <w:rFonts w:ascii="Calibri" w:hAnsi="Calibri" w:cs="Calibri"/>
                <w:b/>
                <w:bCs/>
              </w:rPr>
              <w:t>p</w:t>
            </w:r>
            <w:r w:rsidRPr="007E61A7">
              <w:rPr>
                <w:rFonts w:ascii="Calibri" w:hAnsi="Calibri" w:cs="Calibri"/>
                <w:b/>
                <w:bCs/>
              </w:rPr>
              <w:noBreakHyphen/>
              <w:t>value</w:t>
            </w:r>
          </w:p>
        </w:tc>
      </w:tr>
      <w:tr w:rsidR="00BF2994" w:rsidRPr="007E61A7" w14:paraId="70345524"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99A71BB" w14:textId="77777777" w:rsidR="00BF2994" w:rsidRPr="007E61A7" w:rsidRDefault="00BF2994">
            <w:pPr>
              <w:spacing w:after="160"/>
              <w:rPr>
                <w:rFonts w:ascii="Calibri" w:hAnsi="Calibri" w:cs="Calibri"/>
              </w:rPr>
            </w:pPr>
            <w:r w:rsidRPr="007E61A7">
              <w:rPr>
                <w:rFonts w:ascii="Calibri" w:hAnsi="Calibri" w:cs="Calibri"/>
                <w:b/>
                <w:bCs/>
              </w:rPr>
              <w:t>Surgical</w:t>
            </w:r>
            <w:r w:rsidRPr="007E61A7">
              <w:rPr>
                <w:rFonts w:ascii="Calibri" w:hAnsi="Calibri" w:cs="Calibri"/>
              </w:rPr>
              <w:t> vs </w:t>
            </w:r>
            <w:r w:rsidRPr="007E61A7">
              <w:rPr>
                <w:rFonts w:ascii="Calibri" w:hAnsi="Calibri" w:cs="Calibri"/>
                <w:b/>
                <w:bCs/>
              </w:rPr>
              <w:t>Medical</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509DE9C" w14:textId="77777777" w:rsidR="00BF2994" w:rsidRPr="007E61A7" w:rsidRDefault="00BF2994">
            <w:pPr>
              <w:spacing w:after="160"/>
              <w:rPr>
                <w:rFonts w:ascii="Calibri" w:hAnsi="Calibri" w:cs="Calibri"/>
              </w:rPr>
            </w:pPr>
            <w:r w:rsidRPr="007E61A7">
              <w:rPr>
                <w:rFonts w:ascii="Calibri" w:hAnsi="Calibri" w:cs="Calibri"/>
              </w:rPr>
              <w:t>0.490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6ADF20C" w14:textId="77777777" w:rsidR="00BF2994" w:rsidRPr="007E61A7" w:rsidRDefault="00BF2994">
            <w:pPr>
              <w:spacing w:after="160"/>
              <w:rPr>
                <w:rFonts w:ascii="Calibri" w:hAnsi="Calibri" w:cs="Calibri"/>
              </w:rPr>
            </w:pPr>
            <w:r w:rsidRPr="007E61A7">
              <w:rPr>
                <w:rFonts w:ascii="Calibri" w:hAnsi="Calibri" w:cs="Calibri"/>
              </w:rPr>
              <w:t>0.350–0.680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A2B74FF" w14:textId="77777777" w:rsidR="00BF2994" w:rsidRPr="007E61A7" w:rsidRDefault="00BF2994">
            <w:pPr>
              <w:spacing w:after="160"/>
              <w:rPr>
                <w:rFonts w:ascii="Calibri" w:hAnsi="Calibri" w:cs="Calibri"/>
              </w:rPr>
            </w:pPr>
            <w:r w:rsidRPr="007E61A7">
              <w:rPr>
                <w:rFonts w:ascii="Calibri" w:hAnsi="Calibri" w:cs="Calibri"/>
              </w:rPr>
              <w:t>&lt;0.001</w:t>
            </w:r>
          </w:p>
        </w:tc>
      </w:tr>
      <w:tr w:rsidR="00BF2994" w:rsidRPr="007E61A7" w14:paraId="113D3CBC"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2B345AF" w14:textId="77777777" w:rsidR="00BF2994" w:rsidRPr="007E61A7" w:rsidRDefault="00BF2994">
            <w:pPr>
              <w:spacing w:after="160"/>
              <w:rPr>
                <w:rFonts w:ascii="Calibri" w:hAnsi="Calibri" w:cs="Calibri"/>
              </w:rPr>
            </w:pPr>
            <w:r w:rsidRPr="007E61A7">
              <w:rPr>
                <w:rFonts w:ascii="Calibri" w:hAnsi="Calibri" w:cs="Calibri"/>
                <w:b/>
                <w:bCs/>
              </w:rPr>
              <w:t>Deep</w:t>
            </w:r>
            <w:r w:rsidRPr="007E61A7">
              <w:rPr>
                <w:rFonts w:ascii="Calibri" w:hAnsi="Calibri" w:cs="Calibri"/>
              </w:rPr>
              <w:t> vs </w:t>
            </w:r>
            <w:r w:rsidRPr="007E61A7">
              <w:rPr>
                <w:rFonts w:ascii="Calibri" w:hAnsi="Calibri" w:cs="Calibri"/>
                <w:b/>
                <w:bCs/>
              </w:rPr>
              <w:t>Medical</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2850AF0" w14:textId="77777777" w:rsidR="00BF2994" w:rsidRPr="007E61A7" w:rsidRDefault="00BF2994">
            <w:pPr>
              <w:spacing w:after="160"/>
              <w:rPr>
                <w:rFonts w:ascii="Calibri" w:hAnsi="Calibri" w:cs="Calibri"/>
              </w:rPr>
            </w:pPr>
            <w:r w:rsidRPr="007E61A7">
              <w:rPr>
                <w:rFonts w:ascii="Calibri" w:hAnsi="Calibri" w:cs="Calibri"/>
              </w:rPr>
              <w:t>1.020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5017426" w14:textId="77777777" w:rsidR="00BF2994" w:rsidRPr="007E61A7" w:rsidRDefault="00BF2994">
            <w:pPr>
              <w:spacing w:after="160"/>
              <w:rPr>
                <w:rFonts w:ascii="Calibri" w:hAnsi="Calibri" w:cs="Calibri"/>
              </w:rPr>
            </w:pPr>
            <w:r w:rsidRPr="007E61A7">
              <w:rPr>
                <w:rFonts w:ascii="Calibri" w:hAnsi="Calibri" w:cs="Calibri"/>
              </w:rPr>
              <w:t>0.990–1.060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3D1C347" w14:textId="77777777" w:rsidR="00BF2994" w:rsidRPr="007E61A7" w:rsidRDefault="00BF2994">
            <w:pPr>
              <w:spacing w:after="160"/>
              <w:rPr>
                <w:rFonts w:ascii="Calibri" w:hAnsi="Calibri" w:cs="Calibri"/>
              </w:rPr>
            </w:pPr>
            <w:r w:rsidRPr="007E61A7">
              <w:rPr>
                <w:rFonts w:ascii="Calibri" w:hAnsi="Calibri" w:cs="Calibri"/>
              </w:rPr>
              <w:t>0.161</w:t>
            </w:r>
          </w:p>
        </w:tc>
      </w:tr>
      <w:tr w:rsidR="00BF2994" w:rsidRPr="007E61A7" w14:paraId="4DF8E7D3"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54FA5C7" w14:textId="77777777" w:rsidR="00BF2994" w:rsidRPr="007E61A7" w:rsidRDefault="00BF2994">
            <w:pPr>
              <w:spacing w:after="160"/>
              <w:rPr>
                <w:rFonts w:ascii="Calibri" w:hAnsi="Calibri" w:cs="Calibri"/>
              </w:rPr>
            </w:pPr>
            <w:r w:rsidRPr="007E61A7">
              <w:rPr>
                <w:rFonts w:ascii="Calibri" w:hAnsi="Calibri" w:cs="Calibri"/>
                <w:b/>
                <w:bCs/>
              </w:rPr>
              <w:t>Medical + Surgical</w:t>
            </w:r>
            <w:r w:rsidRPr="007E61A7">
              <w:rPr>
                <w:rFonts w:ascii="Calibri" w:hAnsi="Calibri" w:cs="Calibri"/>
              </w:rPr>
              <w:t> vs </w:t>
            </w:r>
            <w:r w:rsidRPr="007E61A7">
              <w:rPr>
                <w:rFonts w:ascii="Calibri" w:hAnsi="Calibri" w:cs="Calibri"/>
                <w:b/>
                <w:bCs/>
              </w:rPr>
              <w:t>Medical</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B97A6F3" w14:textId="77777777" w:rsidR="00BF2994" w:rsidRPr="007E61A7" w:rsidRDefault="00BF2994">
            <w:pPr>
              <w:spacing w:after="160"/>
              <w:rPr>
                <w:rFonts w:ascii="Calibri" w:hAnsi="Calibri" w:cs="Calibri"/>
              </w:rPr>
            </w:pPr>
            <w:r w:rsidRPr="007E61A7">
              <w:rPr>
                <w:rFonts w:ascii="Calibri" w:hAnsi="Calibri" w:cs="Calibri"/>
              </w:rPr>
              <w:t>1.100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3EC8215" w14:textId="77777777" w:rsidR="00BF2994" w:rsidRPr="007E61A7" w:rsidRDefault="00BF2994">
            <w:pPr>
              <w:spacing w:after="160"/>
              <w:rPr>
                <w:rFonts w:ascii="Calibri" w:hAnsi="Calibri" w:cs="Calibri"/>
              </w:rPr>
            </w:pPr>
            <w:r w:rsidRPr="007E61A7">
              <w:rPr>
                <w:rFonts w:ascii="Calibri" w:hAnsi="Calibri" w:cs="Calibri"/>
              </w:rPr>
              <w:t>0.770–1.570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347363F" w14:textId="77777777" w:rsidR="00BF2994" w:rsidRPr="007E61A7" w:rsidRDefault="00BF2994">
            <w:pPr>
              <w:spacing w:after="160"/>
              <w:rPr>
                <w:rFonts w:ascii="Calibri" w:hAnsi="Calibri" w:cs="Calibri"/>
              </w:rPr>
            </w:pPr>
            <w:r w:rsidRPr="007E61A7">
              <w:rPr>
                <w:rFonts w:ascii="Calibri" w:hAnsi="Calibri" w:cs="Calibri"/>
              </w:rPr>
              <w:t>0.597</w:t>
            </w:r>
          </w:p>
        </w:tc>
      </w:tr>
    </w:tbl>
    <w:p w14:paraId="60BF9151" w14:textId="77777777" w:rsidR="0038496C" w:rsidRPr="007E61A7" w:rsidRDefault="0038496C" w:rsidP="0038496C">
      <w:pPr>
        <w:spacing w:after="0"/>
        <w:rPr>
          <w:rFonts w:ascii="Calibri" w:hAnsi="Calibri" w:cs="Calibri"/>
          <w:b/>
          <w:bCs/>
        </w:rPr>
      </w:pPr>
    </w:p>
    <w:p w14:paraId="1AC838AC" w14:textId="222AD87A" w:rsidR="00BF2994" w:rsidRPr="007E61A7" w:rsidRDefault="0038496C" w:rsidP="0038496C">
      <w:pPr>
        <w:spacing w:after="0"/>
        <w:rPr>
          <w:rFonts w:ascii="Calibri" w:hAnsi="Calibri" w:cs="Calibri"/>
          <w:b/>
          <w:bCs/>
        </w:rPr>
      </w:pPr>
      <w:r w:rsidRPr="007E61A7">
        <w:rPr>
          <w:rFonts w:ascii="Calibri" w:hAnsi="Calibri" w:cs="Calibri"/>
          <w:b/>
          <w:bCs/>
        </w:rPr>
        <w:t>Legend :</w:t>
      </w:r>
      <w:r w:rsidRPr="007E61A7">
        <w:rPr>
          <w:rFonts w:ascii="Calibri" w:hAnsi="Calibri" w:cs="Calibri"/>
          <w:i/>
          <w:iCs/>
        </w:rPr>
        <w:t xml:space="preserve"> Adjusted hazard ratios for MACE estimated using IPTW</w:t>
      </w:r>
      <w:r w:rsidRPr="007E61A7">
        <w:rPr>
          <w:rFonts w:ascii="Calibri" w:hAnsi="Calibri" w:cs="Calibri"/>
          <w:i/>
          <w:iCs/>
        </w:rPr>
        <w:noBreakHyphen/>
        <w:t>weighted Cox models. Models include age, comorbidities, BMI, smoking history, and cancer stage. Medical castration is the reference category.</w:t>
      </w:r>
    </w:p>
    <w:p w14:paraId="50262B19" w14:textId="785B5C3B" w:rsidR="001B09C2" w:rsidRPr="007E61A7" w:rsidRDefault="001B09C2">
      <w:pPr>
        <w:rPr>
          <w:rFonts w:ascii="Calibri" w:hAnsi="Calibri" w:cs="Calibri"/>
          <w:b/>
          <w:bCs/>
        </w:rPr>
      </w:pPr>
      <w:r w:rsidRPr="007E61A7">
        <w:rPr>
          <w:rFonts w:ascii="Calibri" w:hAnsi="Calibri" w:cs="Calibri"/>
          <w:b/>
          <w:bCs/>
        </w:rPr>
        <w:br w:type="page"/>
      </w:r>
    </w:p>
    <w:p w14:paraId="63EE4E59" w14:textId="77777777" w:rsidR="00BF2994" w:rsidRPr="007E61A7" w:rsidRDefault="00BF2994" w:rsidP="00524F26">
      <w:pPr>
        <w:rPr>
          <w:rFonts w:ascii="Calibri" w:hAnsi="Calibri" w:cs="Calibri"/>
          <w:b/>
          <w:bCs/>
        </w:rPr>
      </w:pPr>
    </w:p>
    <w:p w14:paraId="6638F243" w14:textId="2A725774" w:rsidR="00524F26" w:rsidRPr="007E61A7" w:rsidRDefault="00524F26" w:rsidP="00524F26">
      <w:pPr>
        <w:rPr>
          <w:rFonts w:ascii="Calibri" w:hAnsi="Calibri" w:cs="Calibri"/>
          <w:b/>
          <w:bCs/>
        </w:rPr>
      </w:pPr>
      <w:r w:rsidRPr="007E61A7">
        <w:rPr>
          <w:rFonts w:ascii="Calibri" w:hAnsi="Calibri" w:cs="Calibri"/>
          <w:b/>
          <w:bCs/>
        </w:rPr>
        <w:t>Table S3 — Age</w:t>
      </w:r>
      <w:r w:rsidRPr="007E61A7">
        <w:rPr>
          <w:rFonts w:ascii="Calibri" w:hAnsi="Calibri" w:cs="Calibri"/>
          <w:b/>
          <w:bCs/>
        </w:rPr>
        <w:noBreakHyphen/>
        <w:t>stratified hazard ratios for MACE</w:t>
      </w:r>
    </w:p>
    <w:tbl>
      <w:tblPr>
        <w:tblStyle w:val="GridTable4-Accent1"/>
        <w:tblW w:w="5000" w:type="pct"/>
        <w:tblInd w:w="0" w:type="dxa"/>
        <w:tblLook w:val="04A0" w:firstRow="1" w:lastRow="0" w:firstColumn="1" w:lastColumn="0" w:noHBand="0" w:noVBand="1"/>
      </w:tblPr>
      <w:tblGrid>
        <w:gridCol w:w="1512"/>
        <w:gridCol w:w="1927"/>
        <w:gridCol w:w="1657"/>
        <w:gridCol w:w="1927"/>
        <w:gridCol w:w="2033"/>
      </w:tblGrid>
      <w:tr w:rsidR="00BF2994" w:rsidRPr="007E61A7" w14:paraId="29B9CFD1" w14:textId="77777777">
        <w:trPr>
          <w:tblHeader/>
        </w:trPr>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89A74E9" w14:textId="77777777" w:rsidR="00BF2994" w:rsidRPr="007E61A7" w:rsidRDefault="00BF2994">
            <w:pPr>
              <w:spacing w:after="160"/>
              <w:rPr>
                <w:rFonts w:ascii="Calibri" w:hAnsi="Calibri" w:cs="Calibri"/>
              </w:rPr>
            </w:pPr>
            <w:r w:rsidRPr="007E61A7">
              <w:rPr>
                <w:rFonts w:ascii="Calibri" w:hAnsi="Calibri" w:cs="Calibri"/>
                <w:b/>
                <w:bCs/>
              </w:rPr>
              <w:t>Age group</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6803EEC" w14:textId="77777777" w:rsidR="00466805" w:rsidRDefault="00BF2994">
            <w:pPr>
              <w:spacing w:after="160"/>
              <w:rPr>
                <w:rFonts w:ascii="Calibri" w:hAnsi="Calibri" w:cs="Calibri"/>
                <w:b/>
                <w:bCs/>
              </w:rPr>
            </w:pPr>
            <w:r w:rsidRPr="007E61A7">
              <w:rPr>
                <w:rFonts w:ascii="Calibri" w:hAnsi="Calibri" w:cs="Calibri"/>
                <w:b/>
                <w:bCs/>
              </w:rPr>
              <w:t xml:space="preserve">Surgical HR </w:t>
            </w:r>
          </w:p>
          <w:p w14:paraId="5883F4D8" w14:textId="489EFDED" w:rsidR="00BF2994" w:rsidRPr="007E61A7" w:rsidRDefault="00BF2994">
            <w:pPr>
              <w:spacing w:after="160"/>
              <w:rPr>
                <w:rFonts w:ascii="Calibri" w:hAnsi="Calibri" w:cs="Calibri"/>
              </w:rPr>
            </w:pPr>
            <w:r w:rsidRPr="007E61A7">
              <w:rPr>
                <w:rFonts w:ascii="Calibri" w:hAnsi="Calibri" w:cs="Calibri"/>
                <w:b/>
                <w:bCs/>
              </w:rPr>
              <w:t>(95% CI)</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A8D2D03" w14:textId="77777777" w:rsidR="00466805" w:rsidRDefault="00BF2994">
            <w:pPr>
              <w:spacing w:after="160"/>
              <w:rPr>
                <w:rFonts w:ascii="Calibri" w:hAnsi="Calibri" w:cs="Calibri"/>
                <w:b/>
                <w:bCs/>
              </w:rPr>
            </w:pPr>
            <w:r w:rsidRPr="007E61A7">
              <w:rPr>
                <w:rFonts w:ascii="Calibri" w:hAnsi="Calibri" w:cs="Calibri"/>
                <w:b/>
                <w:bCs/>
              </w:rPr>
              <w:t xml:space="preserve">Medical HR </w:t>
            </w:r>
          </w:p>
          <w:p w14:paraId="5954F961" w14:textId="50FAA4B2" w:rsidR="00BF2994" w:rsidRPr="007E61A7" w:rsidRDefault="00BF2994">
            <w:pPr>
              <w:spacing w:after="160"/>
              <w:rPr>
                <w:rFonts w:ascii="Calibri" w:hAnsi="Calibri" w:cs="Calibri"/>
              </w:rPr>
            </w:pPr>
            <w:r w:rsidRPr="007E61A7">
              <w:rPr>
                <w:rFonts w:ascii="Calibri" w:hAnsi="Calibri" w:cs="Calibri"/>
                <w:b/>
                <w:bCs/>
              </w:rPr>
              <w:t>(95% CI)</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C5EC428" w14:textId="77777777" w:rsidR="00466805" w:rsidRDefault="00BF2994">
            <w:pPr>
              <w:spacing w:after="160"/>
              <w:rPr>
                <w:rFonts w:ascii="Calibri" w:hAnsi="Calibri" w:cs="Calibri"/>
                <w:b/>
                <w:bCs/>
              </w:rPr>
            </w:pPr>
            <w:r w:rsidRPr="007E61A7">
              <w:rPr>
                <w:rFonts w:ascii="Calibri" w:hAnsi="Calibri" w:cs="Calibri"/>
                <w:b/>
                <w:bCs/>
              </w:rPr>
              <w:t xml:space="preserve">Deep HR </w:t>
            </w:r>
          </w:p>
          <w:p w14:paraId="2BEFE232" w14:textId="55049897" w:rsidR="00BF2994" w:rsidRPr="007E61A7" w:rsidRDefault="00BF2994">
            <w:pPr>
              <w:spacing w:after="160"/>
              <w:rPr>
                <w:rFonts w:ascii="Calibri" w:hAnsi="Calibri" w:cs="Calibri"/>
              </w:rPr>
            </w:pPr>
            <w:r w:rsidRPr="007E61A7">
              <w:rPr>
                <w:rFonts w:ascii="Calibri" w:hAnsi="Calibri" w:cs="Calibri"/>
                <w:b/>
                <w:bCs/>
              </w:rPr>
              <w:t>(95% CI)</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8510100" w14:textId="77777777" w:rsidR="00466805" w:rsidRDefault="00BF2994">
            <w:pPr>
              <w:spacing w:after="160"/>
              <w:rPr>
                <w:rFonts w:ascii="Calibri" w:hAnsi="Calibri" w:cs="Calibri"/>
                <w:b/>
                <w:bCs/>
              </w:rPr>
            </w:pPr>
            <w:r w:rsidRPr="007E61A7">
              <w:rPr>
                <w:rFonts w:ascii="Calibri" w:hAnsi="Calibri" w:cs="Calibri"/>
                <w:b/>
                <w:bCs/>
              </w:rPr>
              <w:t xml:space="preserve">p-value </w:t>
            </w:r>
          </w:p>
          <w:p w14:paraId="2CC5577B" w14:textId="5B2DD4FE" w:rsidR="00BF2994" w:rsidRPr="00466805" w:rsidRDefault="00BF2994">
            <w:pPr>
              <w:spacing w:after="160"/>
              <w:rPr>
                <w:rFonts w:ascii="Calibri" w:hAnsi="Calibri" w:cs="Calibri"/>
                <w:b/>
                <w:bCs/>
              </w:rPr>
            </w:pPr>
            <w:r w:rsidRPr="007E61A7">
              <w:rPr>
                <w:rFonts w:ascii="Calibri" w:hAnsi="Calibri" w:cs="Calibri"/>
                <w:b/>
                <w:bCs/>
              </w:rPr>
              <w:t>(Deep vs Med)</w:t>
            </w:r>
          </w:p>
        </w:tc>
      </w:tr>
      <w:tr w:rsidR="00BF2994" w:rsidRPr="007E61A7" w14:paraId="5223B7C9"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8665F5D" w14:textId="65AD68EB" w:rsidR="00BF2994" w:rsidRPr="007E61A7" w:rsidRDefault="00BF2994">
            <w:pPr>
              <w:spacing w:after="160"/>
              <w:rPr>
                <w:rFonts w:ascii="Calibri" w:hAnsi="Calibri" w:cs="Calibri"/>
              </w:rPr>
            </w:pPr>
            <w:r w:rsidRPr="007E61A7">
              <w:rPr>
                <w:rFonts w:ascii="Calibri" w:hAnsi="Calibri" w:cs="Calibri"/>
                <w:b/>
                <w:bCs/>
              </w:rPr>
              <w:t>&lt;</w:t>
            </w:r>
            <w:r w:rsidR="00466805">
              <w:rPr>
                <w:rFonts w:ascii="Calibri" w:hAnsi="Calibri" w:cs="Calibri"/>
                <w:b/>
                <w:bCs/>
              </w:rPr>
              <w:t xml:space="preserve"> </w:t>
            </w:r>
            <w:r w:rsidRPr="007E61A7">
              <w:rPr>
                <w:rFonts w:ascii="Calibri" w:hAnsi="Calibri" w:cs="Calibri"/>
                <w:b/>
                <w:bCs/>
              </w:rPr>
              <w:t>78 years</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F552047" w14:textId="77777777" w:rsidR="00414A5C" w:rsidRDefault="00BF2994">
            <w:pPr>
              <w:spacing w:after="160"/>
              <w:rPr>
                <w:rFonts w:ascii="Calibri" w:hAnsi="Calibri" w:cs="Calibri"/>
              </w:rPr>
            </w:pPr>
            <w:r w:rsidRPr="007E61A7">
              <w:rPr>
                <w:rFonts w:ascii="Calibri" w:hAnsi="Calibri" w:cs="Calibri"/>
              </w:rPr>
              <w:t xml:space="preserve">0.520 </w:t>
            </w:r>
          </w:p>
          <w:p w14:paraId="6A6555D7" w14:textId="126F351C" w:rsidR="00BF2994" w:rsidRPr="007E61A7" w:rsidRDefault="00BF2994">
            <w:pPr>
              <w:spacing w:after="160"/>
              <w:rPr>
                <w:rFonts w:ascii="Calibri" w:hAnsi="Calibri" w:cs="Calibri"/>
              </w:rPr>
            </w:pPr>
            <w:r w:rsidRPr="007E61A7">
              <w:rPr>
                <w:rFonts w:ascii="Calibri" w:hAnsi="Calibri" w:cs="Calibri"/>
              </w:rPr>
              <w:t>(0.310–0.870)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C9AF7E4" w14:textId="77777777" w:rsidR="00BF2994" w:rsidRPr="007E61A7" w:rsidRDefault="00BF2994">
            <w:pPr>
              <w:spacing w:after="160"/>
              <w:rPr>
                <w:rFonts w:ascii="Calibri" w:hAnsi="Calibri" w:cs="Calibri"/>
              </w:rPr>
            </w:pPr>
            <w:r w:rsidRPr="007E61A7">
              <w:rPr>
                <w:rFonts w:ascii="Calibri" w:hAnsi="Calibri" w:cs="Calibri"/>
              </w:rPr>
              <w:t>Reference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23E9F72" w14:textId="77777777" w:rsidR="00414A5C" w:rsidRDefault="00BF2994">
            <w:pPr>
              <w:spacing w:after="160"/>
              <w:rPr>
                <w:rFonts w:ascii="Calibri" w:hAnsi="Calibri" w:cs="Calibri"/>
              </w:rPr>
            </w:pPr>
            <w:r w:rsidRPr="007E61A7">
              <w:rPr>
                <w:rFonts w:ascii="Calibri" w:hAnsi="Calibri" w:cs="Calibri"/>
              </w:rPr>
              <w:t xml:space="preserve">1.010 </w:t>
            </w:r>
          </w:p>
          <w:p w14:paraId="7024B70C" w14:textId="065FBF68" w:rsidR="00BF2994" w:rsidRPr="007E61A7" w:rsidRDefault="00BF2994">
            <w:pPr>
              <w:spacing w:after="160"/>
              <w:rPr>
                <w:rFonts w:ascii="Calibri" w:hAnsi="Calibri" w:cs="Calibri"/>
              </w:rPr>
            </w:pPr>
            <w:r w:rsidRPr="007E61A7">
              <w:rPr>
                <w:rFonts w:ascii="Calibri" w:hAnsi="Calibri" w:cs="Calibri"/>
              </w:rPr>
              <w:t>(0.960–1.060)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B8F43AA" w14:textId="77777777" w:rsidR="00BF2994" w:rsidRPr="007E61A7" w:rsidRDefault="00BF2994">
            <w:pPr>
              <w:spacing w:after="160"/>
              <w:rPr>
                <w:rFonts w:ascii="Calibri" w:hAnsi="Calibri" w:cs="Calibri"/>
              </w:rPr>
            </w:pPr>
            <w:r w:rsidRPr="007E61A7">
              <w:rPr>
                <w:rFonts w:ascii="Calibri" w:hAnsi="Calibri" w:cs="Calibri"/>
              </w:rPr>
              <w:t>0.716</w:t>
            </w:r>
          </w:p>
        </w:tc>
      </w:tr>
      <w:tr w:rsidR="00BF2994" w:rsidRPr="007E61A7" w14:paraId="57AC1C5F"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F4E6A7E" w14:textId="6A5229E4" w:rsidR="00BF2994" w:rsidRPr="007E61A7" w:rsidRDefault="00466805">
            <w:pPr>
              <w:spacing w:after="160"/>
              <w:rPr>
                <w:rFonts w:ascii="Calibri" w:hAnsi="Calibri" w:cs="Calibri"/>
              </w:rPr>
            </w:pPr>
            <w:r w:rsidRPr="00466805">
              <w:rPr>
                <w:rFonts w:ascii="Calibri" w:hAnsi="Calibri" w:cs="Calibri"/>
                <w:b/>
                <w:bCs/>
                <w:u w:val="single"/>
              </w:rPr>
              <w:t>&gt;</w:t>
            </w:r>
            <w:r>
              <w:rPr>
                <w:rFonts w:ascii="Calibri" w:hAnsi="Calibri" w:cs="Calibri"/>
                <w:b/>
                <w:bCs/>
              </w:rPr>
              <w:t xml:space="preserve"> </w:t>
            </w:r>
            <w:r w:rsidR="00BF2994" w:rsidRPr="007E61A7">
              <w:rPr>
                <w:rFonts w:ascii="Calibri" w:hAnsi="Calibri" w:cs="Calibri"/>
                <w:b/>
                <w:bCs/>
              </w:rPr>
              <w:t>78 years</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89DA27C" w14:textId="77777777" w:rsidR="00414A5C" w:rsidRDefault="00BF2994">
            <w:pPr>
              <w:spacing w:after="160"/>
              <w:rPr>
                <w:rFonts w:ascii="Calibri" w:hAnsi="Calibri" w:cs="Calibri"/>
              </w:rPr>
            </w:pPr>
            <w:r w:rsidRPr="007E61A7">
              <w:rPr>
                <w:rFonts w:ascii="Calibri" w:hAnsi="Calibri" w:cs="Calibri"/>
              </w:rPr>
              <w:t xml:space="preserve">0.480 </w:t>
            </w:r>
          </w:p>
          <w:p w14:paraId="3E5840C3" w14:textId="56669637" w:rsidR="00BF2994" w:rsidRPr="007E61A7" w:rsidRDefault="00BF2994">
            <w:pPr>
              <w:spacing w:after="160"/>
              <w:rPr>
                <w:rFonts w:ascii="Calibri" w:hAnsi="Calibri" w:cs="Calibri"/>
              </w:rPr>
            </w:pPr>
            <w:r w:rsidRPr="007E61A7">
              <w:rPr>
                <w:rFonts w:ascii="Calibri" w:hAnsi="Calibri" w:cs="Calibri"/>
              </w:rPr>
              <w:t>(0.320–0.720)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AB93C46" w14:textId="77777777" w:rsidR="00BF2994" w:rsidRPr="007E61A7" w:rsidRDefault="00BF2994">
            <w:pPr>
              <w:spacing w:after="160"/>
              <w:rPr>
                <w:rFonts w:ascii="Calibri" w:hAnsi="Calibri" w:cs="Calibri"/>
              </w:rPr>
            </w:pPr>
            <w:r w:rsidRPr="007E61A7">
              <w:rPr>
                <w:rFonts w:ascii="Calibri" w:hAnsi="Calibri" w:cs="Calibri"/>
              </w:rPr>
              <w:t>Reference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46BCB65" w14:textId="77777777" w:rsidR="00414A5C" w:rsidRDefault="00BF2994">
            <w:pPr>
              <w:spacing w:after="160"/>
              <w:rPr>
                <w:rFonts w:ascii="Calibri" w:hAnsi="Calibri" w:cs="Calibri"/>
              </w:rPr>
            </w:pPr>
            <w:r w:rsidRPr="007E61A7">
              <w:rPr>
                <w:rFonts w:ascii="Calibri" w:hAnsi="Calibri" w:cs="Calibri"/>
              </w:rPr>
              <w:t xml:space="preserve">0.940 </w:t>
            </w:r>
          </w:p>
          <w:p w14:paraId="0F4A358E" w14:textId="5777A7C3" w:rsidR="00BF2994" w:rsidRPr="007E61A7" w:rsidRDefault="00BF2994">
            <w:pPr>
              <w:spacing w:after="160"/>
              <w:rPr>
                <w:rFonts w:ascii="Calibri" w:hAnsi="Calibri" w:cs="Calibri"/>
              </w:rPr>
            </w:pPr>
            <w:r w:rsidRPr="007E61A7">
              <w:rPr>
                <w:rFonts w:ascii="Calibri" w:hAnsi="Calibri" w:cs="Calibri"/>
              </w:rPr>
              <w:t>(0.910–0.980)</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CF5402F" w14:textId="77777777" w:rsidR="00BF2994" w:rsidRPr="007E61A7" w:rsidRDefault="00BF2994">
            <w:pPr>
              <w:spacing w:after="160"/>
              <w:rPr>
                <w:rFonts w:ascii="Calibri" w:hAnsi="Calibri" w:cs="Calibri"/>
              </w:rPr>
            </w:pPr>
            <w:r w:rsidRPr="007E61A7">
              <w:rPr>
                <w:rFonts w:ascii="Calibri" w:hAnsi="Calibri" w:cs="Calibri"/>
              </w:rPr>
              <w:t>0.001</w:t>
            </w:r>
          </w:p>
        </w:tc>
      </w:tr>
    </w:tbl>
    <w:p w14:paraId="3E370CF8" w14:textId="77777777" w:rsidR="0038496C" w:rsidRPr="007E61A7" w:rsidRDefault="0038496C" w:rsidP="0038496C">
      <w:pPr>
        <w:spacing w:after="0"/>
        <w:rPr>
          <w:rFonts w:ascii="Calibri" w:hAnsi="Calibri" w:cs="Calibri"/>
          <w:b/>
          <w:bCs/>
        </w:rPr>
      </w:pPr>
    </w:p>
    <w:p w14:paraId="7DE1E614" w14:textId="3036B7D4" w:rsidR="00524F26" w:rsidRPr="007E61A7" w:rsidRDefault="0038496C" w:rsidP="0038496C">
      <w:pPr>
        <w:spacing w:after="0"/>
        <w:rPr>
          <w:rFonts w:ascii="Calibri" w:hAnsi="Calibri" w:cs="Calibri"/>
          <w:b/>
          <w:bCs/>
        </w:rPr>
      </w:pPr>
      <w:r w:rsidRPr="007E61A7">
        <w:rPr>
          <w:rFonts w:ascii="Calibri" w:hAnsi="Calibri" w:cs="Calibri"/>
          <w:b/>
          <w:bCs/>
        </w:rPr>
        <w:t xml:space="preserve">Legend : </w:t>
      </w:r>
      <w:r w:rsidRPr="007E61A7">
        <w:rPr>
          <w:rFonts w:ascii="Calibri" w:hAnsi="Calibri" w:cs="Calibri"/>
          <w:i/>
          <w:iCs/>
        </w:rPr>
        <w:t>Hazard ratios for MACE stratified by age group. Relative differences between castration modalities vary by age, with a modest protective association of deep castration observed in older patients.</w:t>
      </w:r>
      <w:r w:rsidR="00524F26" w:rsidRPr="007E61A7">
        <w:rPr>
          <w:rFonts w:ascii="Calibri" w:hAnsi="Calibri" w:cs="Calibri"/>
          <w:b/>
          <w:bCs/>
        </w:rPr>
        <w:br w:type="page"/>
      </w:r>
    </w:p>
    <w:p w14:paraId="130124F3" w14:textId="74B8089A" w:rsidR="00524F26" w:rsidRPr="007E61A7" w:rsidRDefault="00524F26" w:rsidP="00524F26">
      <w:pPr>
        <w:rPr>
          <w:rFonts w:ascii="Calibri" w:hAnsi="Calibri" w:cs="Calibri"/>
          <w:b/>
          <w:bCs/>
        </w:rPr>
      </w:pPr>
      <w:r w:rsidRPr="007E61A7">
        <w:rPr>
          <w:rFonts w:ascii="Calibri" w:hAnsi="Calibri" w:cs="Calibri"/>
          <w:b/>
          <w:bCs/>
        </w:rPr>
        <w:lastRenderedPageBreak/>
        <w:t xml:space="preserve">Table S4 — Joint model association parameter </w:t>
      </w:r>
      <w:r w:rsidR="000C121E" w:rsidRPr="007E61A7">
        <w:rPr>
          <w:rFonts w:ascii="Calibri" w:hAnsi="Calibri" w:cs="Calibri"/>
          <w:b/>
          <w:bCs/>
        </w:rPr>
        <w:t xml:space="preserve">(α) </w:t>
      </w:r>
      <w:r w:rsidRPr="007E61A7">
        <w:rPr>
          <w:rFonts w:ascii="Calibri" w:hAnsi="Calibri" w:cs="Calibri"/>
          <w:b/>
          <w:bCs/>
        </w:rPr>
        <w:t>linking PSA trajectory to MACE</w:t>
      </w:r>
    </w:p>
    <w:tbl>
      <w:tblPr>
        <w:tblStyle w:val="GridTable4-Accent1"/>
        <w:tblW w:w="5000" w:type="pct"/>
        <w:tblInd w:w="0" w:type="dxa"/>
        <w:tblLook w:val="04A0" w:firstRow="1" w:lastRow="0" w:firstColumn="1" w:lastColumn="0" w:noHBand="0" w:noVBand="1"/>
      </w:tblPr>
      <w:tblGrid>
        <w:gridCol w:w="1729"/>
        <w:gridCol w:w="1104"/>
        <w:gridCol w:w="1424"/>
        <w:gridCol w:w="1606"/>
        <w:gridCol w:w="3193"/>
      </w:tblGrid>
      <w:tr w:rsidR="00BF2994" w:rsidRPr="007E61A7" w14:paraId="756EE2C8" w14:textId="77777777" w:rsidTr="00D531B7">
        <w:trPr>
          <w:tblHeader/>
        </w:trPr>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040F08BD" w14:textId="77777777" w:rsidR="00BF2994" w:rsidRPr="007E61A7" w:rsidRDefault="00BF2994">
            <w:pPr>
              <w:spacing w:after="160"/>
              <w:rPr>
                <w:rFonts w:ascii="Calibri" w:hAnsi="Calibri" w:cs="Calibri"/>
              </w:rPr>
            </w:pPr>
            <w:r w:rsidRPr="007E61A7">
              <w:rPr>
                <w:rFonts w:ascii="Calibri" w:hAnsi="Calibri" w:cs="Calibri"/>
                <w:b/>
                <w:bCs/>
              </w:rPr>
              <w:t>Parameter</w:t>
            </w: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4FCEF075" w14:textId="77777777" w:rsidR="00BF2994" w:rsidRPr="007E61A7" w:rsidRDefault="00BF2994">
            <w:pPr>
              <w:spacing w:after="160"/>
              <w:rPr>
                <w:rFonts w:ascii="Calibri" w:hAnsi="Calibri" w:cs="Calibri"/>
              </w:rPr>
            </w:pPr>
            <w:r w:rsidRPr="007E61A7">
              <w:rPr>
                <w:rFonts w:ascii="Calibri" w:hAnsi="Calibri" w:cs="Calibri"/>
                <w:b/>
                <w:bCs/>
              </w:rPr>
              <w:t>Estimate</w:t>
            </w: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50EBA260" w14:textId="77777777" w:rsidR="00BF2994" w:rsidRPr="007E61A7" w:rsidRDefault="00BF2994">
            <w:pPr>
              <w:spacing w:after="160"/>
              <w:rPr>
                <w:rFonts w:ascii="Calibri" w:hAnsi="Calibri" w:cs="Calibri"/>
              </w:rPr>
            </w:pPr>
            <w:r w:rsidRPr="007E61A7">
              <w:rPr>
                <w:rFonts w:ascii="Calibri" w:hAnsi="Calibri" w:cs="Calibri"/>
                <w:b/>
                <w:bCs/>
              </w:rPr>
              <w:t>95% Credible Interval (CrI)</w:t>
            </w: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7AC12FF6" w14:textId="77777777" w:rsidR="00BF2994" w:rsidRPr="007E61A7" w:rsidRDefault="00BF2994">
            <w:pPr>
              <w:spacing w:after="160"/>
              <w:rPr>
                <w:rFonts w:ascii="Calibri" w:hAnsi="Calibri" w:cs="Calibri"/>
              </w:rPr>
            </w:pPr>
            <w:r w:rsidRPr="007E61A7">
              <w:rPr>
                <w:rFonts w:ascii="Calibri" w:hAnsi="Calibri" w:cs="Calibri"/>
                <w:b/>
                <w:bCs/>
              </w:rPr>
              <w:t>p</w:t>
            </w:r>
            <w:r w:rsidRPr="007E61A7">
              <w:rPr>
                <w:rFonts w:ascii="Calibri" w:hAnsi="Calibri" w:cs="Calibri"/>
                <w:b/>
                <w:bCs/>
              </w:rPr>
              <w:noBreakHyphen/>
              <w:t>value / Significance</w:t>
            </w: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6059F091" w14:textId="77777777" w:rsidR="00BF2994" w:rsidRPr="007E61A7" w:rsidRDefault="00BF2994">
            <w:pPr>
              <w:spacing w:after="160"/>
              <w:rPr>
                <w:rFonts w:ascii="Calibri" w:hAnsi="Calibri" w:cs="Calibri"/>
              </w:rPr>
            </w:pPr>
            <w:r w:rsidRPr="007E61A7">
              <w:rPr>
                <w:rFonts w:ascii="Calibri" w:hAnsi="Calibri" w:cs="Calibri"/>
                <w:b/>
                <w:bCs/>
              </w:rPr>
              <w:t>Interpretation</w:t>
            </w:r>
          </w:p>
        </w:tc>
      </w:tr>
      <w:tr w:rsidR="00BF2994" w:rsidRPr="007E61A7" w14:paraId="28A2B78A"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9FF1961" w14:textId="5F40E476" w:rsidR="00BF2994" w:rsidRPr="007E61A7" w:rsidRDefault="00BF2994">
            <w:pPr>
              <w:spacing w:after="160"/>
              <w:rPr>
                <w:rFonts w:ascii="Calibri" w:hAnsi="Calibri" w:cs="Calibri"/>
              </w:rPr>
            </w:pPr>
            <w:r w:rsidRPr="007E61A7">
              <w:rPr>
                <w:rFonts w:ascii="Calibri" w:hAnsi="Calibri" w:cs="Calibri"/>
                <w:b/>
                <w:bCs/>
              </w:rPr>
              <w:t>Current PSA MACE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A7D6859" w14:textId="77777777" w:rsidR="00BF2994" w:rsidRPr="007E61A7" w:rsidRDefault="00BF2994">
            <w:pPr>
              <w:spacing w:after="160"/>
              <w:rPr>
                <w:rFonts w:ascii="Calibri" w:hAnsi="Calibri" w:cs="Calibri"/>
              </w:rPr>
            </w:pPr>
            <w:r w:rsidRPr="007E61A7">
              <w:rPr>
                <w:rFonts w:ascii="Calibri" w:hAnsi="Calibri" w:cs="Calibri"/>
              </w:rPr>
              <w:t>–0.008</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E2B7990" w14:textId="77777777" w:rsidR="00D531B7" w:rsidRPr="007E61A7" w:rsidRDefault="00BF2994">
            <w:pPr>
              <w:spacing w:after="160"/>
              <w:rPr>
                <w:rFonts w:ascii="Calibri" w:hAnsi="Calibri" w:cs="Calibri"/>
              </w:rPr>
            </w:pPr>
            <w:r w:rsidRPr="007E61A7">
              <w:rPr>
                <w:rFonts w:ascii="Calibri" w:hAnsi="Calibri" w:cs="Calibri"/>
              </w:rPr>
              <w:t xml:space="preserve">–0.016 </w:t>
            </w:r>
          </w:p>
          <w:p w14:paraId="0B3B7318" w14:textId="77777777" w:rsidR="00D531B7" w:rsidRPr="007E61A7" w:rsidRDefault="00BF2994">
            <w:pPr>
              <w:spacing w:after="160"/>
              <w:rPr>
                <w:rFonts w:ascii="Calibri" w:hAnsi="Calibri" w:cs="Calibri"/>
              </w:rPr>
            </w:pPr>
            <w:r w:rsidRPr="007E61A7">
              <w:rPr>
                <w:rFonts w:ascii="Calibri" w:hAnsi="Calibri" w:cs="Calibri"/>
              </w:rPr>
              <w:t xml:space="preserve">to </w:t>
            </w:r>
          </w:p>
          <w:p w14:paraId="0818C41A" w14:textId="34E33380" w:rsidR="00BF2994" w:rsidRPr="007E61A7" w:rsidRDefault="00BF2994">
            <w:pPr>
              <w:spacing w:after="160"/>
              <w:rPr>
                <w:rFonts w:ascii="Calibri" w:hAnsi="Calibri" w:cs="Calibri"/>
              </w:rPr>
            </w:pPr>
            <w:r w:rsidRPr="007E61A7">
              <w:rPr>
                <w:rFonts w:ascii="Calibri" w:hAnsi="Calibri" w:cs="Calibri"/>
              </w:rPr>
              <w:t>–0.001</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927BB8A" w14:textId="77777777" w:rsidR="00BF2994" w:rsidRPr="007E61A7" w:rsidRDefault="00BF2994">
            <w:pPr>
              <w:spacing w:after="160"/>
              <w:rPr>
                <w:rFonts w:ascii="Calibri" w:hAnsi="Calibri" w:cs="Calibri"/>
              </w:rPr>
            </w:pPr>
            <w:r w:rsidRPr="007E61A7">
              <w:rPr>
                <w:rFonts w:ascii="Calibri" w:hAnsi="Calibri" w:cs="Calibri"/>
              </w:rPr>
              <w:t>Significant</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4526969" w14:textId="4539AE32" w:rsidR="00BF2994" w:rsidRPr="007E61A7" w:rsidRDefault="00BF2994">
            <w:pPr>
              <w:spacing w:after="160"/>
              <w:rPr>
                <w:rFonts w:ascii="Calibri" w:hAnsi="Calibri" w:cs="Calibri"/>
              </w:rPr>
            </w:pPr>
            <w:r w:rsidRPr="007E61A7">
              <w:rPr>
                <w:rFonts w:ascii="Calibri" w:hAnsi="Calibri" w:cs="Calibri"/>
              </w:rPr>
              <w:t>Lower longitudinal PSA levels over time are significantly associated with a lower risk of MACE.</w:t>
            </w:r>
          </w:p>
        </w:tc>
      </w:tr>
      <w:tr w:rsidR="00BF2994" w:rsidRPr="007E61A7" w14:paraId="32D583C0" w14:textId="77777777" w:rsidTr="00D531B7">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0567ED2C" w14:textId="578979A1" w:rsidR="00BF2994" w:rsidRPr="007E61A7" w:rsidRDefault="00BF2994">
            <w:pPr>
              <w:spacing w:after="160"/>
              <w:rPr>
                <w:rFonts w:ascii="Calibri" w:hAnsi="Calibri" w:cs="Calibri"/>
                <w:b/>
                <w:bCs/>
              </w:rPr>
            </w:pPr>
            <w:r w:rsidRPr="007E61A7">
              <w:rPr>
                <w:rFonts w:ascii="Calibri" w:hAnsi="Calibri" w:cs="Calibri"/>
                <w:b/>
                <w:bCs/>
              </w:rPr>
              <w:t>Covariates in Survival Sub-model</w:t>
            </w: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7F0261C2" w14:textId="77777777" w:rsidR="00BF2994" w:rsidRPr="007E61A7" w:rsidRDefault="00BF2994">
            <w:pPr>
              <w:rPr>
                <w:rFonts w:ascii="Calibri" w:hAnsi="Calibri" w:cs="Calibri"/>
              </w:rPr>
            </w:pP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196D5933" w14:textId="77777777" w:rsidR="00BF2994" w:rsidRPr="007E61A7" w:rsidRDefault="00BF2994">
            <w:pPr>
              <w:rPr>
                <w:rFonts w:ascii="Calibri" w:hAnsi="Calibri" w:cs="Calibri"/>
              </w:rPr>
            </w:pP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1303A776" w14:textId="77777777" w:rsidR="00BF2994" w:rsidRPr="007E61A7" w:rsidRDefault="00BF2994">
            <w:pPr>
              <w:rPr>
                <w:rFonts w:ascii="Calibri" w:hAnsi="Calibri" w:cs="Calibri"/>
              </w:rPr>
            </w:pPr>
          </w:p>
        </w:tc>
        <w:tc>
          <w:tcPr>
            <w:tcW w:w="0" w:type="auto"/>
            <w:tcBorders>
              <w:top w:val="outset" w:sz="6" w:space="0" w:color="auto"/>
              <w:left w:val="outset" w:sz="6" w:space="0" w:color="auto"/>
              <w:bottom w:val="outset" w:sz="6" w:space="0" w:color="auto"/>
              <w:right w:val="outset" w:sz="6" w:space="0" w:color="auto"/>
            </w:tcBorders>
            <w:shd w:val="clear" w:color="auto" w:fill="E8E8E8" w:themeFill="background2"/>
            <w:tcMar>
              <w:top w:w="80" w:type="dxa"/>
              <w:left w:w="120" w:type="dxa"/>
              <w:bottom w:w="80" w:type="dxa"/>
              <w:right w:w="120" w:type="dxa"/>
            </w:tcMar>
            <w:vAlign w:val="center"/>
            <w:hideMark/>
          </w:tcPr>
          <w:p w14:paraId="0E3C1A9C" w14:textId="77777777" w:rsidR="00BF2994" w:rsidRPr="007E61A7" w:rsidRDefault="00BF2994">
            <w:pPr>
              <w:rPr>
                <w:rFonts w:ascii="Calibri" w:hAnsi="Calibri" w:cs="Calibri"/>
              </w:rPr>
            </w:pPr>
          </w:p>
        </w:tc>
      </w:tr>
      <w:tr w:rsidR="00BF2994" w:rsidRPr="007E61A7" w14:paraId="36D1FD04"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42C359D" w14:textId="6CD0BB70" w:rsidR="00BF2994" w:rsidRPr="007E61A7" w:rsidRDefault="00BF2994">
            <w:pPr>
              <w:rPr>
                <w:rFonts w:ascii="Calibri" w:hAnsi="Calibri" w:cs="Calibri"/>
                <w:b/>
                <w:bCs/>
              </w:rPr>
            </w:pPr>
            <w:r w:rsidRPr="007E61A7">
              <w:rPr>
                <w:rFonts w:ascii="Calibri" w:hAnsi="Calibri" w:cs="Calibri"/>
                <w:b/>
                <w:bCs/>
              </w:rPr>
              <w:t>Age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F11B235" w14:textId="77777777" w:rsidR="00BF2994" w:rsidRPr="007E61A7" w:rsidRDefault="00BF2994">
            <w:pPr>
              <w:spacing w:after="160"/>
              <w:rPr>
                <w:rFonts w:ascii="Calibri" w:hAnsi="Calibri" w:cs="Calibri"/>
              </w:rPr>
            </w:pPr>
            <w:r w:rsidRPr="007E61A7">
              <w:rPr>
                <w:rFonts w:ascii="Calibri" w:hAnsi="Calibri" w:cs="Calibri"/>
              </w:rPr>
              <w:t>0.049</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4EE83DB" w14:textId="77777777" w:rsidR="00BF2994" w:rsidRPr="007E61A7" w:rsidRDefault="00BF2994">
            <w:pPr>
              <w:spacing w:after="160"/>
              <w:rPr>
                <w:rFonts w:ascii="Calibri" w:hAnsi="Calibri" w:cs="Calibri"/>
              </w:rPr>
            </w:pPr>
            <w:r w:rsidRPr="007E61A7">
              <w:rPr>
                <w:rFonts w:ascii="Calibri" w:hAnsi="Calibri" w:cs="Calibri"/>
              </w:rPr>
              <w:t>0.041 to 0.057</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D4531EA" w14:textId="77777777" w:rsidR="00BF2994" w:rsidRPr="007E61A7" w:rsidRDefault="00BF2994">
            <w:pPr>
              <w:spacing w:after="160"/>
              <w:rPr>
                <w:rFonts w:ascii="Calibri" w:hAnsi="Calibri" w:cs="Calibri"/>
              </w:rPr>
            </w:pPr>
            <w:r w:rsidRPr="007E61A7">
              <w:rPr>
                <w:rFonts w:ascii="Calibri" w:hAnsi="Calibri" w:cs="Calibri"/>
              </w:rPr>
              <w:t>Significant</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298B12F" w14:textId="77777777" w:rsidR="00BF2994" w:rsidRPr="007E61A7" w:rsidRDefault="00BF2994">
            <w:pPr>
              <w:spacing w:after="160"/>
              <w:rPr>
                <w:rFonts w:ascii="Calibri" w:hAnsi="Calibri" w:cs="Calibri"/>
              </w:rPr>
            </w:pPr>
            <w:r w:rsidRPr="007E61A7">
              <w:rPr>
                <w:rFonts w:ascii="Calibri" w:hAnsi="Calibri" w:cs="Calibri"/>
              </w:rPr>
              <w:t>Strong independent predictor of cardiovascular risk.</w:t>
            </w:r>
          </w:p>
        </w:tc>
      </w:tr>
      <w:tr w:rsidR="00BF2994" w:rsidRPr="007E61A7" w14:paraId="39226155" w14:textId="77777777">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0E44AFD" w14:textId="516362C3" w:rsidR="00BF2994" w:rsidRPr="007E61A7" w:rsidRDefault="00BF2994">
            <w:pPr>
              <w:rPr>
                <w:rFonts w:ascii="Calibri" w:hAnsi="Calibri" w:cs="Calibri"/>
                <w:b/>
                <w:bCs/>
              </w:rPr>
            </w:pPr>
            <w:r w:rsidRPr="007E61A7">
              <w:rPr>
                <w:rFonts w:ascii="Calibri" w:hAnsi="Calibri" w:cs="Calibri"/>
                <w:b/>
                <w:bCs/>
              </w:rPr>
              <w:t>CCI Sum Score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11D8FCC" w14:textId="77777777" w:rsidR="00BF2994" w:rsidRPr="007E61A7" w:rsidRDefault="00BF2994">
            <w:pPr>
              <w:spacing w:after="160"/>
              <w:rPr>
                <w:rFonts w:ascii="Calibri" w:hAnsi="Calibri" w:cs="Calibri"/>
              </w:rPr>
            </w:pPr>
            <w:r w:rsidRPr="007E61A7">
              <w:rPr>
                <w:rFonts w:ascii="Calibri" w:hAnsi="Calibri" w:cs="Calibri"/>
              </w:rPr>
              <w:t>0.057</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6224E51" w14:textId="77777777" w:rsidR="00BF2994" w:rsidRPr="007E61A7" w:rsidRDefault="00BF2994">
            <w:pPr>
              <w:spacing w:after="160"/>
              <w:rPr>
                <w:rFonts w:ascii="Calibri" w:hAnsi="Calibri" w:cs="Calibri"/>
              </w:rPr>
            </w:pPr>
            <w:r w:rsidRPr="007E61A7">
              <w:rPr>
                <w:rFonts w:ascii="Calibri" w:hAnsi="Calibri" w:cs="Calibri"/>
              </w:rPr>
              <w:t>0.045 to 0.069</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D233EAA" w14:textId="77777777" w:rsidR="00BF2994" w:rsidRPr="007E61A7" w:rsidRDefault="00BF2994">
            <w:pPr>
              <w:spacing w:after="160"/>
              <w:rPr>
                <w:rFonts w:ascii="Calibri" w:hAnsi="Calibri" w:cs="Calibri"/>
              </w:rPr>
            </w:pPr>
            <w:r w:rsidRPr="007E61A7">
              <w:rPr>
                <w:rFonts w:ascii="Calibri" w:hAnsi="Calibri" w:cs="Calibri"/>
              </w:rPr>
              <w:t>Significant</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C27ACF1" w14:textId="35EAA8F0" w:rsidR="00BF2994" w:rsidRPr="007E61A7" w:rsidRDefault="00BF2994">
            <w:pPr>
              <w:spacing w:after="160"/>
              <w:rPr>
                <w:rFonts w:ascii="Calibri" w:hAnsi="Calibri" w:cs="Calibri"/>
              </w:rPr>
            </w:pPr>
            <w:r w:rsidRPr="007E61A7">
              <w:rPr>
                <w:rFonts w:ascii="Calibri" w:hAnsi="Calibri" w:cs="Calibri"/>
              </w:rPr>
              <w:t>Higher overall baseline comorbidity status predicts higher MACE risk.</w:t>
            </w:r>
          </w:p>
        </w:tc>
      </w:tr>
    </w:tbl>
    <w:p w14:paraId="1FE98E59" w14:textId="77777777" w:rsidR="000C121E" w:rsidRPr="007E61A7" w:rsidRDefault="000C121E" w:rsidP="000C121E">
      <w:pPr>
        <w:spacing w:after="0"/>
        <w:rPr>
          <w:rFonts w:ascii="Calibri" w:hAnsi="Calibri" w:cs="Calibri"/>
          <w:b/>
          <w:bCs/>
        </w:rPr>
      </w:pPr>
    </w:p>
    <w:p w14:paraId="23C62482" w14:textId="5B2119D9" w:rsidR="00524F26" w:rsidRPr="007E61A7" w:rsidRDefault="000C121E" w:rsidP="000C121E">
      <w:pPr>
        <w:spacing w:after="0"/>
      </w:pPr>
      <w:r w:rsidRPr="007E61A7">
        <w:rPr>
          <w:rFonts w:ascii="Calibri" w:hAnsi="Calibri" w:cs="Calibri"/>
          <w:b/>
          <w:bCs/>
        </w:rPr>
        <w:t xml:space="preserve">Legend : </w:t>
      </w:r>
      <w:r w:rsidRPr="007E61A7">
        <w:rPr>
          <w:rFonts w:ascii="Calibri" w:hAnsi="Calibri" w:cs="Calibri"/>
          <w:i/>
          <w:iCs/>
        </w:rPr>
        <w:t>Association parameter (α) from the joint model linking longitudinal PSA levels to time</w:t>
      </w:r>
      <w:r w:rsidRPr="007E61A7">
        <w:rPr>
          <w:rFonts w:ascii="Calibri" w:hAnsi="Calibri" w:cs="Calibri"/>
          <w:i/>
          <w:iCs/>
        </w:rPr>
        <w:noBreakHyphen/>
        <w:t>to</w:t>
      </w:r>
      <w:r w:rsidRPr="007E61A7">
        <w:rPr>
          <w:rFonts w:ascii="Calibri" w:hAnsi="Calibri" w:cs="Calibri"/>
          <w:i/>
          <w:iCs/>
        </w:rPr>
        <w:noBreakHyphen/>
        <w:t>MACE. A negative α indicates that lower PSA trajectories over time are associated with reduced cardiovascular risk. Covariate effects from the survival sub</w:t>
      </w:r>
      <w:r w:rsidRPr="007E61A7">
        <w:rPr>
          <w:rFonts w:ascii="Calibri" w:hAnsi="Calibri" w:cs="Calibri"/>
          <w:i/>
          <w:iCs/>
        </w:rPr>
        <w:noBreakHyphen/>
        <w:t xml:space="preserve">model are also shown. Abbreviation : </w:t>
      </w:r>
      <w:r w:rsidR="00524F26" w:rsidRPr="007E61A7">
        <w:t>CCI, Charlson Comorbidity Index Score.</w:t>
      </w:r>
    </w:p>
    <w:p w14:paraId="40BEE4A3" w14:textId="77777777" w:rsidR="005A70A2" w:rsidRPr="007E61A7" w:rsidRDefault="005A70A2"/>
    <w:p w14:paraId="072B16D9" w14:textId="77777777" w:rsidR="000145AF" w:rsidRDefault="000145AF">
      <w:pPr>
        <w:rPr>
          <w:rFonts w:ascii="Calibri" w:hAnsi="Calibri" w:cs="Calibri"/>
          <w:b/>
          <w:bCs/>
        </w:rPr>
      </w:pPr>
      <w:r>
        <w:rPr>
          <w:rFonts w:ascii="Calibri" w:hAnsi="Calibri" w:cs="Calibri"/>
          <w:b/>
          <w:bCs/>
        </w:rPr>
        <w:br w:type="page"/>
      </w:r>
    </w:p>
    <w:p w14:paraId="30EC3D4C" w14:textId="21DBC541" w:rsidR="000145AF" w:rsidRPr="00F0010B" w:rsidRDefault="000145AF" w:rsidP="000145AF">
      <w:pPr>
        <w:rPr>
          <w:rFonts w:ascii="Calibri" w:hAnsi="Calibri" w:cs="Calibri"/>
          <w:b/>
          <w:bCs/>
        </w:rPr>
      </w:pPr>
      <w:r w:rsidRPr="00F0010B">
        <w:rPr>
          <w:rFonts w:ascii="Calibri" w:hAnsi="Calibri" w:cs="Calibri"/>
          <w:b/>
          <w:bCs/>
        </w:rPr>
        <w:lastRenderedPageBreak/>
        <w:t>Table S5. Distribution and Adjusted Hazard Ratios for MACE Across Specific ARPI Molecules</w:t>
      </w:r>
    </w:p>
    <w:tbl>
      <w:tblPr>
        <w:tblW w:w="5000" w:type="pct"/>
        <w:tblCellMar>
          <w:left w:w="0" w:type="dxa"/>
          <w:right w:w="0" w:type="dxa"/>
        </w:tblCellMar>
        <w:tblLook w:val="04A0" w:firstRow="1" w:lastRow="0" w:firstColumn="1" w:lastColumn="0" w:noHBand="0" w:noVBand="1"/>
      </w:tblPr>
      <w:tblGrid>
        <w:gridCol w:w="2570"/>
        <w:gridCol w:w="1746"/>
        <w:gridCol w:w="1818"/>
        <w:gridCol w:w="1528"/>
        <w:gridCol w:w="1394"/>
      </w:tblGrid>
      <w:tr w:rsidR="000145AF" w14:paraId="6677BC5B" w14:textId="77777777" w:rsidTr="00E172E8">
        <w:trPr>
          <w:tblHeader/>
        </w:trPr>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1F85284" w14:textId="77777777" w:rsidR="000145AF" w:rsidRDefault="000145AF" w:rsidP="00E172E8">
            <w:pPr>
              <w:rPr>
                <w:kern w:val="0"/>
                <w14:ligatures w14:val="none"/>
              </w:rPr>
            </w:pPr>
            <w:r>
              <w:rPr>
                <w:rFonts w:ascii="Calibri" w:hAnsi="Calibri" w:cs="Calibri"/>
                <w:b/>
                <w:bCs/>
              </w:rPr>
              <w:t>ARPI Molecule Class</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E827DD9" w14:textId="77777777" w:rsidR="000145AF" w:rsidRDefault="000145AF" w:rsidP="00E172E8">
            <w:r>
              <w:rPr>
                <w:rFonts w:ascii="Calibri" w:hAnsi="Calibri" w:cs="Calibri"/>
                <w:b/>
                <w:bCs/>
              </w:rPr>
              <w:t>Overall Sub-Cohort Analysis (N=85968)</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F22DD40" w14:textId="77777777" w:rsidR="000145AF" w:rsidRDefault="000145AF" w:rsidP="00E172E8">
            <w:r>
              <w:rPr>
                <w:rFonts w:ascii="Calibri" w:hAnsi="Calibri" w:cs="Calibri"/>
                <w:b/>
                <w:bCs/>
              </w:rPr>
              <w:t>Evaluated Survival Population (N=53509)</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8C37125" w14:textId="77777777" w:rsidR="00414A5C" w:rsidRDefault="000145AF" w:rsidP="00E172E8">
            <w:pPr>
              <w:rPr>
                <w:rFonts w:ascii="Calibri" w:hAnsi="Calibri" w:cs="Calibri"/>
                <w:b/>
                <w:bCs/>
              </w:rPr>
            </w:pPr>
            <w:r>
              <w:rPr>
                <w:rFonts w:ascii="Calibri" w:hAnsi="Calibri" w:cs="Calibri"/>
                <w:b/>
                <w:bCs/>
              </w:rPr>
              <w:t xml:space="preserve">Adjusted Hazard Ratio (aHR)* </w:t>
            </w:r>
          </w:p>
          <w:p w14:paraId="078EBDEA" w14:textId="5CD880D1" w:rsidR="000145AF" w:rsidRDefault="00414A5C" w:rsidP="00E172E8">
            <w:r>
              <w:rPr>
                <w:rFonts w:ascii="Calibri" w:hAnsi="Calibri" w:cs="Calibri"/>
                <w:b/>
                <w:bCs/>
              </w:rPr>
              <w:t>(</w:t>
            </w:r>
            <w:r w:rsidR="000145AF">
              <w:rPr>
                <w:rFonts w:ascii="Calibri" w:hAnsi="Calibri" w:cs="Calibri"/>
                <w:b/>
                <w:bCs/>
              </w:rPr>
              <w:t>95% CI)</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A186F6F" w14:textId="77777777" w:rsidR="000145AF" w:rsidRDefault="000145AF" w:rsidP="00E172E8">
            <w:r>
              <w:rPr>
                <w:rFonts w:ascii="Calibri" w:hAnsi="Calibri" w:cs="Calibri"/>
                <w:b/>
                <w:bCs/>
              </w:rPr>
              <w:t>p-value</w:t>
            </w:r>
          </w:p>
        </w:tc>
      </w:tr>
      <w:tr w:rsidR="000145AF" w14:paraId="47AF4950" w14:textId="77777777" w:rsidTr="00E172E8">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A81D065" w14:textId="77777777" w:rsidR="000145AF" w:rsidRDefault="000145AF" w:rsidP="00E172E8">
            <w:r>
              <w:rPr>
                <w:rFonts w:ascii="Calibri" w:hAnsi="Calibri" w:cs="Calibri"/>
                <w:b/>
                <w:bCs/>
              </w:rPr>
              <w:t>All Included ARPIs</w:t>
            </w:r>
          </w:p>
          <w:p w14:paraId="0124644C" w14:textId="77777777" w:rsidR="000145AF" w:rsidRDefault="000145AF" w:rsidP="00E172E8">
            <w:r>
              <w:rPr>
                <w:rFonts w:ascii="Calibri" w:hAnsi="Calibri" w:cs="Calibri"/>
                <w:b/>
                <w:bCs/>
                <w:i/>
                <w:iCs/>
              </w:rPr>
              <w:t>(Bicalutamide, Enzalutamide, Abiraterone, Flutamide, Apalutamide)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C287486" w14:textId="77777777" w:rsidR="000145AF" w:rsidRPr="00466805" w:rsidRDefault="000145AF" w:rsidP="00E172E8">
            <w:r w:rsidRPr="00466805">
              <w:rPr>
                <w:rFonts w:ascii="Calibri" w:hAnsi="Calibri" w:cs="Calibri"/>
              </w:rPr>
              <w:t>Included</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70B2C5E" w14:textId="77777777" w:rsidR="000145AF" w:rsidRPr="00466805" w:rsidRDefault="000145AF" w:rsidP="00E172E8">
            <w:r w:rsidRPr="00466805">
              <w:rPr>
                <w:rFonts w:ascii="Calibri" w:hAnsi="Calibri" w:cs="Calibri"/>
              </w:rPr>
              <w:t>Included</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2B208E9" w14:textId="77777777" w:rsidR="000145AF" w:rsidRPr="00466805" w:rsidRDefault="000145AF" w:rsidP="00E172E8">
            <w:r w:rsidRPr="00466805">
              <w:rPr>
                <w:rFonts w:ascii="Calibri" w:hAnsi="Calibri" w:cs="Calibri"/>
                <w:i/>
                <w:iCs/>
              </w:rPr>
              <w:t>Reference / Baseline Profile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30CA8A9" w14:textId="77777777" w:rsidR="000145AF" w:rsidRPr="00466805" w:rsidRDefault="000145AF" w:rsidP="00E172E8">
            <w:r w:rsidRPr="00466805">
              <w:rPr>
                <w:rFonts w:ascii="Calibri" w:hAnsi="Calibri" w:cs="Calibri"/>
              </w:rPr>
              <w:t>—</w:t>
            </w:r>
          </w:p>
        </w:tc>
      </w:tr>
      <w:tr w:rsidR="000145AF" w14:paraId="163DB6BF" w14:textId="77777777" w:rsidTr="00E172E8">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A9C6DE3" w14:textId="77777777" w:rsidR="000145AF" w:rsidRDefault="000145AF" w:rsidP="00E172E8">
            <w:r>
              <w:rPr>
                <w:rFonts w:ascii="Calibri" w:hAnsi="Calibri" w:cs="Calibri"/>
                <w:b/>
                <w:bCs/>
              </w:rPr>
              <w:t>Darolutamide</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E305F8D" w14:textId="77777777" w:rsidR="000145AF" w:rsidRPr="00466805" w:rsidRDefault="000145AF" w:rsidP="00E172E8">
            <w:r w:rsidRPr="00466805">
              <w:rPr>
                <w:rFonts w:ascii="Calibri" w:hAnsi="Calibri" w:cs="Calibri"/>
              </w:rPr>
              <w:t>Included</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0CE8601" w14:textId="77777777" w:rsidR="000145AF" w:rsidRPr="00466805" w:rsidRDefault="000145AF" w:rsidP="00E172E8">
            <w:r w:rsidRPr="00466805">
              <w:rPr>
                <w:rFonts w:ascii="Calibri" w:hAnsi="Calibri" w:cs="Calibri"/>
              </w:rPr>
              <w:t>Included</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DF7AFC6" w14:textId="77777777" w:rsidR="000145AF" w:rsidRPr="00466805" w:rsidRDefault="000145AF" w:rsidP="00E172E8">
            <w:r w:rsidRPr="00466805">
              <w:rPr>
                <w:rFonts w:ascii="Calibri" w:hAnsi="Calibri" w:cs="Calibri"/>
              </w:rPr>
              <w:t>0.81</w:t>
            </w:r>
          </w:p>
        </w:tc>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21F2FD9" w14:textId="0AF93D42" w:rsidR="000145AF" w:rsidRPr="00466805" w:rsidRDefault="000145AF" w:rsidP="00E172E8">
            <w:r w:rsidRPr="00466805">
              <w:rPr>
                <w:rFonts w:ascii="Calibri" w:hAnsi="Calibri" w:cs="Calibri"/>
              </w:rPr>
              <w:t>&gt; 0.05</w:t>
            </w:r>
          </w:p>
          <w:p w14:paraId="217B677C" w14:textId="77777777" w:rsidR="000145AF" w:rsidRPr="00466805" w:rsidRDefault="000145AF" w:rsidP="00E172E8">
            <w:r w:rsidRPr="00466805">
              <w:rPr>
                <w:rFonts w:ascii="Calibri" w:hAnsi="Calibri" w:cs="Calibri"/>
              </w:rPr>
              <w:t>(Non-significant)</w:t>
            </w:r>
          </w:p>
        </w:tc>
      </w:tr>
    </w:tbl>
    <w:p w14:paraId="589887CA" w14:textId="77777777" w:rsidR="000145AF" w:rsidRPr="00F0010B" w:rsidRDefault="000145AF" w:rsidP="000145AF">
      <w:pPr>
        <w:pStyle w:val="NormalWeb"/>
        <w:rPr>
          <w:rFonts w:ascii="Calibri" w:hAnsi="Calibri" w:cs="Calibri"/>
          <w:b/>
          <w:bCs/>
          <w:lang w:val="en-US"/>
        </w:rPr>
      </w:pPr>
      <w:r w:rsidRPr="00F0010B">
        <w:rPr>
          <w:rFonts w:ascii="Calibri" w:hAnsi="Calibri" w:cs="Calibri"/>
          <w:b/>
          <w:bCs/>
          <w:lang w:val="en-US"/>
        </w:rPr>
        <w:t xml:space="preserve">Legend : </w:t>
      </w:r>
      <w:r w:rsidRPr="00F0010B">
        <w:rPr>
          <w:rFonts w:ascii="Calibri" w:hAnsi="Calibri" w:cs="Calibri"/>
          <w:lang w:val="en-US"/>
        </w:rPr>
        <w:t>This restricted analysis targets the direct cardiovascular impact of adding or modulating ARPIs in patients undergoing castration (85968 for the overall distribution and  53509 followed for strict survival).</w:t>
      </w:r>
    </w:p>
    <w:p w14:paraId="6E9E3861" w14:textId="77777777" w:rsidR="000145AF" w:rsidRDefault="000145AF" w:rsidP="000145AF">
      <w:pPr>
        <w:spacing w:before="100" w:beforeAutospacing="1" w:after="100" w:afterAutospacing="1" w:line="240" w:lineRule="auto"/>
        <w:rPr>
          <w:rFonts w:ascii="Calibri" w:eastAsia="Times New Roman" w:hAnsi="Calibri" w:cs="Calibri"/>
          <w:color w:val="000000"/>
          <w:kern w:val="0"/>
          <w14:ligatures w14:val="none"/>
        </w:rPr>
      </w:pPr>
      <w:r w:rsidRPr="00F0010B">
        <w:rPr>
          <w:rFonts w:ascii="Calibri" w:eastAsia="Times New Roman" w:hAnsi="Calibri" w:cs="Calibri"/>
          <w:b/>
          <w:bCs/>
          <w:color w:val="000000"/>
          <w:kern w:val="0"/>
          <w14:ligatures w14:val="none"/>
        </w:rPr>
        <w:t>*</w:t>
      </w:r>
      <w:r w:rsidRPr="00F0010B">
        <w:rPr>
          <w:rFonts w:ascii="Calibri" w:eastAsia="Times New Roman" w:hAnsi="Calibri" w:cs="Calibri"/>
          <w:color w:val="000000"/>
          <w:kern w:val="0"/>
          <w14:ligatures w14:val="none"/>
        </w:rPr>
        <w:t> Survival estimates incorporate confounding adjustments for age (median </w:t>
      </w:r>
      <w:r w:rsidRPr="00F0010B">
        <w:rPr>
          <w:rFonts w:ascii="Calibri" w:eastAsia="Times New Roman" w:hAnsi="Calibri" w:cs="Calibri"/>
          <w:color w:val="000000"/>
          <w:kern w:val="0"/>
          <w:u w:val="single"/>
          <w14:ligatures w14:val="none"/>
        </w:rPr>
        <w:t>&gt;</w:t>
      </w:r>
      <w:r>
        <w:rPr>
          <w:rFonts w:ascii="Calibri" w:eastAsia="Times New Roman" w:hAnsi="Calibri" w:cs="Calibri"/>
          <w:color w:val="000000"/>
          <w:kern w:val="0"/>
          <w14:ligatures w14:val="none"/>
        </w:rPr>
        <w:t xml:space="preserve"> 78</w:t>
      </w:r>
      <w:r w:rsidRPr="00F0010B">
        <w:rPr>
          <w:rFonts w:ascii="Calibri" w:eastAsia="Times New Roman" w:hAnsi="Calibri" w:cs="Calibri"/>
          <w:color w:val="000000"/>
          <w:kern w:val="0"/>
          <w14:ligatures w14:val="none"/>
        </w:rPr>
        <w:t> years), the Charlson Comorbidity Index (CCI), and a heavy baseline history of cardiovascular disease.</w:t>
      </w:r>
    </w:p>
    <w:p w14:paraId="46E5E5F0" w14:textId="77777777" w:rsidR="000145AF" w:rsidRDefault="000145AF" w:rsidP="000145AF">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br w:type="page"/>
      </w:r>
    </w:p>
    <w:p w14:paraId="7CB2F609" w14:textId="4DE13DB5" w:rsidR="000145AF" w:rsidRPr="00DD1F4D" w:rsidRDefault="000145AF" w:rsidP="000145AF">
      <w:pPr>
        <w:spacing w:before="100" w:beforeAutospacing="1" w:after="100" w:afterAutospacing="1" w:line="240" w:lineRule="auto"/>
        <w:rPr>
          <w:rFonts w:ascii="Calibri" w:hAnsi="Calibri" w:cs="Calibri"/>
          <w:b/>
          <w:bCs/>
        </w:rPr>
      </w:pPr>
      <w:r w:rsidRPr="00DD1F4D">
        <w:rPr>
          <w:rFonts w:ascii="Calibri" w:hAnsi="Calibri" w:cs="Calibri"/>
          <w:b/>
          <w:bCs/>
        </w:rPr>
        <w:lastRenderedPageBreak/>
        <w:t>Table S6. Sensitivity Analysis of MACE Risk Using Time-Varying and Lagged Exposure Models</w:t>
      </w:r>
    </w:p>
    <w:tbl>
      <w:tblPr>
        <w:tblW w:w="5000" w:type="pct"/>
        <w:tblCellMar>
          <w:left w:w="0" w:type="dxa"/>
          <w:right w:w="0" w:type="dxa"/>
        </w:tblCellMar>
        <w:tblLook w:val="04A0" w:firstRow="1" w:lastRow="0" w:firstColumn="1" w:lastColumn="0" w:noHBand="0" w:noVBand="1"/>
      </w:tblPr>
      <w:tblGrid>
        <w:gridCol w:w="1730"/>
        <w:gridCol w:w="2231"/>
        <w:gridCol w:w="1985"/>
        <w:gridCol w:w="3110"/>
      </w:tblGrid>
      <w:tr w:rsidR="000145AF" w14:paraId="1AB09259" w14:textId="77777777" w:rsidTr="00466805">
        <w:trPr>
          <w:tblHeader/>
        </w:trPr>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895ACE7" w14:textId="77777777" w:rsidR="000145AF" w:rsidRDefault="000145AF" w:rsidP="00E172E8">
            <w:pPr>
              <w:rPr>
                <w:kern w:val="0"/>
                <w14:ligatures w14:val="none"/>
              </w:rPr>
            </w:pPr>
            <w:r>
              <w:rPr>
                <w:rFonts w:ascii="Calibri" w:hAnsi="Calibri" w:cs="Calibri"/>
                <w:b/>
                <w:bCs/>
              </w:rPr>
              <w:t>Analysis Model</w:t>
            </w:r>
          </w:p>
        </w:tc>
        <w:tc>
          <w:tcPr>
            <w:tcW w:w="123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11720DE" w14:textId="77777777" w:rsidR="000145AF" w:rsidRDefault="000145AF" w:rsidP="00E172E8">
            <w:r>
              <w:rPr>
                <w:rFonts w:ascii="Calibri" w:hAnsi="Calibri" w:cs="Calibri"/>
                <w:b/>
                <w:bCs/>
              </w:rPr>
              <w:t>Evaluation Framework / Cohort</w:t>
            </w:r>
          </w:p>
        </w:tc>
        <w:tc>
          <w:tcPr>
            <w:tcW w:w="1096"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F549D5F" w14:textId="77777777" w:rsidR="000145AF" w:rsidRDefault="000145AF" w:rsidP="00E172E8">
            <w:r>
              <w:rPr>
                <w:rFonts w:ascii="Calibri" w:hAnsi="Calibri" w:cs="Calibri"/>
                <w:b/>
                <w:bCs/>
              </w:rPr>
              <w:t>Hazard Ratio (95% CI)</w:t>
            </w:r>
          </w:p>
        </w:tc>
        <w:tc>
          <w:tcPr>
            <w:tcW w:w="1717"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C260C3F" w14:textId="77777777" w:rsidR="000145AF" w:rsidRDefault="000145AF" w:rsidP="00E172E8">
            <w:r>
              <w:rPr>
                <w:rFonts w:ascii="Calibri" w:hAnsi="Calibri" w:cs="Calibri"/>
                <w:b/>
                <w:bCs/>
              </w:rPr>
              <w:t>Statistical Interpretation</w:t>
            </w:r>
          </w:p>
        </w:tc>
      </w:tr>
      <w:tr w:rsidR="000145AF" w14:paraId="1D915133" w14:textId="77777777" w:rsidTr="00466805">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02EB226C" w14:textId="77777777" w:rsidR="000145AF" w:rsidRDefault="000145AF" w:rsidP="00E172E8">
            <w:r>
              <w:rPr>
                <w:rFonts w:ascii="Calibri" w:hAnsi="Calibri" w:cs="Calibri"/>
                <w:b/>
                <w:bCs/>
              </w:rPr>
              <w:t>Time-Varying Cox Model</w:t>
            </w:r>
          </w:p>
        </w:tc>
        <w:tc>
          <w:tcPr>
            <w:tcW w:w="123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ACBAF87" w14:textId="77777777" w:rsidR="00414A5C" w:rsidRPr="00466805" w:rsidRDefault="000145AF" w:rsidP="00E172E8">
            <w:pPr>
              <w:rPr>
                <w:rFonts w:ascii="Calibri" w:hAnsi="Calibri" w:cs="Calibri"/>
              </w:rPr>
            </w:pPr>
            <w:r w:rsidRPr="00466805">
              <w:rPr>
                <w:rFonts w:ascii="Calibri" w:hAnsi="Calibri" w:cs="Calibri"/>
              </w:rPr>
              <w:t xml:space="preserve">Dynamic Exposure and Longitudinal PSA </w:t>
            </w:r>
          </w:p>
          <w:p w14:paraId="119444A8" w14:textId="5509248A" w:rsidR="000145AF" w:rsidRPr="00466805" w:rsidRDefault="000145AF" w:rsidP="00E172E8">
            <w:r w:rsidRPr="00466805">
              <w:rPr>
                <w:rFonts w:ascii="Calibri" w:hAnsi="Calibri" w:cs="Calibri"/>
              </w:rPr>
              <w:t>(N = 85,968)</w:t>
            </w:r>
          </w:p>
        </w:tc>
        <w:tc>
          <w:tcPr>
            <w:tcW w:w="1096"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4667B60" w14:textId="77777777" w:rsidR="00466805" w:rsidRDefault="000145AF" w:rsidP="00E172E8">
            <w:pPr>
              <w:rPr>
                <w:rFonts w:ascii="Calibri" w:hAnsi="Calibri" w:cs="Calibri"/>
              </w:rPr>
            </w:pPr>
            <w:r w:rsidRPr="00466805">
              <w:rPr>
                <w:rFonts w:ascii="Calibri" w:hAnsi="Calibri" w:cs="Calibri"/>
              </w:rPr>
              <w:t>1.12 </w:t>
            </w:r>
          </w:p>
          <w:p w14:paraId="001A9616" w14:textId="0577EA5C" w:rsidR="000145AF" w:rsidRPr="00466805" w:rsidRDefault="000145AF" w:rsidP="00E172E8">
            <w:pPr>
              <w:rPr>
                <w:rFonts w:ascii="Calibri" w:hAnsi="Calibri" w:cs="Calibri"/>
              </w:rPr>
            </w:pPr>
            <w:r w:rsidRPr="00466805">
              <w:rPr>
                <w:rFonts w:ascii="Calibri" w:hAnsi="Calibri" w:cs="Calibri"/>
              </w:rPr>
              <w:t>(0.94 to 1.34)</w:t>
            </w:r>
          </w:p>
        </w:tc>
        <w:tc>
          <w:tcPr>
            <w:tcW w:w="1717"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6FC8530" w14:textId="77777777" w:rsidR="000145AF" w:rsidRPr="00466805" w:rsidRDefault="000145AF" w:rsidP="00E172E8">
            <w:pPr>
              <w:rPr>
                <w:rFonts w:ascii="Calibri" w:hAnsi="Calibri" w:cs="Calibri"/>
              </w:rPr>
            </w:pPr>
            <w:r w:rsidRPr="00466805">
              <w:rPr>
                <w:rFonts w:ascii="Calibri" w:hAnsi="Calibri" w:cs="Calibri"/>
              </w:rPr>
              <w:t xml:space="preserve">LHRH agonists vs. GnRH antagonists </w:t>
            </w:r>
          </w:p>
          <w:p w14:paraId="708E48F2" w14:textId="77777777" w:rsidR="000145AF" w:rsidRPr="00466805" w:rsidRDefault="000145AF" w:rsidP="00E172E8">
            <w:r w:rsidRPr="00466805">
              <w:rPr>
                <w:rFonts w:ascii="Calibri" w:hAnsi="Calibri" w:cs="Calibri"/>
              </w:rPr>
              <w:t xml:space="preserve">(Non-significant, </w:t>
            </w:r>
            <w:r w:rsidRPr="00466805">
              <w:rPr>
                <w:rFonts w:ascii="Calibri" w:hAnsi="Calibri" w:cs="Calibri"/>
                <w:i/>
                <w:iCs/>
              </w:rPr>
              <w:t xml:space="preserve">p </w:t>
            </w:r>
            <w:r w:rsidRPr="00466805">
              <w:rPr>
                <w:rFonts w:ascii="Calibri" w:hAnsi="Calibri" w:cs="Calibri"/>
              </w:rPr>
              <w:t>= 0.2)</w:t>
            </w:r>
          </w:p>
        </w:tc>
      </w:tr>
      <w:tr w:rsidR="000145AF" w14:paraId="044D0F1E" w14:textId="77777777" w:rsidTr="00466805">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AE4E2F9" w14:textId="77777777" w:rsidR="000145AF" w:rsidRDefault="000145AF" w:rsidP="00E172E8">
            <w:r>
              <w:rPr>
                <w:rFonts w:ascii="Calibri" w:hAnsi="Calibri" w:cs="Calibri"/>
                <w:b/>
                <w:bCs/>
              </w:rPr>
              <w:t>Lagged Exposure Model</w:t>
            </w:r>
          </w:p>
        </w:tc>
        <w:tc>
          <w:tcPr>
            <w:tcW w:w="123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69E4554D" w14:textId="77777777" w:rsidR="000145AF" w:rsidRPr="00466805" w:rsidRDefault="000145AF" w:rsidP="00E172E8">
            <w:r w:rsidRPr="00466805">
              <w:rPr>
                <w:rFonts w:ascii="Calibri" w:hAnsi="Calibri" w:cs="Calibri"/>
              </w:rPr>
              <w:t>0-Month Landmark Window</w:t>
            </w:r>
          </w:p>
        </w:tc>
        <w:tc>
          <w:tcPr>
            <w:tcW w:w="1096"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7A96BEC" w14:textId="77777777" w:rsidR="000145AF" w:rsidRPr="00466805" w:rsidRDefault="000145AF" w:rsidP="00E172E8">
            <w:r w:rsidRPr="00466805">
              <w:rPr>
                <w:rFonts w:ascii="Calibri" w:hAnsi="Calibri" w:cs="Calibri"/>
                <w:i/>
                <w:iCs/>
              </w:rPr>
              <w:t>Stable Profile</w:t>
            </w:r>
          </w:p>
        </w:tc>
        <w:tc>
          <w:tcPr>
            <w:tcW w:w="1717"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99E2DBA" w14:textId="77777777" w:rsidR="000145AF" w:rsidRPr="00466805" w:rsidRDefault="000145AF" w:rsidP="00E172E8">
            <w:r w:rsidRPr="00466805">
              <w:rPr>
                <w:rFonts w:ascii="Calibri" w:hAnsi="Calibri" w:cs="Calibri"/>
              </w:rPr>
              <w:t>Baseline Risk Estimate (Reference)</w:t>
            </w:r>
          </w:p>
        </w:tc>
      </w:tr>
      <w:tr w:rsidR="000145AF" w14:paraId="2D059C54" w14:textId="77777777" w:rsidTr="00466805">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B499D82" w14:textId="77777777" w:rsidR="000145AF" w:rsidRDefault="000145AF" w:rsidP="00E172E8">
            <w:r>
              <w:rPr>
                <w:rFonts w:ascii="Calibri" w:hAnsi="Calibri" w:cs="Calibri"/>
                <w:b/>
                <w:bCs/>
              </w:rPr>
              <w:t>Lagged Exposure Model</w:t>
            </w:r>
          </w:p>
        </w:tc>
        <w:tc>
          <w:tcPr>
            <w:tcW w:w="123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22C5320" w14:textId="77777777" w:rsidR="000145AF" w:rsidRPr="00466805" w:rsidRDefault="000145AF" w:rsidP="00E172E8">
            <w:r w:rsidRPr="00466805">
              <w:rPr>
                <w:rFonts w:ascii="Calibri" w:hAnsi="Calibri" w:cs="Calibri"/>
              </w:rPr>
              <w:t>3-Month Landmark Window</w:t>
            </w:r>
          </w:p>
        </w:tc>
        <w:tc>
          <w:tcPr>
            <w:tcW w:w="1096"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297DD6BB" w14:textId="77777777" w:rsidR="000145AF" w:rsidRPr="00466805" w:rsidRDefault="000145AF" w:rsidP="00E172E8">
            <w:r w:rsidRPr="00466805">
              <w:rPr>
                <w:rFonts w:ascii="Calibri" w:hAnsi="Calibri" w:cs="Calibri"/>
                <w:i/>
                <w:iCs/>
              </w:rPr>
              <w:t>Stable Profile</w:t>
            </w:r>
          </w:p>
        </w:tc>
        <w:tc>
          <w:tcPr>
            <w:tcW w:w="1717"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BA3912F" w14:textId="77777777" w:rsidR="000145AF" w:rsidRPr="00466805" w:rsidRDefault="000145AF" w:rsidP="00E172E8">
            <w:r w:rsidRPr="00466805">
              <w:rPr>
                <w:rFonts w:ascii="Calibri" w:hAnsi="Calibri" w:cs="Calibri"/>
              </w:rPr>
              <w:t>Consistent with main analysis; rules out reverse causality</w:t>
            </w:r>
          </w:p>
        </w:tc>
      </w:tr>
      <w:tr w:rsidR="000145AF" w14:paraId="093E36A3" w14:textId="77777777" w:rsidTr="00466805">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4B4B1DB4" w14:textId="77777777" w:rsidR="000145AF" w:rsidRDefault="000145AF" w:rsidP="00E172E8">
            <w:r>
              <w:rPr>
                <w:rFonts w:ascii="Calibri" w:hAnsi="Calibri" w:cs="Calibri"/>
                <w:b/>
                <w:bCs/>
              </w:rPr>
              <w:t>Lagged Exposure Model</w:t>
            </w:r>
          </w:p>
        </w:tc>
        <w:tc>
          <w:tcPr>
            <w:tcW w:w="123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BBF5E68" w14:textId="77777777" w:rsidR="000145AF" w:rsidRPr="00466805" w:rsidRDefault="000145AF" w:rsidP="00E172E8">
            <w:r w:rsidRPr="00466805">
              <w:rPr>
                <w:rFonts w:ascii="Calibri" w:hAnsi="Calibri" w:cs="Calibri"/>
              </w:rPr>
              <w:t>6-Month Landmark Window</w:t>
            </w:r>
          </w:p>
        </w:tc>
        <w:tc>
          <w:tcPr>
            <w:tcW w:w="1096"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1795715C" w14:textId="77777777" w:rsidR="000145AF" w:rsidRPr="00466805" w:rsidRDefault="000145AF" w:rsidP="00E172E8">
            <w:r w:rsidRPr="00466805">
              <w:rPr>
                <w:rFonts w:ascii="Calibri" w:hAnsi="Calibri" w:cs="Calibri"/>
                <w:i/>
                <w:iCs/>
              </w:rPr>
              <w:t>Stable Profile</w:t>
            </w:r>
          </w:p>
        </w:tc>
        <w:tc>
          <w:tcPr>
            <w:tcW w:w="1717"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5B2A8507" w14:textId="77777777" w:rsidR="000145AF" w:rsidRPr="00466805" w:rsidRDefault="000145AF" w:rsidP="00E172E8">
            <w:r w:rsidRPr="00466805">
              <w:rPr>
                <w:rFonts w:ascii="Calibri" w:hAnsi="Calibri" w:cs="Calibri"/>
              </w:rPr>
              <w:t>Consistent with main analysis; rules out reverse causality</w:t>
            </w:r>
          </w:p>
        </w:tc>
      </w:tr>
      <w:tr w:rsidR="000145AF" w14:paraId="4F3E95AB" w14:textId="77777777" w:rsidTr="00466805">
        <w:tc>
          <w:tcPr>
            <w:tcW w:w="0" w:type="auto"/>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2C2BD91" w14:textId="77777777" w:rsidR="000145AF" w:rsidRDefault="000145AF" w:rsidP="00E172E8">
            <w:r>
              <w:rPr>
                <w:rFonts w:ascii="Calibri" w:hAnsi="Calibri" w:cs="Calibri"/>
                <w:b/>
                <w:bCs/>
              </w:rPr>
              <w:t>Lagged Exposure Model</w:t>
            </w:r>
          </w:p>
        </w:tc>
        <w:tc>
          <w:tcPr>
            <w:tcW w:w="1232"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73EF3FE9" w14:textId="77777777" w:rsidR="000145AF" w:rsidRPr="00466805" w:rsidRDefault="000145AF" w:rsidP="00E172E8">
            <w:r w:rsidRPr="00466805">
              <w:rPr>
                <w:rFonts w:ascii="Calibri" w:hAnsi="Calibri" w:cs="Calibri"/>
              </w:rPr>
              <w:t>12-Month Landmark Window</w:t>
            </w:r>
          </w:p>
        </w:tc>
        <w:tc>
          <w:tcPr>
            <w:tcW w:w="1096"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C73BE7D" w14:textId="77777777" w:rsidR="000145AF" w:rsidRPr="00466805" w:rsidRDefault="000145AF" w:rsidP="00E172E8">
            <w:r w:rsidRPr="00466805">
              <w:rPr>
                <w:rFonts w:ascii="Calibri" w:hAnsi="Calibri" w:cs="Calibri"/>
                <w:i/>
                <w:iCs/>
              </w:rPr>
              <w:t>Stable Profile</w:t>
            </w:r>
          </w:p>
        </w:tc>
        <w:tc>
          <w:tcPr>
            <w:tcW w:w="1717" w:type="pct"/>
            <w:tcBorders>
              <w:top w:val="outset" w:sz="6" w:space="0" w:color="auto"/>
              <w:left w:val="outset" w:sz="6" w:space="0" w:color="auto"/>
              <w:bottom w:val="outset" w:sz="6" w:space="0" w:color="auto"/>
              <w:right w:val="outset" w:sz="6" w:space="0" w:color="auto"/>
            </w:tcBorders>
            <w:tcMar>
              <w:top w:w="80" w:type="dxa"/>
              <w:left w:w="120" w:type="dxa"/>
              <w:bottom w:w="80" w:type="dxa"/>
              <w:right w:w="120" w:type="dxa"/>
            </w:tcMar>
            <w:vAlign w:val="center"/>
            <w:hideMark/>
          </w:tcPr>
          <w:p w14:paraId="3F5F8A04" w14:textId="77777777" w:rsidR="000145AF" w:rsidRPr="00466805" w:rsidRDefault="000145AF" w:rsidP="00E172E8">
            <w:r w:rsidRPr="00466805">
              <w:rPr>
                <w:rFonts w:ascii="Calibri" w:hAnsi="Calibri" w:cs="Calibri"/>
              </w:rPr>
              <w:t>Consistent with main analysis; rules out reverse causality</w:t>
            </w:r>
          </w:p>
        </w:tc>
      </w:tr>
    </w:tbl>
    <w:p w14:paraId="2F008F46" w14:textId="77777777" w:rsidR="000145AF" w:rsidRPr="00DD1F4D" w:rsidRDefault="000145AF" w:rsidP="000145AF">
      <w:pPr>
        <w:spacing w:before="100" w:beforeAutospacing="1" w:after="100" w:afterAutospacing="1" w:line="240" w:lineRule="auto"/>
        <w:rPr>
          <w:rFonts w:ascii="Calibri" w:hAnsi="Calibri" w:cs="Calibri"/>
        </w:rPr>
      </w:pPr>
      <w:r w:rsidRPr="00DD1F4D">
        <w:rPr>
          <w:rFonts w:ascii="Calibri" w:hAnsi="Calibri" w:cs="Calibri"/>
          <w:b/>
          <w:bCs/>
        </w:rPr>
        <w:t>Legend</w:t>
      </w:r>
      <w:r>
        <w:rPr>
          <w:rFonts w:ascii="Calibri" w:hAnsi="Calibri" w:cs="Calibri"/>
          <w:b/>
          <w:bCs/>
        </w:rPr>
        <w:t xml:space="preserve"> </w:t>
      </w:r>
      <w:r w:rsidRPr="00DD1F4D">
        <w:rPr>
          <w:rFonts w:ascii="Calibri" w:hAnsi="Calibri" w:cs="Calibri"/>
          <w:b/>
          <w:bCs/>
        </w:rPr>
        <w:t>: </w:t>
      </w:r>
      <w:r w:rsidRPr="00DD1F4D">
        <w:rPr>
          <w:rFonts w:ascii="Calibri" w:hAnsi="Calibri" w:cs="Calibri"/>
        </w:rPr>
        <w:t>MACE is a composite endpoint consisting of cardiovascular mortality, non-fatal myocardial infarction, non-fatal stroke, and hospitalization for heart failure. The time-varying model accounts for the dynamic nature of both the castration modality and longitudinal PSA changes over time. The lagged exposure models (3, 6, and 12 months) introduce pre-specified landmark delay periods to ensure that early cardiovascular events do not artificially skew or misrepresent the treatment exposure window (ruling out protopathic bias).</w:t>
      </w:r>
    </w:p>
    <w:p w14:paraId="43853537" w14:textId="77777777" w:rsidR="000145AF" w:rsidRDefault="000145AF" w:rsidP="000145AF">
      <w:pPr>
        <w:spacing w:before="100" w:beforeAutospacing="1" w:after="100" w:afterAutospacing="1" w:line="240" w:lineRule="auto"/>
        <w:rPr>
          <w:b/>
          <w:bCs/>
        </w:rPr>
      </w:pPr>
      <w:r>
        <w:rPr>
          <w:b/>
          <w:bCs/>
        </w:rPr>
        <w:br w:type="page"/>
      </w:r>
    </w:p>
    <w:p w14:paraId="68574F14" w14:textId="77777777" w:rsidR="000145AF" w:rsidRDefault="000145AF" w:rsidP="000145AF">
      <w:pPr>
        <w:rPr>
          <w:rFonts w:ascii="Calibri" w:hAnsi="Calibri" w:cs="Calibri"/>
          <w:b/>
          <w:bCs/>
        </w:rPr>
      </w:pPr>
      <w:r w:rsidRPr="00C41560">
        <w:rPr>
          <w:rFonts w:ascii="Calibri" w:hAnsi="Calibri" w:cs="Calibri"/>
          <w:b/>
          <w:bCs/>
        </w:rPr>
        <w:lastRenderedPageBreak/>
        <w:t>Figure S1. Propensity Score Distribution Before and After IPTW Weighting</w:t>
      </w:r>
    </w:p>
    <w:p w14:paraId="009197D6" w14:textId="77777777" w:rsidR="0045568A" w:rsidRDefault="0045568A" w:rsidP="000145AF">
      <w:pPr>
        <w:rPr>
          <w:rFonts w:ascii="Calibri" w:hAnsi="Calibri" w:cs="Calibri"/>
          <w:b/>
          <w:bCs/>
        </w:rPr>
      </w:pPr>
    </w:p>
    <w:p w14:paraId="5B011283" w14:textId="3DE5AB19" w:rsidR="0045568A" w:rsidRPr="00C41560" w:rsidRDefault="0045568A" w:rsidP="000145AF">
      <w:pPr>
        <w:rPr>
          <w:rFonts w:ascii="Calibri" w:hAnsi="Calibri" w:cs="Calibri"/>
          <w:b/>
          <w:bCs/>
        </w:rPr>
      </w:pPr>
      <w:r w:rsidRPr="0045568A">
        <w:rPr>
          <w:rFonts w:ascii="Calibri" w:hAnsi="Calibri" w:cs="Calibri"/>
          <w:b/>
          <w:bCs/>
          <w:noProof/>
        </w:rPr>
        <w:drawing>
          <wp:inline distT="0" distB="0" distL="0" distR="0" wp14:anchorId="2EE1A26B" wp14:editId="26FD31FD">
            <wp:extent cx="5760720" cy="3013710"/>
            <wp:effectExtent l="0" t="0" r="0" b="0"/>
            <wp:docPr id="766957830"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57830"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60720" cy="3013710"/>
                    </a:xfrm>
                    <a:prstGeom prst="rect">
                      <a:avLst/>
                    </a:prstGeom>
                  </pic:spPr>
                </pic:pic>
              </a:graphicData>
            </a:graphic>
          </wp:inline>
        </w:drawing>
      </w:r>
    </w:p>
    <w:p w14:paraId="788192C5" w14:textId="37699B49" w:rsidR="000145AF" w:rsidRPr="00C41560" w:rsidRDefault="000145AF" w:rsidP="000145AF">
      <w:pPr>
        <w:rPr>
          <w:rFonts w:ascii="Calibri" w:hAnsi="Calibri" w:cs="Calibri"/>
        </w:rPr>
      </w:pPr>
      <w:r w:rsidRPr="00C41560">
        <w:rPr>
          <w:rFonts w:ascii="Calibri" w:hAnsi="Calibri" w:cs="Calibri"/>
          <w:b/>
          <w:bCs/>
        </w:rPr>
        <w:t xml:space="preserve">Legend: </w:t>
      </w:r>
      <w:r w:rsidRPr="00C41560">
        <w:rPr>
          <w:rFonts w:ascii="Calibri" w:hAnsi="Calibri" w:cs="Calibri"/>
        </w:rPr>
        <w:t>Propensity score density plots before (raw cohort) and after Inverse Probability of Treatment Weighting (IPTW). The adjustment achieves a standardized mean difference (SMD) of less than 0.1 across all baseline clinical demographics and oncological covariates, ensuring robust balance between the castration modality cohorts.</w:t>
      </w:r>
    </w:p>
    <w:p w14:paraId="6410C12B" w14:textId="77777777" w:rsidR="0045568A" w:rsidRDefault="0045568A">
      <w:pPr>
        <w:rPr>
          <w:rFonts w:ascii="Calibri" w:hAnsi="Calibri" w:cs="Calibri"/>
          <w:b/>
          <w:bCs/>
        </w:rPr>
      </w:pPr>
      <w:r>
        <w:rPr>
          <w:rFonts w:ascii="Calibri" w:hAnsi="Calibri" w:cs="Calibri"/>
          <w:b/>
          <w:bCs/>
        </w:rPr>
        <w:br w:type="page"/>
      </w:r>
    </w:p>
    <w:p w14:paraId="1DE88DF9" w14:textId="3808F546" w:rsidR="000145AF" w:rsidRDefault="000145AF" w:rsidP="000145AF">
      <w:pPr>
        <w:rPr>
          <w:rFonts w:ascii="Calibri" w:hAnsi="Calibri" w:cs="Calibri"/>
          <w:b/>
          <w:bCs/>
        </w:rPr>
      </w:pPr>
      <w:r w:rsidRPr="00C41560">
        <w:rPr>
          <w:rFonts w:ascii="Calibri" w:hAnsi="Calibri" w:cs="Calibri"/>
          <w:b/>
          <w:bCs/>
        </w:rPr>
        <w:lastRenderedPageBreak/>
        <w:t>Figure S2. Kaplan-Meier Survival Curves for Cumulative MACE</w:t>
      </w:r>
      <w:r w:rsidR="00414A5C">
        <w:rPr>
          <w:rFonts w:ascii="Calibri" w:hAnsi="Calibri" w:cs="Calibri"/>
          <w:b/>
          <w:bCs/>
        </w:rPr>
        <w:t xml:space="preserve"> </w:t>
      </w:r>
      <w:r w:rsidRPr="00C41560">
        <w:rPr>
          <w:rFonts w:ascii="Calibri" w:hAnsi="Calibri" w:cs="Calibri"/>
          <w:b/>
          <w:bCs/>
        </w:rPr>
        <w:t>Incidence Stratified by Age Median</w:t>
      </w:r>
    </w:p>
    <w:p w14:paraId="7BC11C0A" w14:textId="77777777" w:rsidR="00414A5C" w:rsidRDefault="00414A5C" w:rsidP="000145AF">
      <w:pPr>
        <w:rPr>
          <w:rFonts w:ascii="Calibri" w:hAnsi="Calibri" w:cs="Calibri"/>
          <w:b/>
          <w:bCs/>
        </w:rPr>
      </w:pPr>
    </w:p>
    <w:p w14:paraId="41B8710F" w14:textId="2A82F8DB" w:rsidR="0045568A" w:rsidRPr="00C41560" w:rsidRDefault="00414A5C" w:rsidP="000145AF">
      <w:pPr>
        <w:rPr>
          <w:rFonts w:ascii="Calibri" w:hAnsi="Calibri" w:cs="Calibri"/>
          <w:b/>
          <w:bCs/>
        </w:rPr>
      </w:pPr>
      <w:r w:rsidRPr="00414A5C">
        <w:rPr>
          <w:rFonts w:ascii="Calibri" w:hAnsi="Calibri" w:cs="Calibri"/>
          <w:b/>
          <w:bCs/>
          <w:noProof/>
        </w:rPr>
        <w:drawing>
          <wp:inline distT="0" distB="0" distL="0" distR="0" wp14:anchorId="7D91A0ED" wp14:editId="6DF140FC">
            <wp:extent cx="5760720" cy="3013710"/>
            <wp:effectExtent l="0" t="0" r="0" b="0"/>
            <wp:docPr id="106137874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78748" name=""/>
                    <pic:cNvPicPr/>
                  </pic:nvPicPr>
                  <pic:blipFill>
                    <a:blip r:embed="rId7">
                      <a:extLst>
                        <a:ext uri="{96DAC541-7B7A-43D3-8B79-37D633B846F1}">
                          <asvg:svgBlip xmlns:asvg="http://schemas.microsoft.com/office/drawing/2016/SVG/main" r:embed="rId8"/>
                        </a:ext>
                      </a:extLst>
                    </a:blip>
                    <a:stretch>
                      <a:fillRect/>
                    </a:stretch>
                  </pic:blipFill>
                  <pic:spPr>
                    <a:xfrm>
                      <a:off x="0" y="0"/>
                      <a:ext cx="5760720" cy="3013710"/>
                    </a:xfrm>
                    <a:prstGeom prst="rect">
                      <a:avLst/>
                    </a:prstGeom>
                  </pic:spPr>
                </pic:pic>
              </a:graphicData>
            </a:graphic>
          </wp:inline>
        </w:drawing>
      </w:r>
    </w:p>
    <w:p w14:paraId="7D9B4D6A" w14:textId="316DA474" w:rsidR="000145AF" w:rsidRPr="00C41560" w:rsidRDefault="000145AF" w:rsidP="000145AF">
      <w:pPr>
        <w:rPr>
          <w:rFonts w:ascii="Calibri" w:hAnsi="Calibri" w:cs="Calibri"/>
        </w:rPr>
      </w:pPr>
      <w:r w:rsidRPr="00C41560">
        <w:rPr>
          <w:rFonts w:ascii="Calibri" w:hAnsi="Calibri" w:cs="Calibri"/>
          <w:b/>
          <w:bCs/>
        </w:rPr>
        <w:t xml:space="preserve">Legend: </w:t>
      </w:r>
      <w:r w:rsidRPr="00C41560">
        <w:rPr>
          <w:rFonts w:ascii="Calibri" w:hAnsi="Calibri" w:cs="Calibri"/>
        </w:rPr>
        <w:t>IPTW-adjusted Kaplan-Meier curves tracking the cumulative incidence of Major Adverse Cardiovascular Events (MACE) stratified by the study population median age (less than 78 years vs. greater than or equal to 78 years). Shaded areas represent 95% confidence intervals.</w:t>
      </w:r>
    </w:p>
    <w:p w14:paraId="3367F0A8" w14:textId="77777777" w:rsidR="00414A5C" w:rsidRDefault="00414A5C">
      <w:pPr>
        <w:rPr>
          <w:rFonts w:ascii="Calibri" w:hAnsi="Calibri" w:cs="Calibri"/>
          <w:b/>
          <w:bCs/>
        </w:rPr>
      </w:pPr>
      <w:r>
        <w:rPr>
          <w:rFonts w:ascii="Calibri" w:hAnsi="Calibri" w:cs="Calibri"/>
          <w:b/>
          <w:bCs/>
        </w:rPr>
        <w:br w:type="page"/>
      </w:r>
    </w:p>
    <w:p w14:paraId="49F5D20B" w14:textId="3BB1E9ED" w:rsidR="000145AF" w:rsidRDefault="000145AF" w:rsidP="000145AF">
      <w:pPr>
        <w:rPr>
          <w:rFonts w:ascii="Calibri" w:hAnsi="Calibri" w:cs="Calibri"/>
          <w:b/>
          <w:bCs/>
        </w:rPr>
      </w:pPr>
      <w:r w:rsidRPr="00C41560">
        <w:rPr>
          <w:rFonts w:ascii="Calibri" w:hAnsi="Calibri" w:cs="Calibri"/>
          <w:b/>
          <w:bCs/>
        </w:rPr>
        <w:lastRenderedPageBreak/>
        <w:t>Figure S3. Kaplan-Meier Survival Curves for All-Cause Mortality</w:t>
      </w:r>
    </w:p>
    <w:p w14:paraId="429D1DFD" w14:textId="77777777" w:rsidR="00414A5C" w:rsidRDefault="00414A5C" w:rsidP="000145AF">
      <w:pPr>
        <w:rPr>
          <w:rFonts w:ascii="Calibri" w:hAnsi="Calibri" w:cs="Calibri"/>
          <w:b/>
          <w:bCs/>
        </w:rPr>
      </w:pPr>
    </w:p>
    <w:p w14:paraId="761FFE99" w14:textId="3035622D" w:rsidR="00414A5C" w:rsidRPr="00C41560" w:rsidRDefault="00414A5C" w:rsidP="000145AF">
      <w:pPr>
        <w:rPr>
          <w:rFonts w:ascii="Calibri" w:hAnsi="Calibri" w:cs="Calibri"/>
          <w:b/>
          <w:bCs/>
        </w:rPr>
      </w:pPr>
      <w:r w:rsidRPr="00414A5C">
        <w:rPr>
          <w:rFonts w:ascii="Calibri" w:hAnsi="Calibri" w:cs="Calibri"/>
          <w:b/>
          <w:bCs/>
          <w:noProof/>
        </w:rPr>
        <w:drawing>
          <wp:inline distT="0" distB="0" distL="0" distR="0" wp14:anchorId="0B0421C8" wp14:editId="4785BB08">
            <wp:extent cx="5760720" cy="3013710"/>
            <wp:effectExtent l="0" t="0" r="0" b="0"/>
            <wp:docPr id="9913402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402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60720" cy="3013710"/>
                    </a:xfrm>
                    <a:prstGeom prst="rect">
                      <a:avLst/>
                    </a:prstGeom>
                  </pic:spPr>
                </pic:pic>
              </a:graphicData>
            </a:graphic>
          </wp:inline>
        </w:drawing>
      </w:r>
    </w:p>
    <w:p w14:paraId="7687D778" w14:textId="32B4DE1B" w:rsidR="000145AF" w:rsidRPr="00C41560" w:rsidRDefault="000145AF" w:rsidP="000145AF">
      <w:pPr>
        <w:rPr>
          <w:rFonts w:ascii="Calibri" w:hAnsi="Calibri" w:cs="Calibri"/>
        </w:rPr>
      </w:pPr>
      <w:r w:rsidRPr="00C41560">
        <w:rPr>
          <w:rFonts w:ascii="Calibri" w:hAnsi="Calibri" w:cs="Calibri"/>
          <w:b/>
          <w:bCs/>
        </w:rPr>
        <w:t xml:space="preserve">Legend: </w:t>
      </w:r>
      <w:r w:rsidRPr="00C41560">
        <w:rPr>
          <w:rFonts w:ascii="Calibri" w:hAnsi="Calibri" w:cs="Calibri"/>
        </w:rPr>
        <w:t xml:space="preserve">Kaplan-Meier survival curves for all-cause mortality according to castration modality (surgical vs. medical castration). After full IPTW adjustment, surgical castration demonstrates a statistically significant reduction in the long-term risk of death from any cause (aHR = 0.24, 95% CI: 0.06 to 0.95, p </w:t>
      </w:r>
      <w:r w:rsidR="00D5096D">
        <w:rPr>
          <w:rFonts w:ascii="Calibri" w:hAnsi="Calibri" w:cs="Calibri"/>
        </w:rPr>
        <w:t>&lt;</w:t>
      </w:r>
      <w:r w:rsidRPr="00C41560">
        <w:rPr>
          <w:rFonts w:ascii="Calibri" w:hAnsi="Calibri" w:cs="Calibri"/>
        </w:rPr>
        <w:t xml:space="preserve"> 0.05).</w:t>
      </w:r>
    </w:p>
    <w:p w14:paraId="48173312" w14:textId="77777777" w:rsidR="00414A5C" w:rsidRDefault="00414A5C">
      <w:pPr>
        <w:rPr>
          <w:rFonts w:ascii="Calibri" w:hAnsi="Calibri" w:cs="Calibri"/>
          <w:b/>
          <w:bCs/>
        </w:rPr>
      </w:pPr>
      <w:r>
        <w:rPr>
          <w:rFonts w:ascii="Calibri" w:hAnsi="Calibri" w:cs="Calibri"/>
          <w:b/>
          <w:bCs/>
        </w:rPr>
        <w:br w:type="page"/>
      </w:r>
    </w:p>
    <w:p w14:paraId="546210E0" w14:textId="69BD3E3C" w:rsidR="000145AF" w:rsidRDefault="000145AF" w:rsidP="000145AF">
      <w:pPr>
        <w:rPr>
          <w:rFonts w:ascii="Calibri" w:hAnsi="Calibri" w:cs="Calibri"/>
          <w:b/>
          <w:bCs/>
        </w:rPr>
      </w:pPr>
      <w:r w:rsidRPr="00C41560">
        <w:rPr>
          <w:rFonts w:ascii="Calibri" w:hAnsi="Calibri" w:cs="Calibri"/>
          <w:b/>
          <w:bCs/>
        </w:rPr>
        <w:lastRenderedPageBreak/>
        <w:t>Figure S4. Sensitivity Analyses: Hazard Ratios for MACE</w:t>
      </w:r>
      <w:r w:rsidR="00414A5C">
        <w:rPr>
          <w:rFonts w:ascii="Calibri" w:hAnsi="Calibri" w:cs="Calibri"/>
          <w:b/>
          <w:bCs/>
        </w:rPr>
        <w:t xml:space="preserve"> </w:t>
      </w:r>
      <w:r w:rsidRPr="00C41560">
        <w:rPr>
          <w:rFonts w:ascii="Calibri" w:hAnsi="Calibri" w:cs="Calibri"/>
          <w:b/>
          <w:bCs/>
        </w:rPr>
        <w:t>Across Pre-specified Lagged Exposure Periods</w:t>
      </w:r>
    </w:p>
    <w:p w14:paraId="04F47299" w14:textId="77777777" w:rsidR="00414A5C" w:rsidRDefault="00414A5C" w:rsidP="000145AF">
      <w:pPr>
        <w:rPr>
          <w:rFonts w:ascii="Calibri" w:hAnsi="Calibri" w:cs="Calibri"/>
          <w:b/>
          <w:bCs/>
        </w:rPr>
      </w:pPr>
    </w:p>
    <w:p w14:paraId="53AE8971" w14:textId="2A707155" w:rsidR="00414A5C" w:rsidRPr="00C41560" w:rsidRDefault="00414A5C" w:rsidP="000145AF">
      <w:pPr>
        <w:rPr>
          <w:rFonts w:ascii="Calibri" w:hAnsi="Calibri" w:cs="Calibri"/>
          <w:b/>
          <w:bCs/>
        </w:rPr>
      </w:pPr>
      <w:r w:rsidRPr="00414A5C">
        <w:rPr>
          <w:rFonts w:ascii="Calibri" w:hAnsi="Calibri" w:cs="Calibri"/>
          <w:b/>
          <w:bCs/>
          <w:noProof/>
        </w:rPr>
        <w:drawing>
          <wp:inline distT="0" distB="0" distL="0" distR="0" wp14:anchorId="36B88DB1" wp14:editId="4D544828">
            <wp:extent cx="5760720" cy="3013710"/>
            <wp:effectExtent l="0" t="0" r="0" b="0"/>
            <wp:docPr id="88392917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29174"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60720" cy="3013710"/>
                    </a:xfrm>
                    <a:prstGeom prst="rect">
                      <a:avLst/>
                    </a:prstGeom>
                  </pic:spPr>
                </pic:pic>
              </a:graphicData>
            </a:graphic>
          </wp:inline>
        </w:drawing>
      </w:r>
    </w:p>
    <w:p w14:paraId="512E4BFF" w14:textId="700D8B5F" w:rsidR="000145AF" w:rsidRPr="00C41560" w:rsidRDefault="000145AF" w:rsidP="000145AF">
      <w:pPr>
        <w:rPr>
          <w:rFonts w:ascii="Calibri" w:hAnsi="Calibri" w:cs="Calibri"/>
        </w:rPr>
      </w:pPr>
      <w:r w:rsidRPr="00C41560">
        <w:rPr>
          <w:rFonts w:ascii="Calibri" w:hAnsi="Calibri" w:cs="Calibri"/>
          <w:b/>
          <w:bCs/>
        </w:rPr>
        <w:t xml:space="preserve">Legend: </w:t>
      </w:r>
      <w:r w:rsidRPr="00C41560">
        <w:rPr>
          <w:rFonts w:ascii="Calibri" w:hAnsi="Calibri" w:cs="Calibri"/>
        </w:rPr>
        <w:t>Forest plot showing the hazard ratios for MACE</w:t>
      </w:r>
      <w:r w:rsidR="00414A5C">
        <w:rPr>
          <w:rFonts w:ascii="Calibri" w:hAnsi="Calibri" w:cs="Calibri"/>
        </w:rPr>
        <w:t xml:space="preserve"> </w:t>
      </w:r>
      <w:r w:rsidRPr="00C41560">
        <w:rPr>
          <w:rFonts w:ascii="Calibri" w:hAnsi="Calibri" w:cs="Calibri"/>
        </w:rPr>
        <w:t>associated with PSA suppression dynamics across varying landmark lag windows (0, 3, 6, and 12 months). The stability of risk estimates across all lag periods confirms the absence of immediate protopathic bias and rules out reverse causality.</w:t>
      </w:r>
    </w:p>
    <w:p w14:paraId="782661AE" w14:textId="77777777" w:rsidR="000145AF" w:rsidRPr="00C41560" w:rsidRDefault="000145AF" w:rsidP="000145AF">
      <w:pPr>
        <w:rPr>
          <w:rFonts w:ascii="Calibri" w:hAnsi="Calibri" w:cs="Calibri"/>
        </w:rPr>
      </w:pPr>
    </w:p>
    <w:p w14:paraId="737E4D90" w14:textId="77777777" w:rsidR="000145AF" w:rsidRPr="00C41560" w:rsidRDefault="000145AF" w:rsidP="000145AF">
      <w:pPr>
        <w:rPr>
          <w:rFonts w:ascii="Calibri" w:hAnsi="Calibri" w:cs="Calibri"/>
        </w:rPr>
      </w:pPr>
    </w:p>
    <w:p w14:paraId="75A38BE2" w14:textId="77777777" w:rsidR="002D1C8D" w:rsidRPr="007E61A7" w:rsidRDefault="002D1C8D" w:rsidP="000145AF"/>
    <w:sectPr w:rsidR="002D1C8D" w:rsidRPr="007E61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4CD1"/>
    <w:multiLevelType w:val="multilevel"/>
    <w:tmpl w:val="64C2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D5FAD"/>
    <w:multiLevelType w:val="multilevel"/>
    <w:tmpl w:val="6536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70EE1"/>
    <w:multiLevelType w:val="multilevel"/>
    <w:tmpl w:val="1172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225A1"/>
    <w:multiLevelType w:val="multilevel"/>
    <w:tmpl w:val="8B5C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F6D22"/>
    <w:multiLevelType w:val="multilevel"/>
    <w:tmpl w:val="1E6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C5965"/>
    <w:multiLevelType w:val="multilevel"/>
    <w:tmpl w:val="A11A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C3C7D"/>
    <w:multiLevelType w:val="multilevel"/>
    <w:tmpl w:val="800E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22F87"/>
    <w:multiLevelType w:val="multilevel"/>
    <w:tmpl w:val="045C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0513A6"/>
    <w:multiLevelType w:val="multilevel"/>
    <w:tmpl w:val="025E3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9D1239"/>
    <w:multiLevelType w:val="multilevel"/>
    <w:tmpl w:val="A0CC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2F2B84"/>
    <w:multiLevelType w:val="multilevel"/>
    <w:tmpl w:val="480C4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DB2184"/>
    <w:multiLevelType w:val="multilevel"/>
    <w:tmpl w:val="D65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883365">
    <w:abstractNumId w:val="9"/>
  </w:num>
  <w:num w:numId="2" w16cid:durableId="505941403">
    <w:abstractNumId w:val="5"/>
  </w:num>
  <w:num w:numId="3" w16cid:durableId="362245999">
    <w:abstractNumId w:val="0"/>
  </w:num>
  <w:num w:numId="4" w16cid:durableId="386614799">
    <w:abstractNumId w:val="6"/>
  </w:num>
  <w:num w:numId="5" w16cid:durableId="2108117104">
    <w:abstractNumId w:val="10"/>
  </w:num>
  <w:num w:numId="6" w16cid:durableId="857698335">
    <w:abstractNumId w:val="2"/>
  </w:num>
  <w:num w:numId="7" w16cid:durableId="1453741322">
    <w:abstractNumId w:val="3"/>
  </w:num>
  <w:num w:numId="8" w16cid:durableId="1078594143">
    <w:abstractNumId w:val="1"/>
  </w:num>
  <w:num w:numId="9" w16cid:durableId="1411348285">
    <w:abstractNumId w:val="7"/>
  </w:num>
  <w:num w:numId="10" w16cid:durableId="1944066982">
    <w:abstractNumId w:val="4"/>
  </w:num>
  <w:num w:numId="11" w16cid:durableId="1857768391">
    <w:abstractNumId w:val="11"/>
  </w:num>
  <w:num w:numId="12" w16cid:durableId="1143959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26"/>
    <w:rsid w:val="000145AF"/>
    <w:rsid w:val="000C121E"/>
    <w:rsid w:val="00144EDC"/>
    <w:rsid w:val="001B09C2"/>
    <w:rsid w:val="002D1C8D"/>
    <w:rsid w:val="003472EE"/>
    <w:rsid w:val="0038496C"/>
    <w:rsid w:val="00414A5C"/>
    <w:rsid w:val="0045568A"/>
    <w:rsid w:val="00466805"/>
    <w:rsid w:val="004D4BD3"/>
    <w:rsid w:val="00524F26"/>
    <w:rsid w:val="00574DF9"/>
    <w:rsid w:val="005A70A2"/>
    <w:rsid w:val="006A68AA"/>
    <w:rsid w:val="00716BAE"/>
    <w:rsid w:val="00780D33"/>
    <w:rsid w:val="007953F2"/>
    <w:rsid w:val="007E61A7"/>
    <w:rsid w:val="008B21D9"/>
    <w:rsid w:val="00A57C69"/>
    <w:rsid w:val="00B17F90"/>
    <w:rsid w:val="00BD112B"/>
    <w:rsid w:val="00BF2994"/>
    <w:rsid w:val="00D5096D"/>
    <w:rsid w:val="00D531B7"/>
    <w:rsid w:val="00DD23AA"/>
    <w:rsid w:val="00E756C0"/>
    <w:rsid w:val="00E93D32"/>
    <w:rsid w:val="00FB07B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292D"/>
  <w15:chartTrackingRefBased/>
  <w15:docId w15:val="{EFAEA4AB-193C-394C-83BB-57FEB24E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re1">
    <w:name w:val="heading 1"/>
    <w:basedOn w:val="Normal"/>
    <w:next w:val="Normal"/>
    <w:link w:val="Titre1Car"/>
    <w:uiPriority w:val="9"/>
    <w:qFormat/>
    <w:rsid w:val="00524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4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4F2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4F2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4F2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4F2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4F2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4F2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4F2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4F26"/>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524F26"/>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524F26"/>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524F26"/>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524F26"/>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524F26"/>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524F26"/>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524F26"/>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524F26"/>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524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4F26"/>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524F2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4F26"/>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524F26"/>
    <w:pPr>
      <w:spacing w:before="160"/>
      <w:jc w:val="center"/>
    </w:pPr>
    <w:rPr>
      <w:i/>
      <w:iCs/>
      <w:color w:val="404040" w:themeColor="text1" w:themeTint="BF"/>
    </w:rPr>
  </w:style>
  <w:style w:type="character" w:customStyle="1" w:styleId="CitationCar">
    <w:name w:val="Citation Car"/>
    <w:basedOn w:val="Policepardfaut"/>
    <w:link w:val="Citation"/>
    <w:uiPriority w:val="29"/>
    <w:rsid w:val="00524F26"/>
    <w:rPr>
      <w:i/>
      <w:iCs/>
      <w:color w:val="404040" w:themeColor="text1" w:themeTint="BF"/>
      <w:lang w:val="en-US"/>
    </w:rPr>
  </w:style>
  <w:style w:type="paragraph" w:styleId="Paragraphedeliste">
    <w:name w:val="List Paragraph"/>
    <w:basedOn w:val="Normal"/>
    <w:uiPriority w:val="34"/>
    <w:qFormat/>
    <w:rsid w:val="00524F26"/>
    <w:pPr>
      <w:ind w:left="720"/>
      <w:contextualSpacing/>
    </w:pPr>
  </w:style>
  <w:style w:type="character" w:styleId="Accentuationintense">
    <w:name w:val="Intense Emphasis"/>
    <w:basedOn w:val="Policepardfaut"/>
    <w:uiPriority w:val="21"/>
    <w:qFormat/>
    <w:rsid w:val="00524F26"/>
    <w:rPr>
      <w:i/>
      <w:iCs/>
      <w:color w:val="0F4761" w:themeColor="accent1" w:themeShade="BF"/>
    </w:rPr>
  </w:style>
  <w:style w:type="paragraph" w:styleId="Citationintense">
    <w:name w:val="Intense Quote"/>
    <w:basedOn w:val="Normal"/>
    <w:next w:val="Normal"/>
    <w:link w:val="CitationintenseCar"/>
    <w:uiPriority w:val="30"/>
    <w:qFormat/>
    <w:rsid w:val="00524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4F26"/>
    <w:rPr>
      <w:i/>
      <w:iCs/>
      <w:color w:val="0F4761" w:themeColor="accent1" w:themeShade="BF"/>
      <w:lang w:val="en-US"/>
    </w:rPr>
  </w:style>
  <w:style w:type="character" w:styleId="Rfrenceintense">
    <w:name w:val="Intense Reference"/>
    <w:basedOn w:val="Policepardfaut"/>
    <w:uiPriority w:val="32"/>
    <w:qFormat/>
    <w:rsid w:val="00524F26"/>
    <w:rPr>
      <w:b/>
      <w:bCs/>
      <w:smallCaps/>
      <w:color w:val="0F4761" w:themeColor="accent1" w:themeShade="BF"/>
      <w:spacing w:val="5"/>
    </w:rPr>
  </w:style>
  <w:style w:type="table" w:customStyle="1" w:styleId="GridTable4-Accent1">
    <w:name w:val="Grid Table 4 - Accent 1"/>
    <w:basedOn w:val="TableauNormal"/>
    <w:uiPriority w:val="49"/>
    <w:rsid w:val="00BF2994"/>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NormalWeb">
    <w:name w:val="Normal (Web)"/>
    <w:basedOn w:val="Normal"/>
    <w:uiPriority w:val="99"/>
    <w:unhideWhenUsed/>
    <w:rsid w:val="000145AF"/>
    <w:pPr>
      <w:spacing w:before="100" w:beforeAutospacing="1" w:after="100" w:afterAutospacing="1" w:line="240" w:lineRule="auto"/>
    </w:pPr>
    <w:rPr>
      <w:rFonts w:ascii="Times New Roman" w:eastAsia="Times New Roman" w:hAnsi="Times New Roman" w:cs="Times New Roman"/>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13</Pages>
  <Words>2014</Words>
  <Characters>12734</Characters>
  <Application>Microsoft Office Word</Application>
  <DocSecurity>0</DocSecurity>
  <Lines>424</Lines>
  <Paragraphs>254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Pinton</dc:creator>
  <cp:keywords/>
  <dc:description/>
  <cp:lastModifiedBy>Philippe Pinton</cp:lastModifiedBy>
  <cp:revision>15</cp:revision>
  <dcterms:created xsi:type="dcterms:W3CDTF">2026-06-15T09:27:00Z</dcterms:created>
  <dcterms:modified xsi:type="dcterms:W3CDTF">2026-06-15T13:47:00Z</dcterms:modified>
</cp:coreProperties>
</file>