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imes New Roman Bold" w:hAnsi="Times New Roman Bold" w:cs="Times New Roman Bold"/>
          <w:b/>
          <w:bCs/>
        </w:rPr>
      </w:pPr>
      <w:bookmarkStart w:id="0" w:name="_GoBack"/>
      <w:bookmarkEnd w:id="0"/>
      <w:r>
        <w:rPr>
          <w:rFonts w:ascii="Times New Roman Bold" w:hAnsi="Times New Roman Bold" w:cs="Times New Roman Bold"/>
          <w:b/>
          <w:bCs/>
        </w:rPr>
        <w:t>Data S1. Supplemental Methods</w:t>
      </w:r>
    </w:p>
    <w:p>
      <w:pPr>
        <w:jc w:val="both"/>
        <w:rPr>
          <w:rFonts w:ascii="Times New Roman Bold" w:hAnsi="Times New Roman Bold" w:cs="Times New Roman Bold"/>
          <w:b/>
          <w:bCs/>
        </w:rPr>
      </w:pPr>
    </w:p>
    <w:p>
      <w:pPr>
        <w:pStyle w:val="8"/>
        <w:spacing w:before="0" w:beforeAutospacing="0" w:after="0" w:afterAutospacing="0"/>
        <w:rPr>
          <w:rFonts w:ascii="Times New Roman" w:hAnsi="Times New Roman" w:cs="Times New Roman"/>
          <w:b/>
          <w:color w:val="000000"/>
          <w:lang w:bidi="ar"/>
        </w:rPr>
      </w:pPr>
      <w:r>
        <w:rPr>
          <w:rFonts w:ascii="Times New Roman" w:hAnsi="Times New Roman" w:cs="Times New Roman"/>
          <w:b/>
          <w:color w:val="000000"/>
          <w:lang w:bidi="ar"/>
        </w:rPr>
        <w:t>Variables’ definition in this cohort</w:t>
      </w:r>
    </w:p>
    <w:p>
      <w:pPr>
        <w:pStyle w:val="8"/>
        <w:spacing w:before="0" w:beforeAutospacing="0" w:after="0" w:afterAutospacing="0"/>
        <w:jc w:val="both"/>
        <w:rPr>
          <w:rFonts w:ascii="Times New Roman Regular" w:hAnsi="Times New Roman Regular" w:cs="Times New Roman Regular"/>
          <w:bCs/>
          <w:color w:val="000000"/>
          <w:lang w:bidi="ar"/>
        </w:rPr>
      </w:pPr>
      <w:r>
        <w:rPr>
          <w:rFonts w:ascii="Times New Roman Regular" w:hAnsi="Times New Roman Regular" w:cs="Times New Roman Regular"/>
          <w:bCs/>
          <w:color w:val="000000"/>
          <w:lang w:bidi="ar"/>
        </w:rPr>
        <w:t xml:space="preserve">The diagnostic criteria for </w:t>
      </w:r>
      <w:r>
        <w:rPr>
          <w:rFonts w:hint="eastAsia" w:ascii="Times New Roman Regular" w:hAnsi="Times New Roman Regular" w:cs="Times New Roman Regular"/>
          <w:bCs/>
          <w:color w:val="000000"/>
          <w:lang w:eastAsia="zh-Hans" w:bidi="ar"/>
        </w:rPr>
        <w:t>d</w:t>
      </w:r>
      <w:r>
        <w:rPr>
          <w:rFonts w:ascii="Times New Roman" w:hAnsi="Times New Roman"/>
        </w:rPr>
        <w:t>iabetes mellitus</w:t>
      </w:r>
      <w:r>
        <w:rPr>
          <w:rFonts w:ascii="Times New Roman Regular" w:hAnsi="Times New Roman Regular" w:cs="Times New Roman Regular"/>
          <w:bCs/>
          <w:color w:val="000000"/>
          <w:lang w:bidi="ar"/>
        </w:rPr>
        <w:t xml:space="preserve"> were fasting blood glucose ≥7.0 mmol/L, blood glucose ≥11.1 mmol/L in the 2-hour oral glucose tolerance test, hemoglobin A1c (HbA1c) ≥6.5% at baseline, or the current use of hypoglycemic drugs or insulin. Hypertension </w:t>
      </w:r>
      <w:r>
        <w:rPr>
          <w:rFonts w:hint="eastAsia" w:ascii="Times New Roman Regular" w:hAnsi="Times New Roman Regular" w:cs="Times New Roman Regular"/>
          <w:bCs/>
          <w:color w:val="000000"/>
          <w:lang w:eastAsia="zh-Hans" w:bidi="ar"/>
        </w:rPr>
        <w:t>was</w:t>
      </w:r>
      <w:r>
        <w:rPr>
          <w:rFonts w:ascii="Times New Roman Regular" w:hAnsi="Times New Roman Regular" w:cs="Times New Roman Regular"/>
          <w:bCs/>
          <w:color w:val="000000"/>
          <w:lang w:eastAsia="zh-Hans" w:bidi="ar"/>
        </w:rPr>
        <w:t xml:space="preserve"> </w:t>
      </w:r>
      <w:r>
        <w:rPr>
          <w:rFonts w:hint="eastAsia" w:ascii="Times New Roman Regular" w:hAnsi="Times New Roman Regular" w:cs="Times New Roman Regular"/>
          <w:bCs/>
          <w:color w:val="000000"/>
          <w:lang w:eastAsia="zh-Hans" w:bidi="ar"/>
        </w:rPr>
        <w:t>defined</w:t>
      </w:r>
      <w:r>
        <w:rPr>
          <w:rFonts w:ascii="Times New Roman Regular" w:hAnsi="Times New Roman Regular" w:cs="Times New Roman Regular"/>
          <w:bCs/>
          <w:color w:val="000000"/>
          <w:lang w:eastAsia="zh-Hans" w:bidi="ar"/>
        </w:rPr>
        <w:t xml:space="preserve"> </w:t>
      </w:r>
      <w:r>
        <w:rPr>
          <w:rFonts w:hint="eastAsia" w:ascii="Times New Roman Regular" w:hAnsi="Times New Roman Regular" w:cs="Times New Roman Regular"/>
          <w:bCs/>
          <w:color w:val="000000"/>
          <w:lang w:eastAsia="zh-Hans" w:bidi="ar"/>
        </w:rPr>
        <w:t>as</w:t>
      </w:r>
      <w:r>
        <w:rPr>
          <w:rFonts w:ascii="Times New Roman Regular" w:hAnsi="Times New Roman Regular" w:cs="Times New Roman Regular"/>
          <w:bCs/>
          <w:color w:val="000000"/>
          <w:lang w:eastAsia="zh-Hans" w:bidi="ar"/>
        </w:rPr>
        <w:t xml:space="preserve"> </w:t>
      </w:r>
      <w:r>
        <w:rPr>
          <w:rFonts w:ascii="Times New Roman Regular" w:hAnsi="Times New Roman Regular" w:cs="Times New Roman Regular"/>
          <w:bCs/>
          <w:color w:val="000000"/>
          <w:lang w:bidi="ar"/>
        </w:rPr>
        <w:t xml:space="preserve">recorded systolic blood pressure ≥ 140 mmHg or diastolic blood pressure ≥ 90 mmHg </w:t>
      </w:r>
      <w:r>
        <w:rPr>
          <w:rFonts w:hint="eastAsia" w:ascii="Times New Roman Regular" w:hAnsi="Times New Roman Regular" w:cs="Times New Roman Regular"/>
          <w:bCs/>
          <w:color w:val="000000"/>
          <w:lang w:eastAsia="zh-Hans" w:bidi="ar"/>
        </w:rPr>
        <w:t>by</w:t>
      </w:r>
      <w:r>
        <w:rPr>
          <w:rFonts w:ascii="Times New Roman Regular" w:hAnsi="Times New Roman Regular" w:cs="Times New Roman Regular"/>
          <w:bCs/>
          <w:color w:val="000000"/>
          <w:lang w:eastAsia="zh-Hans" w:bidi="ar"/>
        </w:rPr>
        <w:t xml:space="preserve"> </w:t>
      </w:r>
      <w:r>
        <w:rPr>
          <w:rFonts w:hint="eastAsia" w:ascii="Times New Roman Regular" w:hAnsi="Times New Roman Regular" w:cs="Times New Roman Regular"/>
          <w:bCs/>
          <w:color w:val="000000"/>
          <w:lang w:eastAsia="zh-Hans" w:bidi="ar"/>
        </w:rPr>
        <w:t>t</w:t>
      </w:r>
      <w:r>
        <w:rPr>
          <w:rFonts w:ascii="Times New Roman Regular" w:hAnsi="Times New Roman Regular" w:cs="Times New Roman Regular"/>
          <w:bCs/>
          <w:color w:val="000000"/>
          <w:lang w:bidi="ar"/>
        </w:rPr>
        <w:t xml:space="preserve">hree or more consecutive </w:t>
      </w:r>
      <w:r>
        <w:rPr>
          <w:rFonts w:hint="eastAsia" w:ascii="Times New Roman Regular" w:hAnsi="Times New Roman Regular" w:cs="Times New Roman Regular"/>
          <w:bCs/>
          <w:color w:val="000000"/>
          <w:lang w:eastAsia="zh-Hans" w:bidi="ar"/>
        </w:rPr>
        <w:t>times</w:t>
      </w:r>
      <w:r>
        <w:rPr>
          <w:rFonts w:ascii="Times New Roman Regular" w:hAnsi="Times New Roman Regular" w:cs="Times New Roman Regular"/>
          <w:bCs/>
          <w:color w:val="000000"/>
          <w:lang w:eastAsia="zh-Hans" w:bidi="ar"/>
        </w:rPr>
        <w:t xml:space="preserve"> </w:t>
      </w:r>
      <w:r>
        <w:rPr>
          <w:rFonts w:hint="eastAsia" w:ascii="Times New Roman Regular" w:hAnsi="Times New Roman Regular" w:cs="Times New Roman Regular"/>
          <w:bCs/>
          <w:color w:val="000000"/>
          <w:lang w:eastAsia="zh-Hans" w:bidi="ar"/>
        </w:rPr>
        <w:t>or</w:t>
      </w:r>
      <w:r>
        <w:rPr>
          <w:rFonts w:ascii="Times New Roman Regular" w:hAnsi="Times New Roman Regular" w:cs="Times New Roman Regular"/>
          <w:bCs/>
          <w:color w:val="000000"/>
          <w:lang w:eastAsia="zh-Hans" w:bidi="ar"/>
        </w:rPr>
        <w:t xml:space="preserve"> </w:t>
      </w:r>
      <w:r>
        <w:rPr>
          <w:rFonts w:ascii="Times New Roman Regular" w:hAnsi="Times New Roman Regular" w:cs="Times New Roman Regular"/>
          <w:bCs/>
          <w:color w:val="000000"/>
          <w:lang w:bidi="ar"/>
        </w:rPr>
        <w:t xml:space="preserve">current use of antihypertensive drugs. </w:t>
      </w:r>
      <w:r>
        <w:rPr>
          <w:rFonts w:hint="eastAsia" w:ascii="Times New Roman" w:hAnsi="Times New Roman"/>
        </w:rPr>
        <w:t>H</w:t>
      </w:r>
      <w:r>
        <w:rPr>
          <w:rFonts w:ascii="Times New Roman" w:hAnsi="Times New Roman"/>
        </w:rPr>
        <w:t xml:space="preserve">yperlipidemia </w:t>
      </w:r>
      <w:r>
        <w:rPr>
          <w:rFonts w:hint="eastAsia" w:ascii="Times New Roman" w:hAnsi="Times New Roman"/>
          <w:lang w:eastAsia="zh-Hans"/>
        </w:rPr>
        <w:t>was</w:t>
      </w:r>
      <w:r>
        <w:rPr>
          <w:rFonts w:ascii="Times New Roman" w:hAnsi="Times New Roman"/>
          <w:lang w:eastAsia="zh-Hans"/>
        </w:rPr>
        <w:t xml:space="preserve"> </w:t>
      </w:r>
      <w:r>
        <w:rPr>
          <w:rFonts w:hint="eastAsia" w:ascii="Times New Roman" w:hAnsi="Times New Roman"/>
          <w:lang w:eastAsia="zh-Hans"/>
        </w:rPr>
        <w:t>defined</w:t>
      </w:r>
      <w:r>
        <w:rPr>
          <w:rFonts w:ascii="Times New Roman" w:hAnsi="Times New Roman"/>
          <w:lang w:eastAsia="zh-Hans"/>
        </w:rPr>
        <w:t xml:space="preserve"> </w:t>
      </w:r>
      <w:r>
        <w:rPr>
          <w:rFonts w:hint="eastAsia" w:ascii="Times New Roman" w:hAnsi="Times New Roman"/>
          <w:lang w:eastAsia="zh-Hans"/>
        </w:rPr>
        <w:t>was</w:t>
      </w:r>
      <w:r>
        <w:rPr>
          <w:rFonts w:ascii="Times New Roman" w:hAnsi="Times New Roman"/>
          <w:lang w:eastAsia="zh-Hans"/>
        </w:rPr>
        <w:t xml:space="preserve"> </w:t>
      </w:r>
      <w:r>
        <w:rPr>
          <w:rFonts w:hint="eastAsia" w:ascii="Times New Roman" w:hAnsi="Times New Roman"/>
          <w:lang w:eastAsia="zh-Hans"/>
        </w:rPr>
        <w:t>a</w:t>
      </w:r>
      <w:r>
        <w:rPr>
          <w:rFonts w:ascii="Times New Roman" w:hAnsi="Times New Roman"/>
          <w:lang w:eastAsia="zh-Hans"/>
        </w:rPr>
        <w:t xml:space="preserve"> </w:t>
      </w:r>
      <w:r>
        <w:rPr>
          <w:rFonts w:hint="eastAsia" w:ascii="Times New Roman" w:hAnsi="Times New Roman"/>
          <w:lang w:eastAsia="zh-Hans"/>
        </w:rPr>
        <w:t>history</w:t>
      </w:r>
      <w:r>
        <w:rPr>
          <w:rFonts w:ascii="Times New Roman" w:hAnsi="Times New Roman"/>
          <w:lang w:eastAsia="zh-Hans"/>
        </w:rPr>
        <w:t xml:space="preserve"> </w:t>
      </w:r>
      <w:r>
        <w:rPr>
          <w:rFonts w:hint="eastAsia" w:ascii="Times New Roman" w:hAnsi="Times New Roman"/>
          <w:lang w:eastAsia="zh-Hans"/>
        </w:rPr>
        <w:t>of</w:t>
      </w:r>
      <w:r>
        <w:rPr>
          <w:rFonts w:ascii="Times New Roman" w:hAnsi="Times New Roman"/>
          <w:lang w:eastAsia="zh-Hans"/>
        </w:rPr>
        <w:t xml:space="preserve"> </w:t>
      </w:r>
      <w:r>
        <w:rPr>
          <w:rFonts w:hint="eastAsia" w:ascii="Times New Roman" w:hAnsi="Times New Roman"/>
          <w:lang w:eastAsia="zh-Hans"/>
        </w:rPr>
        <w:t>hyperlipidemia</w:t>
      </w:r>
      <w:r>
        <w:rPr>
          <w:rFonts w:ascii="Times New Roman" w:hAnsi="Times New Roman"/>
          <w:lang w:eastAsia="zh-Hans"/>
        </w:rPr>
        <w:t xml:space="preserve"> </w:t>
      </w:r>
      <w:r>
        <w:rPr>
          <w:rFonts w:hint="eastAsia" w:ascii="Times New Roman" w:hAnsi="Times New Roman"/>
          <w:lang w:eastAsia="zh-Hans"/>
        </w:rPr>
        <w:t>diagnosed</w:t>
      </w:r>
      <w:r>
        <w:rPr>
          <w:rFonts w:ascii="Times New Roman" w:hAnsi="Times New Roman"/>
          <w:lang w:eastAsia="zh-Hans"/>
        </w:rPr>
        <w:t xml:space="preserve"> </w:t>
      </w:r>
      <w:r>
        <w:rPr>
          <w:rFonts w:hint="eastAsia" w:ascii="Times New Roman" w:hAnsi="Times New Roman"/>
          <w:lang w:eastAsia="zh-Hans"/>
        </w:rPr>
        <w:t>or</w:t>
      </w:r>
      <w:r>
        <w:rPr>
          <w:rFonts w:ascii="Times New Roman" w:hAnsi="Times New Roman"/>
          <w:lang w:eastAsia="zh-Hans"/>
        </w:rPr>
        <w:t xml:space="preserve"> </w:t>
      </w:r>
      <w:r>
        <w:rPr>
          <w:rFonts w:hint="eastAsia" w:ascii="Times New Roman" w:hAnsi="Times New Roman"/>
          <w:lang w:eastAsia="zh-Hans"/>
        </w:rPr>
        <w:t>treated</w:t>
      </w:r>
      <w:r>
        <w:rPr>
          <w:rFonts w:ascii="Times New Roman" w:hAnsi="Times New Roman"/>
          <w:lang w:eastAsia="zh-Hans"/>
        </w:rPr>
        <w:t xml:space="preserve"> </w:t>
      </w:r>
      <w:r>
        <w:rPr>
          <w:rFonts w:hint="eastAsia" w:ascii="Times New Roman" w:hAnsi="Times New Roman"/>
          <w:lang w:eastAsia="zh-Hans"/>
        </w:rPr>
        <w:t>by</w:t>
      </w:r>
      <w:r>
        <w:rPr>
          <w:rFonts w:ascii="Times New Roman" w:hAnsi="Times New Roman"/>
          <w:lang w:eastAsia="zh-Hans"/>
        </w:rPr>
        <w:t xml:space="preserve"> </w:t>
      </w:r>
      <w:r>
        <w:rPr>
          <w:rFonts w:hint="eastAsia" w:ascii="Times New Roman" w:hAnsi="Times New Roman"/>
          <w:lang w:eastAsia="zh-Hans"/>
        </w:rPr>
        <w:t>a</w:t>
      </w:r>
      <w:r>
        <w:rPr>
          <w:rFonts w:ascii="Times New Roman" w:hAnsi="Times New Roman"/>
          <w:lang w:eastAsia="zh-Hans"/>
        </w:rPr>
        <w:t xml:space="preserve"> </w:t>
      </w:r>
      <w:r>
        <w:rPr>
          <w:rFonts w:hint="eastAsia" w:ascii="Times New Roman" w:hAnsi="Times New Roman"/>
          <w:lang w:eastAsia="zh-Hans"/>
        </w:rPr>
        <w:t>physician</w:t>
      </w:r>
      <w:r>
        <w:rPr>
          <w:rFonts w:ascii="Times New Roman" w:hAnsi="Times New Roman"/>
          <w:lang w:eastAsia="zh-Hans"/>
        </w:rPr>
        <w:t xml:space="preserve"> </w:t>
      </w:r>
      <w:r>
        <w:rPr>
          <w:rFonts w:hint="eastAsia" w:ascii="Times New Roman" w:hAnsi="Times New Roman"/>
          <w:lang w:eastAsia="zh-Hans"/>
        </w:rPr>
        <w:t>or</w:t>
      </w:r>
      <w:r>
        <w:rPr>
          <w:rFonts w:ascii="Times New Roman" w:hAnsi="Times New Roman"/>
          <w:lang w:eastAsia="zh-Hans"/>
        </w:rPr>
        <w:t xml:space="preserve"> </w:t>
      </w:r>
      <w:r>
        <w:rPr>
          <w:rFonts w:hint="eastAsia" w:ascii="Times New Roman" w:hAnsi="Times New Roman"/>
          <w:lang w:eastAsia="zh-Hans"/>
        </w:rPr>
        <w:t>being</w:t>
      </w:r>
      <w:r>
        <w:rPr>
          <w:rFonts w:ascii="Times New Roman" w:hAnsi="Times New Roman"/>
          <w:lang w:eastAsia="zh-Hans"/>
        </w:rPr>
        <w:t xml:space="preserve"> </w:t>
      </w:r>
      <w:r>
        <w:rPr>
          <w:rFonts w:hint="eastAsia" w:ascii="Times New Roman" w:hAnsi="Times New Roman"/>
          <w:lang w:eastAsia="zh-Hans"/>
        </w:rPr>
        <w:t>in</w:t>
      </w:r>
      <w:r>
        <w:rPr>
          <w:rFonts w:ascii="Times New Roman" w:hAnsi="Times New Roman"/>
          <w:lang w:eastAsia="zh-Hans"/>
        </w:rPr>
        <w:t xml:space="preserve"> </w:t>
      </w:r>
      <w:r>
        <w:rPr>
          <w:rFonts w:hint="eastAsia" w:ascii="Times New Roman" w:hAnsi="Times New Roman"/>
          <w:lang w:eastAsia="zh-Hans"/>
        </w:rPr>
        <w:t>treatment</w:t>
      </w:r>
      <w:r>
        <w:rPr>
          <w:rFonts w:ascii="Times New Roman" w:hAnsi="Times New Roman"/>
          <w:lang w:eastAsia="zh-Hans"/>
        </w:rPr>
        <w:t xml:space="preserve"> </w:t>
      </w:r>
      <w:r>
        <w:rPr>
          <w:rFonts w:hint="eastAsia" w:ascii="Times New Roman" w:hAnsi="Times New Roman"/>
          <w:lang w:eastAsia="zh-Hans"/>
        </w:rPr>
        <w:t>with</w:t>
      </w:r>
      <w:r>
        <w:rPr>
          <w:rFonts w:ascii="Times New Roman" w:hAnsi="Times New Roman"/>
          <w:lang w:eastAsia="zh-Hans"/>
        </w:rPr>
        <w:t xml:space="preserve"> </w:t>
      </w:r>
      <w:r>
        <w:rPr>
          <w:rFonts w:hint="eastAsia" w:ascii="Times New Roman" w:hAnsi="Times New Roman"/>
          <w:lang w:eastAsia="zh-Hans"/>
        </w:rPr>
        <w:t>antihyperlipidemic</w:t>
      </w:r>
      <w:r>
        <w:rPr>
          <w:rFonts w:ascii="Times New Roman" w:hAnsi="Times New Roman"/>
          <w:lang w:eastAsia="zh-Hans"/>
        </w:rPr>
        <w:t xml:space="preserve"> </w:t>
      </w:r>
      <w:r>
        <w:rPr>
          <w:rFonts w:hint="eastAsia" w:ascii="Times New Roman" w:hAnsi="Times New Roman"/>
          <w:lang w:eastAsia="zh-Hans"/>
        </w:rPr>
        <w:t>drugs</w:t>
      </w:r>
      <w:r>
        <w:rPr>
          <w:rFonts w:ascii="Times New Roman" w:hAnsi="Times New Roman"/>
          <w:lang w:eastAsia="zh-Hans"/>
        </w:rPr>
        <w:t xml:space="preserve">. </w:t>
      </w:r>
      <w:r>
        <w:rPr>
          <w:rFonts w:ascii="Times New Roman Regular" w:hAnsi="Times New Roman Regular" w:cs="Times New Roman Regular"/>
          <w:bCs/>
          <w:color w:val="000000"/>
          <w:lang w:bidi="ar"/>
        </w:rPr>
        <w:t xml:space="preserve">Peripheral arterial disease </w:t>
      </w:r>
      <w:r>
        <w:rPr>
          <w:rFonts w:hint="eastAsia" w:ascii="Times New Roman Regular" w:hAnsi="Times New Roman Regular" w:cs="Times New Roman Regular"/>
          <w:bCs/>
          <w:color w:val="000000"/>
          <w:lang w:eastAsia="zh-Hans" w:bidi="ar"/>
        </w:rPr>
        <w:t>wa</w:t>
      </w:r>
      <w:r>
        <w:rPr>
          <w:rFonts w:ascii="Times New Roman Regular" w:hAnsi="Times New Roman Regular" w:cs="Times New Roman Regular"/>
          <w:bCs/>
          <w:color w:val="000000"/>
          <w:lang w:bidi="ar"/>
        </w:rPr>
        <w:t xml:space="preserve">s defined as a history of surgery or percutaneous peripheral arterial revascularization, or stenosis &gt;50% in the peripheral arterial region (extracranial carotid artery or lower limbs) on Doppler ultrasound imaging. The estimated glomerular filtration rate (eGFR) was calculated based on the Modification of Diet in Renal Disease study formula. Smoking history </w:t>
      </w:r>
      <w:r>
        <w:rPr>
          <w:rFonts w:hint="eastAsia" w:ascii="Times New Roman Regular" w:hAnsi="Times New Roman Regular" w:cs="Times New Roman Regular"/>
          <w:bCs/>
          <w:color w:val="000000"/>
          <w:lang w:eastAsia="zh-Hans" w:bidi="ar"/>
        </w:rPr>
        <w:t>was</w:t>
      </w:r>
      <w:r>
        <w:rPr>
          <w:rFonts w:ascii="Times New Roman Regular" w:hAnsi="Times New Roman Regular" w:cs="Times New Roman Regular"/>
          <w:bCs/>
          <w:color w:val="000000"/>
          <w:lang w:eastAsia="zh-Hans" w:bidi="ar"/>
        </w:rPr>
        <w:t xml:space="preserve"> </w:t>
      </w:r>
      <w:r>
        <w:rPr>
          <w:rFonts w:ascii="Times New Roman Regular" w:hAnsi="Times New Roman Regular" w:cs="Times New Roman Regular"/>
          <w:bCs/>
          <w:color w:val="000000"/>
          <w:lang w:bidi="ar"/>
        </w:rPr>
        <w:t>defined as the research subject smoking at least one cigarette per day or at least seven cigarettes per week in the past six months. Family history of CAD was defined as history of myocardial infarction of a first-degree relative below the age of 65 years for female and 55 years for male.</w:t>
      </w:r>
    </w:p>
    <w:p>
      <w:pPr>
        <w:pStyle w:val="8"/>
        <w:spacing w:before="0" w:beforeAutospacing="0" w:after="0" w:afterAutospacing="0"/>
        <w:jc w:val="both"/>
        <w:rPr>
          <w:rFonts w:ascii="Times New Roman Regular" w:hAnsi="Times New Roman Regular" w:cs="Times New Roman Regular"/>
          <w:bCs/>
          <w:color w:val="000000"/>
          <w:lang w:bidi="ar"/>
        </w:rPr>
        <w:sectPr>
          <w:pgSz w:w="11906" w:h="16838"/>
          <w:pgMar w:top="1440" w:right="1800" w:bottom="1440" w:left="1800" w:header="851" w:footer="992" w:gutter="0"/>
          <w:lnNumType w:countBy="1" w:restart="continuous"/>
          <w:cols w:space="425" w:num="1"/>
          <w:docGrid w:type="lines" w:linePitch="326" w:charSpace="0"/>
        </w:sectPr>
      </w:pPr>
    </w:p>
    <w:p>
      <w:pPr>
        <w:jc w:val="both"/>
        <w:rPr>
          <w:rFonts w:ascii="Times New Roman" w:hAnsi="Times New Roman"/>
        </w:rPr>
      </w:pPr>
      <w:r>
        <w:rPr>
          <w:rFonts w:ascii="Times New Roman Bold" w:hAnsi="Times New Roman Bold" w:cs="Times New Roman Bold"/>
          <w:b/>
          <w:bCs/>
        </w:rPr>
        <w:t xml:space="preserve">Table S1. Net benefit of using the GRACE score and CT-GRACE model compared to alternative strategies for identifying 3-year mortality or MI conditional on different risk thresholds in the development set. </w:t>
      </w:r>
    </w:p>
    <w:tbl>
      <w:tblPr>
        <w:tblStyle w:val="15"/>
        <w:tblW w:w="8102" w:type="dxa"/>
        <w:tblInd w:w="0" w:type="dxa"/>
        <w:tblLayout w:type="autofit"/>
        <w:tblCellMar>
          <w:top w:w="15" w:type="dxa"/>
          <w:left w:w="15" w:type="dxa"/>
          <w:bottom w:w="15" w:type="dxa"/>
          <w:right w:w="15" w:type="dxa"/>
        </w:tblCellMar>
      </w:tblPr>
      <w:tblGrid>
        <w:gridCol w:w="1190"/>
        <w:gridCol w:w="1785"/>
        <w:gridCol w:w="1691"/>
        <w:gridCol w:w="1678"/>
        <w:gridCol w:w="1758"/>
      </w:tblGrid>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Risk threshold (%)</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Net benefit of treat none (%)</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Net benefit of treat all (%)</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Net benefit of CT-GRACE model (%)</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Net benefit of GRACE (%)</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0.901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0.907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0.902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0.824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0.803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0.698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0.798</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0.714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0.593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0.743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0.624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0.485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0.677</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0.555</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0.376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0.64</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0.476</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0.264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0.584</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0.437</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0.337</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0.033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0.321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-0.086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0.468</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0.294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-0.208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0.464</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0.262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-0.333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0.466</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0.241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-0.461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0.436</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0.213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-0.592</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0.423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0.232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-0.725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0.415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0.224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-0.862</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0.402</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0.168</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-1.003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0.397</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0.154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-1.146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0.388</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0.127</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-1.294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0.354</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0.125</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-1.444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0.352</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0.099</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-1.599</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0.346</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0.077</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-1.758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0.34</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0.095</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-1.921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0.313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0.084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-2.088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0.309</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0.093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-2.259</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0.317</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0.091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-2.435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0.29</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0.106</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-2.616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0.285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0.103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0.28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-2.802</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0.265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0.086</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0.29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-2.994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0.258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0.085</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-3.19</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0.242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0.086</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-3.393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0.223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0.075</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-3.601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0.203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0.06</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-3.816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0.194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0.025</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-4.037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0.198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-4.265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0.197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0.179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-4.743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0.193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-4.993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0.182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0.39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-5.251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0.163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-5.519</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0.173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0.41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-5.795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0.175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-0.006</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0.42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-6.08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0.157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-0.008</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0.43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-6.376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0.44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-6.683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0.192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0.45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0.185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0.46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-7.329</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0.191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0.005</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-7.671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0.173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-8.026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0.157</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0.49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-8.394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0.153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-8.778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0.173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-9.177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0.145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0.011</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0.52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-9.593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0.129</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0.53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-10.03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0.153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-0.003</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0.54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-10.48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0.137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-0.004</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0.55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-10.95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0.134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-0.018</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0.56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-11.44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0.107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-0.019</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0.57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-11.96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0.58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-12.5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0.117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0.59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-13.07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0.102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-13.67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0.086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-14.29</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0.071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-14.95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0.031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-15.65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0.027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-16.38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0.033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0.012</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-17.16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0.053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-17.98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0.038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-18.85</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0.036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-19.78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0.69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-20.76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0.059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-21.82</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0.058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-22.94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0.044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-24.14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-25.44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0.028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-26.83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0.027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-28.33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0.025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-29.96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0.023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-31.73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-33.67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0.79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-35.78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-38.11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-40.68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-43.54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-46.74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-50.33</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0.062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-54.41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0.049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-59.06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0.049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-64.44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0.049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0.88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-70.7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0.049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0.89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-78.11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0.049</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-87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0.037</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0.91</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-97.86</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0.025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0.92</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-111.4</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0.012</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0.93</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-128.9</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0.012</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0.94</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-152.2</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0.95</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-184.8</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0.96</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-233.7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0.97</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-315.1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0.98</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-478.1</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90"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0.99</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-967</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sz w:val="18"/>
                <w:szCs w:val="18"/>
              </w:rPr>
            </w:pPr>
            <w:r>
              <w:rPr>
                <w:rFonts w:ascii="Times New Roman Regular" w:hAnsi="Times New Roman Regular" w:eastAsia="Times New Roman Regular" w:cs="Times New Roman Regular"/>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bl>
    <w:p>
      <w:pPr>
        <w:pStyle w:val="35"/>
        <w:ind w:firstLine="0" w:firstLineChars="0"/>
        <w:jc w:val="both"/>
        <w:rPr>
          <w:rFonts w:ascii="Times New Roman" w:hAnsi="Times New Roman"/>
        </w:rPr>
      </w:pPr>
      <w:r>
        <w:rPr>
          <w:rFonts w:ascii="Times New Roman" w:hAnsi="Times New Roman"/>
        </w:rPr>
        <w:t>MI, myocardial infarction; GRACE, Global Registry of Acute Coronary Events; CT-GRACE model, integrating significant computed tomography findings with GRACE 2.0 score.</w:t>
      </w:r>
    </w:p>
    <w:p>
      <w:pPr>
        <w:pStyle w:val="35"/>
        <w:ind w:firstLine="0" w:firstLineChars="0"/>
        <w:jc w:val="both"/>
        <w:rPr>
          <w:rFonts w:ascii="Times New Roman" w:hAnsi="Times New Roman"/>
        </w:rPr>
      </w:pPr>
    </w:p>
    <w:p>
      <w:pPr>
        <w:jc w:val="both"/>
        <w:rPr>
          <w:rFonts w:ascii="Times New Roman" w:hAnsi="Times New Roman"/>
        </w:rPr>
      </w:pPr>
      <w:r>
        <w:rPr>
          <w:rFonts w:ascii="Times New Roman Bold" w:hAnsi="Times New Roman Bold" w:cs="Times New Roman Bold"/>
          <w:b/>
          <w:bCs/>
        </w:rPr>
        <w:t>Table S2. Net benefit of using the GRACE score and CT-GRACE model compared to alternative strategies for identifying 3-year mortality or MI conditional on different risk thresholds in the validation set.</w:t>
      </w:r>
    </w:p>
    <w:tbl>
      <w:tblPr>
        <w:tblStyle w:val="15"/>
        <w:tblW w:w="8101" w:type="dxa"/>
        <w:tblInd w:w="0" w:type="dxa"/>
        <w:tblLayout w:type="autofit"/>
        <w:tblCellMar>
          <w:top w:w="15" w:type="dxa"/>
          <w:left w:w="15" w:type="dxa"/>
          <w:bottom w:w="15" w:type="dxa"/>
          <w:right w:w="15" w:type="dxa"/>
        </w:tblCellMar>
      </w:tblPr>
      <w:tblGrid>
        <w:gridCol w:w="1189"/>
        <w:gridCol w:w="1785"/>
        <w:gridCol w:w="1691"/>
        <w:gridCol w:w="1678"/>
        <w:gridCol w:w="1758"/>
      </w:tblGrid>
      <w:tr>
        <w:trPr>
          <w:trHeight w:val="195" w:hRule="atLeast"/>
        </w:trPr>
        <w:tc>
          <w:tcPr>
            <w:tcW w:w="1189"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Risk threshold (%)</w:t>
            </w:r>
          </w:p>
        </w:tc>
        <w:tc>
          <w:tcPr>
            <w:tcW w:w="1785"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Net benefit of treat none (%)</w:t>
            </w:r>
          </w:p>
        </w:tc>
        <w:tc>
          <w:tcPr>
            <w:tcW w:w="1691"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Net benefit of treat all (%)</w:t>
            </w:r>
          </w:p>
        </w:tc>
        <w:tc>
          <w:tcPr>
            <w:tcW w:w="1678" w:type="dxa"/>
            <w:shd w:val="clear" w:color="auto" w:fill="auto"/>
            <w:vAlign w:val="bottom"/>
          </w:tcPr>
          <w:p>
            <w:pPr>
              <w:jc w:val="center"/>
              <w:textAlignment w:val="bottom"/>
              <w:rPr>
                <w:rFonts w:ascii="Times New Roman Regular" w:hAnsi="Times New Roman Regular" w:eastAsia="Times New Roman Regular" w:cs="Times New Roman Regular"/>
                <w:color w:val="000000"/>
                <w:sz w:val="18"/>
                <w:szCs w:val="18"/>
              </w:rPr>
            </w:pPr>
            <w:r>
              <w:rPr>
                <w:rFonts w:ascii="Times New Roman Regular" w:hAnsi="Times New Roman Regular" w:eastAsia="Times New Roman Regular" w:cs="Times New Roman Regular"/>
                <w:color w:val="000000"/>
                <w:sz w:val="18"/>
                <w:szCs w:val="18"/>
                <w:lang w:bidi="ar"/>
              </w:rPr>
              <w:t>Net benefit of CT-GRACE model (%)</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Net benefit of GRACE (%)</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0.915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0.942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0.916</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0.829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0.896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0.834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0.03</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0.741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0.738</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0.04</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0.651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0.795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0.665</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0.05</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0.559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0.597</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0.465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0.704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0.552</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0.37</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0.644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0.486</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0.08</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0.272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0.645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0.443</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0.09</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0.172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0.642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0.414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0.069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0.628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0.408</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-0.035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0.599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0.381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-0.142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0.385</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0.13</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-0.251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0.559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0.345</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0.14</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-0.363</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0.331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0.15</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-0.478</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0.522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0.234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-0.595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0.525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-0.715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0.475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0.18</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-0.838</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0.477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0.119</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0.19</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-0.965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0.118</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-1.094</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0.431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0.138</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-1.226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0.399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0.097</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-1.362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0.367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0.109</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0.23</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-1.502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0.376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0.116</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0.24</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-1.645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0.354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0.083</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0.25</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-1.792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0.367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0.083</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-1.943</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0.373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0.093</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-2.098</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0.372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0.086</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0.28</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-2.257</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0.381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0.29</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-2.421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0.356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0.077</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-2.589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0.357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0.046</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-2.763</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0.382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-2.941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0.397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0.069</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0.33</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-3.125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0.34</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-3.314</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0.383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-0.003</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0.35</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-3.51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0.388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-0.019</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-3.711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0.356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-0.023</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-3.919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0.324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-0.028</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0.38</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-4.133</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0.316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-0.032</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0.39</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-4.355</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0.324</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-0.037</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-4.583</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0.35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-0.067</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0.41</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-4.82</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0.269</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-0.054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0.42</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-5.065</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0.262</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-0.041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0.43</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-5.318</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-0.069</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0.44</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-5.58</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0.243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-0.073</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0.45</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-5.852</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0.236</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-0.077</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0.46</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-6.134</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0.18</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-0.081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0.47</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-6.427</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0.173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-0.064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0.48</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-6.731</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0.188</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-0.067</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0.49</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-7.047</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0.182</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-0.071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0.5</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-7.375</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0.175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-0.075</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0.51</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-7.717</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0.143</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-0.078</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0.52</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-8.073</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0.11</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-0.054</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0.53</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-8.444</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0.131</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-0.056</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0.54</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-8.832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0.153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-0.029</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0.55</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-9.236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0.147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-0.031</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-9.659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0.066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-10.1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0.034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0.58</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-10.56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0.59</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-11.05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-11.56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-12.1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0.044</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-12.66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0.63</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-13.26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0.072</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0.64</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-13.89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0.067</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0.65</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-14.55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0.061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-15.26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0.029</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0.023</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0.68</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-16.8</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0.016</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0.69</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-17.64</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0.008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-18.54</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0.058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0.71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-19.5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0.028</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0.72</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-20.54</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0.021</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0.73</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-21.64</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0.015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0.74</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-22.84</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0.008</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0.75</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-24.12</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0.76</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-25.52</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-0.008</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0.77</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-27.04</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-0.017</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0.78</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-28.69</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-0.052</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0.79</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-30.51</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0.006</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0.8</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-32.5</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0.81</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-34.7</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-0.007</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-37.15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0.83</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-39.89</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0.84</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-42.97</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0.85</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-46.46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0.1</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0.86</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-50.45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0.87</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-55.05</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0.075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0.88</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-60.42</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0.89</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-66.76</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-74.38</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0.91</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-83.68</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0.92</w:t>
            </w:r>
          </w:p>
        </w:tc>
        <w:tc>
          <w:tcPr>
            <w:tcW w:w="1785"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c>
          <w:tcPr>
            <w:tcW w:w="1691"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-95.31</w:t>
            </w:r>
          </w:p>
        </w:tc>
        <w:tc>
          <w:tcPr>
            <w:tcW w:w="167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0.025</w:t>
            </w:r>
          </w:p>
        </w:tc>
        <w:tc>
          <w:tcPr>
            <w:tcW w:w="1758" w:type="dxa"/>
            <w:shd w:val="clear" w:color="auto" w:fill="auto"/>
            <w:vAlign w:val="bottom"/>
          </w:tcPr>
          <w:p>
            <w:pPr>
              <w:jc w:val="center"/>
              <w:textAlignment w:val="bottom"/>
              <w:rPr>
                <w:rFonts w:ascii="Times New Roman" w:hAnsi="Times New Roman" w:cs="Times New Roman"/>
                <w:color w:val="000000"/>
                <w:sz w:val="18"/>
                <w:szCs w:val="18"/>
              </w:rPr>
            </w:pPr>
            <w:r>
              <w:rPr>
                <w:rFonts w:ascii="Times New Roman" w:hAnsi="Times New Roman" w:cs="Times New Roman"/>
                <w:color w:val="000000"/>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0.93</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-110.3</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0.025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0.94</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-130.2</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0.025</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0.95</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-158.1</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0.96</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-200</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0.97</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-269.8</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0.98</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-409.4</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r>
        <w:trPr>
          <w:trHeight w:val="195" w:hRule="atLeast"/>
        </w:trPr>
        <w:tc>
          <w:tcPr>
            <w:tcW w:w="1189"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0.99</w:t>
            </w:r>
          </w:p>
        </w:tc>
        <w:tc>
          <w:tcPr>
            <w:tcW w:w="1785"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691"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-828.1</w:t>
            </w:r>
          </w:p>
        </w:tc>
        <w:tc>
          <w:tcPr>
            <w:tcW w:w="167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c>
          <w:tcPr>
            <w:tcW w:w="1758" w:type="dxa"/>
            <w:shd w:val="clear" w:color="auto" w:fill="auto"/>
            <w:vAlign w:val="bottom"/>
          </w:tcPr>
          <w:p>
            <w:pPr>
              <w:jc w:val="center"/>
              <w:textAlignment w:val="bottom"/>
              <w:rPr>
                <w:rFonts w:ascii="Times New Roman" w:hAnsi="Times New Roman" w:cs="Times New Roman"/>
                <w:sz w:val="18"/>
                <w:szCs w:val="18"/>
              </w:rPr>
            </w:pPr>
            <w:r>
              <w:rPr>
                <w:rFonts w:ascii="Times New Roman" w:hAnsi="Times New Roman" w:cs="Times New Roman"/>
                <w:sz w:val="18"/>
                <w:szCs w:val="18"/>
                <w:lang w:bidi="ar"/>
              </w:rPr>
              <w:t>0</w:t>
            </w:r>
          </w:p>
        </w:tc>
      </w:tr>
    </w:tbl>
    <w:p>
      <w:pPr>
        <w:jc w:val="both"/>
        <w:rPr>
          <w:rFonts w:ascii="Times New Roman" w:hAnsi="Times New Roman"/>
        </w:rPr>
      </w:pPr>
      <w:r>
        <w:rPr>
          <w:rFonts w:ascii="Times New Roman" w:hAnsi="Times New Roman"/>
        </w:rPr>
        <w:t>MI, myocardial infarction; GRACE, Global Registry of Acute Coronary Events; CT-GRACE model, integrating significant computed tomography findings with GRACE 2.0 score.</w:t>
      </w:r>
    </w:p>
    <w:p>
      <w:pPr>
        <w:jc w:val="both"/>
        <w:rPr>
          <w:rFonts w:ascii="Times New Roman Bold" w:hAnsi="Times New Roman Bold" w:cs="Times New Roman Bold"/>
          <w:b/>
          <w:bCs/>
        </w:rPr>
      </w:pPr>
    </w:p>
    <w:p>
      <w:pPr>
        <w:jc w:val="both"/>
        <w:rPr>
          <w:rFonts w:ascii="Times New Roman Bold" w:hAnsi="Times New Roman Bold" w:cs="Times New Roman Bold"/>
          <w:b/>
          <w:bCs/>
        </w:rPr>
      </w:pPr>
      <w:r>
        <w:rPr>
          <w:rFonts w:ascii="Times New Roman Bold" w:hAnsi="Times New Roman Bold" w:cs="Times New Roman Bold"/>
          <w:b/>
          <w:bCs/>
        </w:rPr>
        <w:t>Table S3. The intraclass correlation coefficients for interobserver and intraobserver agreement of coronary computed tomography angiography parameters analysis.</w:t>
      </w:r>
    </w:p>
    <w:tbl>
      <w:tblPr>
        <w:tblStyle w:val="16"/>
        <w:tblW w:w="80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2127"/>
        <w:gridCol w:w="1984"/>
      </w:tblGrid>
      <w:tr>
        <w:tc>
          <w:tcPr>
            <w:tcW w:w="3969" w:type="dxa"/>
          </w:tcPr>
          <w:p>
            <w:pPr>
              <w:rPr>
                <w:rFonts w:ascii="Times New Roman" w:hAnsi="Times New Roman"/>
                <w:lang w:eastAsia="zh-Hans"/>
              </w:rPr>
            </w:pPr>
            <w:r>
              <w:rPr>
                <w:rFonts w:ascii="Times New Roman" w:hAnsi="Times New Roman"/>
                <w:lang w:eastAsia="zh-Hans"/>
              </w:rPr>
              <w:t>Unit of analysis</w:t>
            </w:r>
          </w:p>
        </w:tc>
        <w:tc>
          <w:tcPr>
            <w:tcW w:w="2127" w:type="dxa"/>
          </w:tcPr>
          <w:p>
            <w:pPr>
              <w:jc w:val="both"/>
              <w:rPr>
                <w:rFonts w:ascii="Times New Roman" w:hAnsi="Times New Roman"/>
                <w:lang w:eastAsia="zh-Hans"/>
              </w:rPr>
            </w:pPr>
            <w:r>
              <w:rPr>
                <w:rFonts w:ascii="Times New Roman" w:hAnsi="Times New Roman"/>
                <w:lang w:eastAsia="zh-Hans"/>
              </w:rPr>
              <w:t>r (intraobserver)</w:t>
            </w:r>
          </w:p>
        </w:tc>
        <w:tc>
          <w:tcPr>
            <w:tcW w:w="1984" w:type="dxa"/>
          </w:tcPr>
          <w:p>
            <w:pPr>
              <w:jc w:val="both"/>
              <w:rPr>
                <w:rFonts w:ascii="Times New Roman" w:hAnsi="Times New Roman"/>
                <w:lang w:eastAsia="zh-Hans"/>
              </w:rPr>
            </w:pPr>
            <w:r>
              <w:rPr>
                <w:rFonts w:ascii="Times New Roman" w:hAnsi="Times New Roman"/>
                <w:lang w:eastAsia="zh-Hans"/>
              </w:rPr>
              <w:t>r (interobserver)</w:t>
            </w:r>
          </w:p>
        </w:tc>
      </w:tr>
      <w:tr>
        <w:tc>
          <w:tcPr>
            <w:tcW w:w="3969" w:type="dxa"/>
          </w:tcPr>
          <w:p>
            <w:pPr>
              <w:rPr>
                <w:rFonts w:ascii="Times New Roman" w:hAnsi="Times New Roman"/>
                <w:lang w:eastAsia="zh-Hans"/>
              </w:rPr>
            </w:pPr>
            <w:r>
              <w:rPr>
                <w:rFonts w:ascii="Times New Roman" w:hAnsi="Times New Roman"/>
                <w:lang w:eastAsia="zh-Hans"/>
              </w:rPr>
              <w:t>SSS</w:t>
            </w:r>
          </w:p>
        </w:tc>
        <w:tc>
          <w:tcPr>
            <w:tcW w:w="2127" w:type="dxa"/>
          </w:tcPr>
          <w:p>
            <w:pPr>
              <w:jc w:val="both"/>
              <w:rPr>
                <w:rFonts w:ascii="Times New Roman" w:hAnsi="Times New Roman"/>
                <w:lang w:eastAsia="zh-Hans"/>
              </w:rPr>
            </w:pPr>
            <w:r>
              <w:rPr>
                <w:rFonts w:ascii="Times New Roman" w:hAnsi="Times New Roman"/>
                <w:lang w:eastAsia="zh-Hans"/>
              </w:rPr>
              <w:t>0</w:t>
            </w:r>
            <w:r>
              <w:rPr>
                <w:rFonts w:hint="eastAsia" w:ascii="Times New Roman" w:hAnsi="Times New Roman"/>
                <w:lang w:eastAsia="zh-Hans"/>
              </w:rPr>
              <w:t>.</w:t>
            </w:r>
            <w:r>
              <w:rPr>
                <w:rFonts w:ascii="Times New Roman" w:hAnsi="Times New Roman"/>
                <w:lang w:eastAsia="zh-Hans"/>
              </w:rPr>
              <w:t>96 (0.95, 0.97)</w:t>
            </w:r>
          </w:p>
        </w:tc>
        <w:tc>
          <w:tcPr>
            <w:tcW w:w="1984" w:type="dxa"/>
          </w:tcPr>
          <w:p>
            <w:pPr>
              <w:jc w:val="both"/>
              <w:rPr>
                <w:rFonts w:ascii="Times New Roman" w:hAnsi="Times New Roman"/>
                <w:lang w:eastAsia="zh-Hans"/>
              </w:rPr>
            </w:pPr>
            <w:r>
              <w:rPr>
                <w:rFonts w:ascii="Times New Roman" w:hAnsi="Times New Roman"/>
                <w:lang w:eastAsia="zh-Hans"/>
              </w:rPr>
              <w:t>0.97 (0.97, 0.98)</w:t>
            </w:r>
          </w:p>
        </w:tc>
      </w:tr>
      <w:tr>
        <w:tc>
          <w:tcPr>
            <w:tcW w:w="3969" w:type="dxa"/>
          </w:tcPr>
          <w:p>
            <w:pPr>
              <w:rPr>
                <w:rFonts w:ascii="Times New Roman" w:hAnsi="Times New Roman"/>
                <w:lang w:eastAsia="zh-Hans"/>
              </w:rPr>
            </w:pPr>
            <w:r>
              <w:rPr>
                <w:rFonts w:ascii="Times New Roman" w:hAnsi="Times New Roman"/>
                <w:lang w:eastAsia="zh-Hans"/>
              </w:rPr>
              <w:t xml:space="preserve">SIS </w:t>
            </w:r>
            <w:r>
              <w:rPr>
                <w:rFonts w:ascii="Times New Roman" w:hAnsi="Times New Roman"/>
              </w:rPr>
              <w:t>category</w:t>
            </w:r>
          </w:p>
        </w:tc>
        <w:tc>
          <w:tcPr>
            <w:tcW w:w="2127" w:type="dxa"/>
          </w:tcPr>
          <w:p>
            <w:pPr>
              <w:jc w:val="both"/>
              <w:rPr>
                <w:rFonts w:ascii="Times New Roman" w:hAnsi="Times New Roman"/>
                <w:lang w:eastAsia="zh-Hans"/>
              </w:rPr>
            </w:pPr>
            <w:r>
              <w:rPr>
                <w:rFonts w:ascii="Times New Roman" w:hAnsi="Times New Roman"/>
                <w:lang w:eastAsia="zh-Hans"/>
              </w:rPr>
              <w:t>0.94 (0.93, 0.96)</w:t>
            </w:r>
          </w:p>
        </w:tc>
        <w:tc>
          <w:tcPr>
            <w:tcW w:w="1984" w:type="dxa"/>
          </w:tcPr>
          <w:p>
            <w:pPr>
              <w:jc w:val="both"/>
              <w:rPr>
                <w:rFonts w:ascii="Times New Roman" w:hAnsi="Times New Roman"/>
                <w:lang w:eastAsia="zh-Hans"/>
              </w:rPr>
            </w:pPr>
            <w:r>
              <w:rPr>
                <w:rFonts w:ascii="Times New Roman" w:hAnsi="Times New Roman"/>
                <w:lang w:eastAsia="zh-Hans"/>
              </w:rPr>
              <w:t>0.97 (0.96, 0.97)</w:t>
            </w:r>
          </w:p>
        </w:tc>
      </w:tr>
      <w:tr>
        <w:tc>
          <w:tcPr>
            <w:tcW w:w="3969" w:type="dxa"/>
          </w:tcPr>
          <w:p>
            <w:pPr>
              <w:rPr>
                <w:rFonts w:ascii="Times New Roman" w:hAnsi="Times New Roman"/>
                <w:lang w:eastAsia="zh-Hans"/>
              </w:rPr>
            </w:pPr>
            <w:r>
              <w:rPr>
                <w:rFonts w:hint="eastAsia" w:ascii="Times New Roman" w:hAnsi="Times New Roman"/>
              </w:rPr>
              <w:t>V</w:t>
            </w:r>
            <w:r>
              <w:rPr>
                <w:rFonts w:ascii="Times New Roman" w:hAnsi="Times New Roman"/>
              </w:rPr>
              <w:t xml:space="preserve">essels </w:t>
            </w:r>
            <w:r>
              <w:rPr>
                <w:rFonts w:hint="eastAsia" w:ascii="Times New Roman" w:hAnsi="Times New Roman"/>
              </w:rPr>
              <w:t>containing</w:t>
            </w:r>
            <w:r>
              <w:rPr>
                <w:rFonts w:ascii="Times New Roman" w:hAnsi="Times New Roman"/>
              </w:rPr>
              <w:t xml:space="preserve"> high-risk plaque</w:t>
            </w:r>
          </w:p>
        </w:tc>
        <w:tc>
          <w:tcPr>
            <w:tcW w:w="2127" w:type="dxa"/>
          </w:tcPr>
          <w:p>
            <w:pPr>
              <w:jc w:val="both"/>
              <w:rPr>
                <w:rFonts w:ascii="Times New Roman" w:hAnsi="Times New Roman"/>
                <w:lang w:eastAsia="zh-Hans"/>
              </w:rPr>
            </w:pPr>
            <w:r>
              <w:rPr>
                <w:rFonts w:ascii="Times New Roman" w:hAnsi="Times New Roman"/>
                <w:lang w:eastAsia="zh-Hans"/>
              </w:rPr>
              <w:t>0.88 (0.85, 0.91)</w:t>
            </w:r>
          </w:p>
        </w:tc>
        <w:tc>
          <w:tcPr>
            <w:tcW w:w="1984" w:type="dxa"/>
          </w:tcPr>
          <w:p>
            <w:pPr>
              <w:jc w:val="both"/>
              <w:rPr>
                <w:rFonts w:ascii="Times New Roman" w:hAnsi="Times New Roman"/>
                <w:lang w:eastAsia="zh-Hans"/>
              </w:rPr>
            </w:pPr>
            <w:r>
              <w:rPr>
                <w:rFonts w:ascii="Times New Roman" w:hAnsi="Times New Roman"/>
                <w:lang w:eastAsia="zh-Hans"/>
              </w:rPr>
              <w:t>0.95 (0.94, 0.96)</w:t>
            </w:r>
          </w:p>
        </w:tc>
      </w:tr>
      <w:tr>
        <w:trPr>
          <w:trHeight w:val="262" w:hRule="atLeast"/>
        </w:trPr>
        <w:tc>
          <w:tcPr>
            <w:tcW w:w="3969" w:type="dxa"/>
          </w:tcPr>
          <w:p>
            <w:pPr>
              <w:rPr>
                <w:rFonts w:ascii="Times New Roman" w:hAnsi="Times New Roman"/>
                <w:lang w:eastAsia="zh-Hans"/>
              </w:rPr>
            </w:pPr>
            <w:r>
              <w:rPr>
                <w:rFonts w:hint="eastAsia" w:ascii="Times New Roman" w:hAnsi="Times New Roman"/>
              </w:rPr>
              <w:t>D</w:t>
            </w:r>
            <w:r>
              <w:rPr>
                <w:rFonts w:ascii="Times New Roman" w:hAnsi="Times New Roman"/>
              </w:rPr>
              <w:t>egree of maximal coronary stenosis</w:t>
            </w:r>
          </w:p>
        </w:tc>
        <w:tc>
          <w:tcPr>
            <w:tcW w:w="2127" w:type="dxa"/>
          </w:tcPr>
          <w:p>
            <w:pPr>
              <w:jc w:val="both"/>
              <w:rPr>
                <w:rFonts w:ascii="Times New Roman" w:hAnsi="Times New Roman"/>
                <w:lang w:eastAsia="zh-Hans"/>
              </w:rPr>
            </w:pPr>
            <w:r>
              <w:rPr>
                <w:rFonts w:ascii="Times New Roman" w:hAnsi="Times New Roman"/>
                <w:lang w:eastAsia="zh-Hans"/>
              </w:rPr>
              <w:t>0.97 (0.96, 0.98)</w:t>
            </w:r>
          </w:p>
        </w:tc>
        <w:tc>
          <w:tcPr>
            <w:tcW w:w="1984" w:type="dxa"/>
          </w:tcPr>
          <w:p>
            <w:pPr>
              <w:jc w:val="both"/>
              <w:rPr>
                <w:rFonts w:ascii="Times New Roman" w:hAnsi="Times New Roman"/>
                <w:lang w:eastAsia="zh-Hans"/>
              </w:rPr>
            </w:pPr>
            <w:r>
              <w:rPr>
                <w:rFonts w:ascii="Times New Roman" w:hAnsi="Times New Roman"/>
                <w:lang w:eastAsia="zh-Hans"/>
              </w:rPr>
              <w:t>0.97 (0.96, 0.98)</w:t>
            </w:r>
          </w:p>
        </w:tc>
      </w:tr>
    </w:tbl>
    <w:p>
      <w:pPr>
        <w:pStyle w:val="8"/>
        <w:spacing w:before="0" w:beforeAutospacing="0" w:after="0" w:afterAutospacing="0"/>
        <w:jc w:val="both"/>
        <w:rPr>
          <w:rFonts w:ascii="Times New Roman" w:hAnsi="Times New Roman"/>
        </w:rPr>
      </w:pPr>
      <w:r>
        <w:rPr>
          <w:rFonts w:ascii="Times New Roman" w:hAnsi="Times New Roman" w:cs="Times New Roman"/>
          <w:color w:val="000000"/>
          <w:lang w:bidi="ar"/>
        </w:rPr>
        <w:t xml:space="preserve">Note, all </w:t>
      </w:r>
      <w:r>
        <w:rPr>
          <w:rFonts w:ascii="Times New Roman" w:hAnsi="Times New Roman" w:cs="Times New Roman"/>
          <w:i/>
          <w:color w:val="000000"/>
          <w:lang w:bidi="ar"/>
        </w:rPr>
        <w:t xml:space="preserve">P </w:t>
      </w:r>
      <w:r>
        <w:rPr>
          <w:rFonts w:ascii="Times New Roman" w:hAnsi="Times New Roman" w:cs="Times New Roman"/>
          <w:color w:val="000000"/>
          <w:lang w:bidi="ar"/>
        </w:rPr>
        <w:t xml:space="preserve">&lt; 0.001. Data in parentheses are 95% CIs. Semi-quantitative CCTA assessment was performed by two trained radiologists with 7- and 11-years of interpretation experience of cardiovascular CCTA images. The intraobserver agreement was assessed in the radiologist with 7 years of experience, and the interval between two times measurements is at least 3 months. CCTA = coronary computed tomography angiography; </w:t>
      </w:r>
      <w:r>
        <w:rPr>
          <w:rFonts w:ascii="Times New Roman" w:hAnsi="Times New Roman"/>
        </w:rPr>
        <w:t xml:space="preserve">SIS, segment involvement score; </w:t>
      </w:r>
      <w:r>
        <w:rPr>
          <w:rFonts w:hint="eastAsia" w:ascii="Times New Roman" w:hAnsi="Times New Roman"/>
        </w:rPr>
        <w:t>SS</w:t>
      </w:r>
      <w:r>
        <w:rPr>
          <w:rFonts w:ascii="Times New Roman" w:hAnsi="Times New Roman"/>
        </w:rPr>
        <w:t>S, segment stenosis score;</w:t>
      </w:r>
      <w:r>
        <w:rPr>
          <w:rFonts w:hint="eastAsia" w:ascii="Times New Roman" w:hAnsi="Times New Roman"/>
        </w:rPr>
        <w:t xml:space="preserve"> D</w:t>
      </w:r>
      <w:r>
        <w:rPr>
          <w:rFonts w:ascii="Times New Roman" w:hAnsi="Times New Roman"/>
        </w:rPr>
        <w:t>egree of maximal coronary stenosis and SIS category were classified according to CAD-RADS (Coronary Artery Disease Reporting and Data System) 2.0.</w:t>
      </w:r>
    </w:p>
    <w:p>
      <w:pPr>
        <w:jc w:val="both"/>
        <w:rPr>
          <w:rFonts w:ascii="Times New Roman" w:hAnsi="Times New Roman"/>
          <w:lang w:eastAsia="zh-Hans"/>
        </w:rPr>
      </w:pPr>
      <w:r>
        <w:rPr>
          <w:rFonts w:hint="eastAsia" w:ascii="Times New Roman" w:hAnsi="Times New Roman"/>
          <w:lang w:eastAsia="zh-Hans"/>
        </w:rPr>
        <w:br w:type="page"/>
      </w:r>
    </w:p>
    <w:p>
      <w:pPr>
        <w:pStyle w:val="35"/>
        <w:ind w:firstLine="0" w:firstLineChars="0"/>
        <w:jc w:val="both"/>
        <w:rPr>
          <w:rFonts w:ascii="Times New Roman Bold" w:hAnsi="Times New Roman Bold" w:cs="Times New Roman Bold"/>
          <w:b/>
          <w:bCs/>
          <w:lang w:eastAsia="zh-Hans"/>
        </w:rPr>
      </w:pPr>
      <w:r>
        <w:rPr>
          <w:rFonts w:ascii="Times New Roman Bold" w:hAnsi="Times New Roman Bold" w:cs="Times New Roman Bold"/>
          <w:b/>
          <w:bCs/>
        </w:rPr>
        <w:t xml:space="preserve">Figure S1. The non-linearity </w:t>
      </w:r>
      <w:r>
        <w:rPr>
          <w:rFonts w:ascii="Times New Roman Bold" w:hAnsi="Times New Roman Bold" w:cs="Times New Roman Bold"/>
          <w:b/>
          <w:bCs/>
          <w:lang w:eastAsia="zh-Hans"/>
        </w:rPr>
        <w:t>(</w:t>
      </w:r>
      <w:r>
        <w:rPr>
          <w:rFonts w:ascii="Times New Roman Bold Italic" w:hAnsi="Times New Roman Bold Italic" w:cs="Times New Roman Bold Italic"/>
          <w:b/>
          <w:bCs/>
          <w:i/>
          <w:iCs/>
          <w:lang w:eastAsia="zh-Hans"/>
        </w:rPr>
        <w:t>P</w:t>
      </w:r>
      <w:r>
        <w:rPr>
          <w:rFonts w:ascii="Times New Roman Bold" w:hAnsi="Times New Roman Bold" w:cs="Times New Roman Bold"/>
          <w:b/>
          <w:bCs/>
          <w:lang w:eastAsia="zh-Hans"/>
        </w:rPr>
        <w:t>=0.093)</w:t>
      </w:r>
      <w:r>
        <w:rPr>
          <w:rFonts w:ascii="Times New Roman Bold" w:hAnsi="Times New Roman Bold" w:cs="Times New Roman Bold"/>
          <w:b/>
          <w:bCs/>
        </w:rPr>
        <w:t xml:space="preserve"> between continuous SSS parameter and 3-year mortality or </w:t>
      </w:r>
      <w:r>
        <w:rPr>
          <w:rFonts w:ascii="Times New Roman Bold" w:hAnsi="Times New Roman Bold" w:cs="Times New Roman Bold"/>
          <w:b/>
          <w:bCs/>
          <w:lang w:eastAsia="zh-Hans"/>
        </w:rPr>
        <w:t>MI in total study population.</w:t>
      </w:r>
    </w:p>
    <w:p>
      <w:pPr>
        <w:pStyle w:val="35"/>
        <w:ind w:firstLine="0" w:firstLineChars="0"/>
        <w:jc w:val="both"/>
        <w:rPr>
          <w:rFonts w:ascii="Times New Roman Bold" w:hAnsi="Times New Roman Bold" w:cs="Times New Roman Bold"/>
          <w:b/>
          <w:bCs/>
        </w:rPr>
      </w:pPr>
      <w:r>
        <w:rPr>
          <w:rFonts w:ascii="Times New Roman" w:hAnsi="Times New Roman"/>
        </w:rPr>
        <w:drawing>
          <wp:inline distT="0" distB="0" distL="114300" distR="114300">
            <wp:extent cx="5269230" cy="3033395"/>
            <wp:effectExtent l="0" t="0" r="13970" b="14605"/>
            <wp:docPr id="4" name="图片 4" descr="3-Year Mortality of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Year Mortality of MI"/>
                    <pic:cNvPicPr>
                      <a:picLocks noChangeAspect="1"/>
                    </pic:cNvPicPr>
                  </pic:nvPicPr>
                  <pic:blipFill>
                    <a:blip r:embed="rId6"/>
                    <a:stretch>
                      <a:fillRect/>
                    </a:stretch>
                  </pic:blipFill>
                  <pic:spPr>
                    <a:xfrm>
                      <a:off x="0" y="0"/>
                      <a:ext cx="5269230" cy="3033395"/>
                    </a:xfrm>
                    <a:prstGeom prst="rect">
                      <a:avLst/>
                    </a:prstGeom>
                  </pic:spPr>
                </pic:pic>
              </a:graphicData>
            </a:graphic>
          </wp:inline>
        </w:drawing>
      </w:r>
    </w:p>
    <w:p>
      <w:pPr>
        <w:pStyle w:val="35"/>
        <w:ind w:firstLine="0" w:firstLineChars="0"/>
        <w:jc w:val="both"/>
        <w:rPr>
          <w:rFonts w:ascii="Times New Roman Bold" w:hAnsi="Times New Roman Bold" w:cs="Times New Roman Bold"/>
          <w:b/>
          <w:bCs/>
        </w:rPr>
      </w:pPr>
      <w:r>
        <w:rPr>
          <w:rFonts w:ascii="Times New Roman" w:hAnsi="Times New Roman"/>
        </w:rPr>
        <w:t>For continuous SSS variable of CCTA parameter, there was no non-linear effect for 3-year mortality of MI tested by the cubic spline. W</w:t>
      </w:r>
      <w:r>
        <w:rPr>
          <w:rFonts w:hint="eastAsia" w:ascii="Times New Roman" w:hAnsi="Times New Roman"/>
        </w:rPr>
        <w:t>hen we built the CT-GRACE model, we did not classify SSS, but included it in the model as a continuous variable.</w:t>
      </w:r>
      <w:r>
        <w:rPr>
          <w:rFonts w:ascii="Times New Roman" w:hAnsi="Times New Roman"/>
        </w:rPr>
        <w:t xml:space="preserve"> </w:t>
      </w:r>
      <w:r>
        <w:rPr>
          <w:rFonts w:hint="eastAsia" w:ascii="Times New Roman" w:hAnsi="Times New Roman"/>
        </w:rPr>
        <w:t>SS</w:t>
      </w:r>
      <w:r>
        <w:rPr>
          <w:rFonts w:ascii="Times New Roman" w:hAnsi="Times New Roman"/>
        </w:rPr>
        <w:t xml:space="preserve">S, segment stenosis score; MI, </w:t>
      </w:r>
      <w:r>
        <w:rPr>
          <w:rFonts w:ascii="Times New Roman" w:hAnsi="Times New Roman" w:cs="Times New Roman"/>
          <w:lang w:eastAsia="zh-Hans"/>
        </w:rPr>
        <w:t xml:space="preserve">myocardial infarction; CCTA, coronary computed tomography angiography; </w:t>
      </w:r>
      <w:r>
        <w:rPr>
          <w:rFonts w:ascii="Times New Roman" w:hAnsi="Times New Roman"/>
        </w:rPr>
        <w:t>CT, computed tomography; GRACE, Global Registry of Acute Coronary Events.</w:t>
      </w:r>
      <w:r>
        <w:rPr>
          <w:rFonts w:ascii="Times New Roman Bold" w:hAnsi="Times New Roman Bold" w:cs="Times New Roman Bold"/>
          <w:b/>
          <w:bCs/>
        </w:rPr>
        <w:br w:type="page"/>
      </w:r>
    </w:p>
    <w:p>
      <w:pPr>
        <w:pStyle w:val="35"/>
        <w:ind w:firstLine="0" w:firstLineChars="0"/>
        <w:jc w:val="both"/>
        <w:rPr>
          <w:rFonts w:ascii="Times New Roman Bold" w:hAnsi="Times New Roman Bold" w:cs="Times New Roman Bold"/>
          <w:b/>
          <w:bCs/>
        </w:rPr>
      </w:pPr>
      <w:r>
        <w:rPr>
          <w:rFonts w:ascii="Times New Roman Bold" w:hAnsi="Times New Roman Bold" w:cs="Times New Roman Bold"/>
          <w:b/>
          <w:bCs/>
        </w:rPr>
        <w:t xml:space="preserve">Figure S2. </w:t>
      </w:r>
      <w:r>
        <w:rPr>
          <w:rFonts w:ascii="Times New Roman" w:hAnsi="Times New Roman"/>
          <w:b/>
          <w:bCs/>
        </w:rPr>
        <w:t>Receiver-Operating Characteristic Curves for Predicting the 3-year mortality or MI by GRACE 2.0 risk score, CACS-GRACE (integrating GRACE 2.0 risk score and CACS category), CT-GRACE model (integrating GRACE 2.0 risk score, CACS category and SSS) in the developing (A) and validation sets (B).</w:t>
      </w:r>
    </w:p>
    <w:p>
      <w:pPr>
        <w:pStyle w:val="35"/>
        <w:ind w:firstLine="0" w:firstLineChars="0"/>
        <w:jc w:val="both"/>
        <w:rPr>
          <w:rFonts w:ascii="Times New Roman Bold" w:hAnsi="Times New Roman Bold" w:cs="Times New Roman Bold"/>
          <w:b/>
          <w:bCs/>
        </w:rPr>
      </w:pPr>
      <w:r>
        <w:rPr>
          <w:rFonts w:ascii="Times New Roman Bold" w:hAnsi="Times New Roman Bold" w:cs="Times New Roman Bold"/>
          <w:b/>
          <w:bCs/>
        </w:rPr>
        <w:t>(A)</w:t>
      </w:r>
    </w:p>
    <w:p>
      <w:pPr>
        <w:pStyle w:val="35"/>
        <w:ind w:firstLine="0" w:firstLineChars="0"/>
        <w:jc w:val="both"/>
        <w:rPr>
          <w:rFonts w:ascii="Times New Roman Bold" w:hAnsi="Times New Roman Bold" w:cs="Times New Roman Bold"/>
          <w:lang w:eastAsia="zh-Hans"/>
        </w:rPr>
      </w:pPr>
      <w:r>
        <w:rPr>
          <w:rFonts w:ascii="Times New Roman" w:hAnsi="Times New Roman"/>
        </w:rPr>
        <w:drawing>
          <wp:inline distT="0" distB="0" distL="114300" distR="114300">
            <wp:extent cx="5563870" cy="3129915"/>
            <wp:effectExtent l="0" t="0" r="24130" b="19685"/>
            <wp:docPr id="13" name="图片 13" descr="CACS_RO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ACS_ROC1"/>
                    <pic:cNvPicPr>
                      <a:picLocks noChangeAspect="1"/>
                    </pic:cNvPicPr>
                  </pic:nvPicPr>
                  <pic:blipFill>
                    <a:blip r:embed="rId7"/>
                    <a:stretch>
                      <a:fillRect/>
                    </a:stretch>
                  </pic:blipFill>
                  <pic:spPr>
                    <a:xfrm>
                      <a:off x="0" y="0"/>
                      <a:ext cx="5563870" cy="3129915"/>
                    </a:xfrm>
                    <a:prstGeom prst="rect">
                      <a:avLst/>
                    </a:prstGeom>
                  </pic:spPr>
                </pic:pic>
              </a:graphicData>
            </a:graphic>
          </wp:inline>
        </w:drawing>
      </w:r>
      <w:r>
        <w:rPr>
          <w:rFonts w:ascii="Times New Roman Bold" w:hAnsi="Times New Roman Bold" w:cs="Times New Roman Bold"/>
          <w:lang w:eastAsia="zh-Hans"/>
        </w:rPr>
        <w:t>(B)</w:t>
      </w:r>
      <w:r>
        <w:rPr>
          <w:rFonts w:ascii="Times New Roman" w:hAnsi="Times New Roman"/>
        </w:rPr>
        <w:t xml:space="preserve"> </w:t>
      </w:r>
      <w:r>
        <w:rPr>
          <w:rFonts w:ascii="Times New Roman Bold" w:hAnsi="Times New Roman Bold" w:cs="Times New Roman Bold"/>
          <w:lang w:eastAsia="zh-Hans"/>
        </w:rPr>
        <w:drawing>
          <wp:inline distT="0" distB="0" distL="114300" distR="114300">
            <wp:extent cx="5649595" cy="3178175"/>
            <wp:effectExtent l="0" t="0" r="14605" b="22225"/>
            <wp:docPr id="15" name="图片 15" descr="CACS_RO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ACS_ROC2"/>
                    <pic:cNvPicPr>
                      <a:picLocks noChangeAspect="1"/>
                    </pic:cNvPicPr>
                  </pic:nvPicPr>
                  <pic:blipFill>
                    <a:blip r:embed="rId8"/>
                    <a:stretch>
                      <a:fillRect/>
                    </a:stretch>
                  </pic:blipFill>
                  <pic:spPr>
                    <a:xfrm>
                      <a:off x="0" y="0"/>
                      <a:ext cx="5649595" cy="3178175"/>
                    </a:xfrm>
                    <a:prstGeom prst="rect">
                      <a:avLst/>
                    </a:prstGeom>
                  </pic:spPr>
                </pic:pic>
              </a:graphicData>
            </a:graphic>
          </wp:inline>
        </w:drawing>
      </w:r>
    </w:p>
    <w:p>
      <w:pPr>
        <w:pStyle w:val="8"/>
        <w:spacing w:before="0" w:beforeAutospacing="0" w:after="0" w:afterAutospacing="0"/>
        <w:jc w:val="both"/>
        <w:rPr>
          <w:rFonts w:ascii="Times New Roman Regular" w:hAnsi="Times New Roman Regular" w:eastAsia="Helvetica" w:cs="Times New Roman Regular"/>
          <w:color w:val="000000"/>
          <w:lang w:bidi="ar"/>
        </w:rPr>
      </w:pPr>
      <w:r>
        <w:rPr>
          <w:rFonts w:ascii="Times New Roman Regular" w:hAnsi="Times New Roman Regular" w:eastAsia="Helvetica" w:cs="Times New Roman Regular"/>
          <w:color w:val="000000"/>
          <w:lang w:bidi="ar"/>
        </w:rPr>
        <w:t>In the developing set (A), t</w:t>
      </w:r>
      <w:r>
        <w:rPr>
          <w:rFonts w:hint="eastAsia" w:ascii="Times New Roman Regular" w:hAnsi="Times New Roman Regular" w:eastAsia="Helvetica" w:cs="Times New Roman Regular"/>
          <w:color w:val="000000"/>
          <w:lang w:eastAsia="zh-Hans" w:bidi="ar"/>
        </w:rPr>
        <w:t>h</w:t>
      </w:r>
      <w:r>
        <w:rPr>
          <w:rFonts w:ascii="Times New Roman Regular" w:hAnsi="Times New Roman Regular" w:eastAsia="Helvetica" w:cs="Times New Roman Regular"/>
          <w:color w:val="000000"/>
          <w:lang w:eastAsia="zh-Hans" w:bidi="ar"/>
        </w:rPr>
        <w:t xml:space="preserve">e AUCs of </w:t>
      </w:r>
      <w:r>
        <w:rPr>
          <w:rFonts w:ascii="Times New Roman Regular" w:hAnsi="Times New Roman Regular" w:eastAsia="Helvetica" w:cs="Times New Roman Regular"/>
          <w:color w:val="000000"/>
          <w:lang w:bidi="ar"/>
        </w:rPr>
        <w:t>GRACE 2.0 score, CACS-GRACE which incorporates categorical CACS into GRACE 2.0 risk score, CT-GRACE model which integrates continuous SSS, CACS category and GRACE 2.0 score were 0.724, 0.785, 0.853, respectively. ΔAUC of GRACE 2.0 score and CACS-GRACE was 0.061 (</w:t>
      </w:r>
      <w:r>
        <w:rPr>
          <w:rFonts w:ascii="Times New Roman Italic" w:hAnsi="Times New Roman Italic" w:eastAsia="Helvetica" w:cs="Times New Roman Italic"/>
          <w:i/>
          <w:iCs/>
          <w:color w:val="000000"/>
          <w:lang w:bidi="ar"/>
        </w:rPr>
        <w:t xml:space="preserve">p </w:t>
      </w:r>
      <w:r>
        <w:rPr>
          <w:rFonts w:ascii="Times New Roman" w:hAnsi="Times New Roman" w:eastAsia="Helvetica" w:cs="Times New Roman"/>
          <w:color w:val="000000"/>
          <w:lang w:bidi="ar"/>
        </w:rPr>
        <w:t xml:space="preserve">= 0.005). </w:t>
      </w:r>
      <w:r>
        <w:rPr>
          <w:rFonts w:ascii="Times New Roman Regular" w:hAnsi="Times New Roman Regular" w:eastAsia="Helvetica" w:cs="Times New Roman Regular"/>
          <w:color w:val="000000"/>
          <w:lang w:bidi="ar"/>
        </w:rPr>
        <w:t>ΔAUC of CACS-GRACE and CT-GRACE model was 0.068 (</w:t>
      </w:r>
      <w:r>
        <w:rPr>
          <w:rFonts w:ascii="Times New Roman Italic" w:hAnsi="Times New Roman Italic" w:eastAsia="Helvetica" w:cs="Times New Roman Italic"/>
          <w:i/>
          <w:iCs/>
          <w:color w:val="000000"/>
          <w:lang w:bidi="ar"/>
        </w:rPr>
        <w:t xml:space="preserve">p </w:t>
      </w:r>
      <w:r>
        <w:rPr>
          <w:rFonts w:ascii="Times New Roman" w:hAnsi="Times New Roman" w:eastAsia="Helvetica" w:cs="Times New Roman"/>
          <w:color w:val="000000"/>
          <w:lang w:bidi="ar"/>
        </w:rPr>
        <w:t xml:space="preserve">= 0.001). </w:t>
      </w:r>
      <w:r>
        <w:rPr>
          <w:rFonts w:ascii="Times New Roman Regular" w:hAnsi="Times New Roman Regular" w:eastAsia="Helvetica" w:cs="Times New Roman Regular"/>
          <w:color w:val="000000"/>
          <w:lang w:bidi="ar"/>
        </w:rPr>
        <w:t>In the validation set (B), t</w:t>
      </w:r>
      <w:r>
        <w:rPr>
          <w:rFonts w:hint="eastAsia" w:ascii="Times New Roman Regular" w:hAnsi="Times New Roman Regular" w:eastAsia="Helvetica" w:cs="Times New Roman Regular"/>
          <w:color w:val="000000"/>
          <w:lang w:eastAsia="zh-Hans" w:bidi="ar"/>
        </w:rPr>
        <w:t>h</w:t>
      </w:r>
      <w:r>
        <w:rPr>
          <w:rFonts w:ascii="Times New Roman Regular" w:hAnsi="Times New Roman Regular" w:eastAsia="Helvetica" w:cs="Times New Roman Regular"/>
          <w:color w:val="000000"/>
          <w:lang w:eastAsia="zh-Hans" w:bidi="ar"/>
        </w:rPr>
        <w:t xml:space="preserve">e AUCs of </w:t>
      </w:r>
      <w:r>
        <w:rPr>
          <w:rFonts w:ascii="Times New Roman Regular" w:hAnsi="Times New Roman Regular" w:eastAsia="Helvetica" w:cs="Times New Roman Regular"/>
          <w:color w:val="000000"/>
          <w:lang w:bidi="ar"/>
        </w:rPr>
        <w:t>GRACE 2.0 score, CACS-GRACE, CT-GRACE model were 0.742, 0.802, 0.889, respectively. ΔAUC of GRACE 2.0 score and CACS-GRACE was 0.06 (</w:t>
      </w:r>
      <w:r>
        <w:rPr>
          <w:rFonts w:ascii="Times New Roman Italic" w:hAnsi="Times New Roman Italic" w:eastAsia="Helvetica" w:cs="Times New Roman Italic"/>
          <w:i/>
          <w:iCs/>
          <w:color w:val="000000"/>
          <w:lang w:bidi="ar"/>
        </w:rPr>
        <w:t xml:space="preserve">p </w:t>
      </w:r>
      <w:r>
        <w:rPr>
          <w:rFonts w:ascii="Times New Roman" w:hAnsi="Times New Roman" w:eastAsia="Helvetica" w:cs="Times New Roman"/>
          <w:color w:val="000000"/>
          <w:lang w:bidi="ar"/>
        </w:rPr>
        <w:t xml:space="preserve">= 0.03). </w:t>
      </w:r>
      <w:r>
        <w:rPr>
          <w:rFonts w:ascii="Times New Roman Regular" w:hAnsi="Times New Roman Regular" w:eastAsia="Helvetica" w:cs="Times New Roman Regular"/>
          <w:color w:val="000000"/>
          <w:lang w:bidi="ar"/>
        </w:rPr>
        <w:t>ΔAUC of CACS-GRACE and CT-GRACE model was 0.087 (</w:t>
      </w:r>
      <w:r>
        <w:rPr>
          <w:rFonts w:ascii="Times New Roman Italic" w:hAnsi="Times New Roman Italic" w:eastAsia="Helvetica" w:cs="Times New Roman Italic"/>
          <w:i/>
          <w:iCs/>
          <w:color w:val="000000"/>
          <w:lang w:bidi="ar"/>
        </w:rPr>
        <w:t xml:space="preserve">p </w:t>
      </w:r>
      <w:r>
        <w:rPr>
          <w:rFonts w:ascii="Times New Roman" w:hAnsi="Times New Roman" w:eastAsia="Helvetica" w:cs="Times New Roman"/>
          <w:color w:val="000000"/>
          <w:lang w:bidi="ar"/>
        </w:rPr>
        <w:t xml:space="preserve">= 0.002). MI, myocardial infarction; </w:t>
      </w:r>
      <w:r>
        <w:rPr>
          <w:rFonts w:ascii="Times New Roman" w:hAnsi="Times New Roman"/>
        </w:rPr>
        <w:t xml:space="preserve">GRACE, Global Registry of Acute Coronary Events; </w:t>
      </w:r>
      <w:r>
        <w:rPr>
          <w:rFonts w:ascii="Times New Roman Regular" w:hAnsi="Times New Roman Regular" w:eastAsia="Helvetica" w:cs="Times New Roman Regular"/>
          <w:color w:val="000000"/>
          <w:lang w:bidi="ar"/>
        </w:rPr>
        <w:t xml:space="preserve">CT, computed tomography; CACS, coronary artery calcium score; ROC, receiver operating characteristic; AUC, area under the curve; CACS category was classified by </w:t>
      </w:r>
      <w:r>
        <w:rPr>
          <w:rFonts w:ascii="Times New Roman" w:hAnsi="Times New Roman"/>
        </w:rPr>
        <w:t>CAD-RADS (Coronary Artery Disease Reporting and Da</w:t>
      </w:r>
      <w:r>
        <w:rPr>
          <w:rFonts w:hint="eastAsia" w:ascii="Times New Roman" w:hAnsi="Times New Roman"/>
          <w:lang w:eastAsia="zh-Hans"/>
        </w:rPr>
        <w:t>t</w:t>
      </w:r>
      <w:r>
        <w:rPr>
          <w:rFonts w:ascii="Times New Roman" w:hAnsi="Times New Roman"/>
        </w:rPr>
        <w:t>a System) 2.0.</w:t>
      </w:r>
    </w:p>
    <w:sectPr>
      <w:pgSz w:w="11906" w:h="16838"/>
      <w:pgMar w:top="1440" w:right="1800" w:bottom="1440" w:left="1800" w:header="851" w:footer="992" w:gutter="0"/>
      <w:lnNumType w:countBy="1" w:restart="continuous"/>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Helvetica">
    <w:panose1 w:val="00000000000000000000"/>
    <w:charset w:val="00"/>
    <w:family w:val="auto"/>
    <w:pitch w:val="default"/>
    <w:sig w:usb0="E00002FF" w:usb1="5000785B" w:usb2="00000000" w:usb3="00000000" w:csb0="2000019F" w:csb1="4F010000"/>
  </w:font>
  <w:font w:name="Times New Roman Regular">
    <w:panose1 w:val="02020503050405090304"/>
    <w:charset w:val="00"/>
    <w:family w:val="auto"/>
    <w:pitch w:val="default"/>
    <w:sig w:usb0="E0000AFF" w:usb1="00007843" w:usb2="00000001" w:usb3="00000000" w:csb0="400001BF" w:csb1="DFF70000"/>
  </w:font>
  <w:font w:name="Arial">
    <w:panose1 w:val="020B0604020202090204"/>
    <w:charset w:val="00"/>
    <w:family w:val="swiss"/>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Symbol">
    <w:altName w:val="Kingsoft Sign"/>
    <w:panose1 w:val="05050102010706020507"/>
    <w:charset w:val="02"/>
    <w:family w:val="decorative"/>
    <w:pitch w:val="default"/>
    <w:sig w:usb0="00000000" w:usb1="00000000" w:usb2="00000000" w:usb3="00000000" w:csb0="80000001" w:csb1="00000000"/>
  </w:font>
  <w:font w:name="Times New Roman Bold">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Calibri Light">
    <w:altName w:val="Helvetica Neue"/>
    <w:panose1 w:val="020F0302020204030204"/>
    <w:charset w:val="00"/>
    <w:family w:val="swiss"/>
    <w:pitch w:val="default"/>
    <w:sig w:usb0="00000000" w:usb1="00000000" w:usb2="00000009" w:usb3="00000000" w:csb0="000001FF" w:csb1="00000000"/>
  </w:font>
  <w:font w:name="Kingsoft Sign">
    <w:panose1 w:val="05050102010706020507"/>
    <w:charset w:val="00"/>
    <w:family w:val="auto"/>
    <w:pitch w:val="default"/>
    <w:sig w:usb0="00000000" w:usb1="10000000" w:usb2="00000000" w:usb3="00000000" w:csb0="00000001" w:csb1="00000000"/>
  </w:font>
  <w:font w:name="Songti SC Regular">
    <w:panose1 w:val="02010800040101010101"/>
    <w:charset w:val="86"/>
    <w:family w:val="auto"/>
    <w:pitch w:val="default"/>
    <w:sig w:usb0="00000001" w:usb1="080F0000" w:usb2="00000000" w:usb3="00000000" w:csb0="00040000" w:csb1="00000000"/>
  </w:font>
  <w:font w:name="times">
    <w:altName w:val="苹方-简"/>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xZTYzNjczODllMWUxYjU1MDhiZmUxYTQ0OWRjNzEifQ=="/>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fzesrssdpaszezat6patayx9stz29v9fpt&quot;&gt;My EndNote Library&lt;record-ids&gt;&lt;item&gt;1&lt;/item&gt;&lt;item&gt;2&lt;/item&gt;&lt;item&gt;4&lt;/item&gt;&lt;item&gt;11&lt;/item&gt;&lt;item&gt;16&lt;/item&gt;&lt;item&gt;39&lt;/item&gt;&lt;item&gt;40&lt;/item&gt;&lt;item&gt;54&lt;/item&gt;&lt;item&gt;63&lt;/item&gt;&lt;item&gt;65&lt;/item&gt;&lt;item&gt;67&lt;/item&gt;&lt;item&gt;68&lt;/item&gt;&lt;item&gt;69&lt;/item&gt;&lt;item&gt;70&lt;/item&gt;&lt;item&gt;106&lt;/item&gt;&lt;item&gt;107&lt;/item&gt;&lt;item&gt;108&lt;/item&gt;&lt;item&gt;110&lt;/item&gt;&lt;item&gt;111&lt;/item&gt;&lt;item&gt;112&lt;/item&gt;&lt;item&gt;113&lt;/item&gt;&lt;item&gt;114&lt;/item&gt;&lt;item&gt;115&lt;/item&gt;&lt;item&gt;116&lt;/item&gt;&lt;item&gt;132&lt;/item&gt;&lt;item&gt;133&lt;/item&gt;&lt;item&gt;134&lt;/item&gt;&lt;item&gt;135&lt;/item&gt;&lt;item&gt;171&lt;/item&gt;&lt;item&gt;173&lt;/item&gt;&lt;item&gt;174&lt;/item&gt;&lt;item&gt;175&lt;/item&gt;&lt;item&gt;176&lt;/item&gt;&lt;item&gt;177&lt;/item&gt;&lt;item&gt;178&lt;/item&gt;&lt;item&gt;179&lt;/item&gt;&lt;item&gt;180&lt;/item&gt;&lt;item&gt;181&lt;/item&gt;&lt;item&gt;182&lt;/item&gt;&lt;/record-ids&gt;&lt;/item&gt;&lt;/Libraries&gt;"/>
  </w:docVars>
  <w:rsids>
    <w:rsidRoot w:val="00561CD6"/>
    <w:rsid w:val="00000CB8"/>
    <w:rsid w:val="00000F29"/>
    <w:rsid w:val="00001826"/>
    <w:rsid w:val="0000190E"/>
    <w:rsid w:val="00001E55"/>
    <w:rsid w:val="000022F6"/>
    <w:rsid w:val="00003E3F"/>
    <w:rsid w:val="0000499B"/>
    <w:rsid w:val="0000568C"/>
    <w:rsid w:val="00005BF8"/>
    <w:rsid w:val="00006202"/>
    <w:rsid w:val="0000683D"/>
    <w:rsid w:val="00011B23"/>
    <w:rsid w:val="00011B7A"/>
    <w:rsid w:val="000123AC"/>
    <w:rsid w:val="00013B0B"/>
    <w:rsid w:val="00013F33"/>
    <w:rsid w:val="00014B9A"/>
    <w:rsid w:val="00014BBD"/>
    <w:rsid w:val="000177A9"/>
    <w:rsid w:val="00017B20"/>
    <w:rsid w:val="000209C8"/>
    <w:rsid w:val="00021F1E"/>
    <w:rsid w:val="000221A9"/>
    <w:rsid w:val="000229AE"/>
    <w:rsid w:val="00022C52"/>
    <w:rsid w:val="000236E8"/>
    <w:rsid w:val="000239D6"/>
    <w:rsid w:val="00024A79"/>
    <w:rsid w:val="000251D3"/>
    <w:rsid w:val="00030742"/>
    <w:rsid w:val="000310AF"/>
    <w:rsid w:val="0003120B"/>
    <w:rsid w:val="00033418"/>
    <w:rsid w:val="00035898"/>
    <w:rsid w:val="00036E18"/>
    <w:rsid w:val="00037305"/>
    <w:rsid w:val="000403B2"/>
    <w:rsid w:val="0004040D"/>
    <w:rsid w:val="0004101E"/>
    <w:rsid w:val="00042789"/>
    <w:rsid w:val="00044F21"/>
    <w:rsid w:val="000465DD"/>
    <w:rsid w:val="00046D4D"/>
    <w:rsid w:val="00047D31"/>
    <w:rsid w:val="0005035B"/>
    <w:rsid w:val="00050391"/>
    <w:rsid w:val="00051857"/>
    <w:rsid w:val="00051C18"/>
    <w:rsid w:val="000526E4"/>
    <w:rsid w:val="000540FA"/>
    <w:rsid w:val="00054BCB"/>
    <w:rsid w:val="00054E1F"/>
    <w:rsid w:val="00055C8B"/>
    <w:rsid w:val="000565E0"/>
    <w:rsid w:val="00056C6C"/>
    <w:rsid w:val="00057D4F"/>
    <w:rsid w:val="000606E4"/>
    <w:rsid w:val="00060933"/>
    <w:rsid w:val="00060A15"/>
    <w:rsid w:val="00060DFD"/>
    <w:rsid w:val="000612CA"/>
    <w:rsid w:val="0006147F"/>
    <w:rsid w:val="00062694"/>
    <w:rsid w:val="0006384B"/>
    <w:rsid w:val="00065E98"/>
    <w:rsid w:val="000660C8"/>
    <w:rsid w:val="000663E1"/>
    <w:rsid w:val="000679D0"/>
    <w:rsid w:val="00067C5A"/>
    <w:rsid w:val="00072F3D"/>
    <w:rsid w:val="00073197"/>
    <w:rsid w:val="000732E3"/>
    <w:rsid w:val="000745B6"/>
    <w:rsid w:val="00074DDC"/>
    <w:rsid w:val="0007598E"/>
    <w:rsid w:val="000759F0"/>
    <w:rsid w:val="00075B34"/>
    <w:rsid w:val="00075C89"/>
    <w:rsid w:val="00076551"/>
    <w:rsid w:val="0007683C"/>
    <w:rsid w:val="00077141"/>
    <w:rsid w:val="0007795D"/>
    <w:rsid w:val="00077B0F"/>
    <w:rsid w:val="000802ED"/>
    <w:rsid w:val="00080445"/>
    <w:rsid w:val="00081454"/>
    <w:rsid w:val="000821CE"/>
    <w:rsid w:val="000825CF"/>
    <w:rsid w:val="00084165"/>
    <w:rsid w:val="000850F0"/>
    <w:rsid w:val="0008677C"/>
    <w:rsid w:val="000875B7"/>
    <w:rsid w:val="000903B4"/>
    <w:rsid w:val="000905A6"/>
    <w:rsid w:val="00090696"/>
    <w:rsid w:val="0009100F"/>
    <w:rsid w:val="00092BB7"/>
    <w:rsid w:val="0009359B"/>
    <w:rsid w:val="00093DF6"/>
    <w:rsid w:val="000947E6"/>
    <w:rsid w:val="00094B40"/>
    <w:rsid w:val="00095A07"/>
    <w:rsid w:val="00096FB9"/>
    <w:rsid w:val="000970C5"/>
    <w:rsid w:val="000975B2"/>
    <w:rsid w:val="000A0AB4"/>
    <w:rsid w:val="000A121A"/>
    <w:rsid w:val="000A1870"/>
    <w:rsid w:val="000A20DE"/>
    <w:rsid w:val="000A313E"/>
    <w:rsid w:val="000A4015"/>
    <w:rsid w:val="000A41E2"/>
    <w:rsid w:val="000A626C"/>
    <w:rsid w:val="000A6B4D"/>
    <w:rsid w:val="000B1078"/>
    <w:rsid w:val="000B1D1D"/>
    <w:rsid w:val="000B20CD"/>
    <w:rsid w:val="000B3D61"/>
    <w:rsid w:val="000B4E5A"/>
    <w:rsid w:val="000B5065"/>
    <w:rsid w:val="000B6903"/>
    <w:rsid w:val="000B7B88"/>
    <w:rsid w:val="000C045C"/>
    <w:rsid w:val="000C09C3"/>
    <w:rsid w:val="000C108B"/>
    <w:rsid w:val="000C1325"/>
    <w:rsid w:val="000C14FE"/>
    <w:rsid w:val="000C3A53"/>
    <w:rsid w:val="000C625D"/>
    <w:rsid w:val="000C6585"/>
    <w:rsid w:val="000C6B2E"/>
    <w:rsid w:val="000C7B13"/>
    <w:rsid w:val="000D07A9"/>
    <w:rsid w:val="000D0F26"/>
    <w:rsid w:val="000D21C2"/>
    <w:rsid w:val="000D2907"/>
    <w:rsid w:val="000D2D55"/>
    <w:rsid w:val="000D3E55"/>
    <w:rsid w:val="000D436E"/>
    <w:rsid w:val="000D577A"/>
    <w:rsid w:val="000D5A08"/>
    <w:rsid w:val="000D5AC5"/>
    <w:rsid w:val="000D7068"/>
    <w:rsid w:val="000D73F3"/>
    <w:rsid w:val="000E07AB"/>
    <w:rsid w:val="000E0A8C"/>
    <w:rsid w:val="000E0E76"/>
    <w:rsid w:val="000E274A"/>
    <w:rsid w:val="000E3EB7"/>
    <w:rsid w:val="000E503E"/>
    <w:rsid w:val="000E72E6"/>
    <w:rsid w:val="000F0425"/>
    <w:rsid w:val="000F0B51"/>
    <w:rsid w:val="000F1F1B"/>
    <w:rsid w:val="000F2025"/>
    <w:rsid w:val="000F21B4"/>
    <w:rsid w:val="000F411C"/>
    <w:rsid w:val="000F5C24"/>
    <w:rsid w:val="000F5C43"/>
    <w:rsid w:val="000F7093"/>
    <w:rsid w:val="00101FBA"/>
    <w:rsid w:val="001053E1"/>
    <w:rsid w:val="0010682D"/>
    <w:rsid w:val="00107C52"/>
    <w:rsid w:val="001150D7"/>
    <w:rsid w:val="00115B41"/>
    <w:rsid w:val="00115D62"/>
    <w:rsid w:val="0011677A"/>
    <w:rsid w:val="00117B51"/>
    <w:rsid w:val="001218FE"/>
    <w:rsid w:val="0012279C"/>
    <w:rsid w:val="00124882"/>
    <w:rsid w:val="001249CB"/>
    <w:rsid w:val="00126239"/>
    <w:rsid w:val="00126E11"/>
    <w:rsid w:val="00130B6D"/>
    <w:rsid w:val="00130EEF"/>
    <w:rsid w:val="001314BD"/>
    <w:rsid w:val="00131B60"/>
    <w:rsid w:val="00133670"/>
    <w:rsid w:val="0013376D"/>
    <w:rsid w:val="00134860"/>
    <w:rsid w:val="00136036"/>
    <w:rsid w:val="00136793"/>
    <w:rsid w:val="00136B90"/>
    <w:rsid w:val="001401EB"/>
    <w:rsid w:val="001419DA"/>
    <w:rsid w:val="001435D6"/>
    <w:rsid w:val="001452EF"/>
    <w:rsid w:val="001471D9"/>
    <w:rsid w:val="0014795D"/>
    <w:rsid w:val="001501AE"/>
    <w:rsid w:val="00150803"/>
    <w:rsid w:val="00150F71"/>
    <w:rsid w:val="0015417C"/>
    <w:rsid w:val="001608C4"/>
    <w:rsid w:val="001614E5"/>
    <w:rsid w:val="0016170D"/>
    <w:rsid w:val="00161821"/>
    <w:rsid w:val="00161A22"/>
    <w:rsid w:val="001622B1"/>
    <w:rsid w:val="001627F4"/>
    <w:rsid w:val="00163AB0"/>
    <w:rsid w:val="0016525A"/>
    <w:rsid w:val="00165ED7"/>
    <w:rsid w:val="0016657F"/>
    <w:rsid w:val="00166655"/>
    <w:rsid w:val="0017000E"/>
    <w:rsid w:val="00170B38"/>
    <w:rsid w:val="0017100F"/>
    <w:rsid w:val="001713A9"/>
    <w:rsid w:val="00172494"/>
    <w:rsid w:val="00172C0B"/>
    <w:rsid w:val="00172E84"/>
    <w:rsid w:val="00173E28"/>
    <w:rsid w:val="00177372"/>
    <w:rsid w:val="00177816"/>
    <w:rsid w:val="00180A36"/>
    <w:rsid w:val="00181479"/>
    <w:rsid w:val="00181644"/>
    <w:rsid w:val="0018164A"/>
    <w:rsid w:val="00182304"/>
    <w:rsid w:val="00182785"/>
    <w:rsid w:val="001845D7"/>
    <w:rsid w:val="001847F3"/>
    <w:rsid w:val="0018504D"/>
    <w:rsid w:val="001851F6"/>
    <w:rsid w:val="00185686"/>
    <w:rsid w:val="00186CC9"/>
    <w:rsid w:val="00187776"/>
    <w:rsid w:val="001915CA"/>
    <w:rsid w:val="00191977"/>
    <w:rsid w:val="00191FFA"/>
    <w:rsid w:val="00192E10"/>
    <w:rsid w:val="001931B1"/>
    <w:rsid w:val="0019358B"/>
    <w:rsid w:val="00193FBA"/>
    <w:rsid w:val="001953EB"/>
    <w:rsid w:val="00195BE1"/>
    <w:rsid w:val="00197502"/>
    <w:rsid w:val="001A0C7D"/>
    <w:rsid w:val="001A2B55"/>
    <w:rsid w:val="001A2E11"/>
    <w:rsid w:val="001A3AD1"/>
    <w:rsid w:val="001A6929"/>
    <w:rsid w:val="001A74B7"/>
    <w:rsid w:val="001B0275"/>
    <w:rsid w:val="001B0FEC"/>
    <w:rsid w:val="001B1307"/>
    <w:rsid w:val="001B225D"/>
    <w:rsid w:val="001B2286"/>
    <w:rsid w:val="001B373A"/>
    <w:rsid w:val="001B4033"/>
    <w:rsid w:val="001B6182"/>
    <w:rsid w:val="001B6B2E"/>
    <w:rsid w:val="001B6B3A"/>
    <w:rsid w:val="001C1143"/>
    <w:rsid w:val="001C1519"/>
    <w:rsid w:val="001C205C"/>
    <w:rsid w:val="001C2274"/>
    <w:rsid w:val="001C38F5"/>
    <w:rsid w:val="001C3C05"/>
    <w:rsid w:val="001C4C68"/>
    <w:rsid w:val="001C4FDB"/>
    <w:rsid w:val="001C504A"/>
    <w:rsid w:val="001C5B8A"/>
    <w:rsid w:val="001C6A4A"/>
    <w:rsid w:val="001C73A4"/>
    <w:rsid w:val="001D35F5"/>
    <w:rsid w:val="001D3C04"/>
    <w:rsid w:val="001D521B"/>
    <w:rsid w:val="001D5610"/>
    <w:rsid w:val="001D5D5A"/>
    <w:rsid w:val="001D6A01"/>
    <w:rsid w:val="001E0C4A"/>
    <w:rsid w:val="001E141D"/>
    <w:rsid w:val="001E46F3"/>
    <w:rsid w:val="001E4C0E"/>
    <w:rsid w:val="001E4F3E"/>
    <w:rsid w:val="001E7C9E"/>
    <w:rsid w:val="001F2B54"/>
    <w:rsid w:val="001F2EFA"/>
    <w:rsid w:val="001F4E3A"/>
    <w:rsid w:val="001F4EB3"/>
    <w:rsid w:val="001F4F4E"/>
    <w:rsid w:val="001F6286"/>
    <w:rsid w:val="001F664D"/>
    <w:rsid w:val="001F768C"/>
    <w:rsid w:val="002007B9"/>
    <w:rsid w:val="00200954"/>
    <w:rsid w:val="00200E48"/>
    <w:rsid w:val="00201693"/>
    <w:rsid w:val="00202313"/>
    <w:rsid w:val="0020267D"/>
    <w:rsid w:val="00203524"/>
    <w:rsid w:val="00204397"/>
    <w:rsid w:val="00205E49"/>
    <w:rsid w:val="002061AB"/>
    <w:rsid w:val="0020661E"/>
    <w:rsid w:val="00206631"/>
    <w:rsid w:val="00210219"/>
    <w:rsid w:val="00210AF3"/>
    <w:rsid w:val="002113D7"/>
    <w:rsid w:val="00212C78"/>
    <w:rsid w:val="00212FE9"/>
    <w:rsid w:val="002139C1"/>
    <w:rsid w:val="002144DB"/>
    <w:rsid w:val="00215488"/>
    <w:rsid w:val="00216E5B"/>
    <w:rsid w:val="0021748A"/>
    <w:rsid w:val="002203F3"/>
    <w:rsid w:val="002212E1"/>
    <w:rsid w:val="00222AE4"/>
    <w:rsid w:val="00223DF5"/>
    <w:rsid w:val="002246F2"/>
    <w:rsid w:val="00225E8E"/>
    <w:rsid w:val="0022600B"/>
    <w:rsid w:val="00226732"/>
    <w:rsid w:val="002309DE"/>
    <w:rsid w:val="00231BC6"/>
    <w:rsid w:val="002321F7"/>
    <w:rsid w:val="002324A6"/>
    <w:rsid w:val="00233A4B"/>
    <w:rsid w:val="00234750"/>
    <w:rsid w:val="002373AA"/>
    <w:rsid w:val="0024033B"/>
    <w:rsid w:val="00240619"/>
    <w:rsid w:val="0024275C"/>
    <w:rsid w:val="002435E8"/>
    <w:rsid w:val="00244DFE"/>
    <w:rsid w:val="00245388"/>
    <w:rsid w:val="00245D37"/>
    <w:rsid w:val="00246668"/>
    <w:rsid w:val="002469B8"/>
    <w:rsid w:val="0025270A"/>
    <w:rsid w:val="00252CEB"/>
    <w:rsid w:val="00253647"/>
    <w:rsid w:val="00254AF0"/>
    <w:rsid w:val="00255CE9"/>
    <w:rsid w:val="0025625D"/>
    <w:rsid w:val="0025669D"/>
    <w:rsid w:val="00256BC7"/>
    <w:rsid w:val="00256BDA"/>
    <w:rsid w:val="002606BD"/>
    <w:rsid w:val="00260AE9"/>
    <w:rsid w:val="00260D00"/>
    <w:rsid w:val="00262082"/>
    <w:rsid w:val="002621F2"/>
    <w:rsid w:val="0026267D"/>
    <w:rsid w:val="00264054"/>
    <w:rsid w:val="00264D48"/>
    <w:rsid w:val="0026629E"/>
    <w:rsid w:val="00266BDF"/>
    <w:rsid w:val="00266D57"/>
    <w:rsid w:val="0026746D"/>
    <w:rsid w:val="00267BAD"/>
    <w:rsid w:val="00273777"/>
    <w:rsid w:val="00273D7E"/>
    <w:rsid w:val="00275C09"/>
    <w:rsid w:val="00276010"/>
    <w:rsid w:val="00276109"/>
    <w:rsid w:val="00276486"/>
    <w:rsid w:val="00276A63"/>
    <w:rsid w:val="00276DB7"/>
    <w:rsid w:val="00276E5C"/>
    <w:rsid w:val="002771C3"/>
    <w:rsid w:val="00277732"/>
    <w:rsid w:val="002808BD"/>
    <w:rsid w:val="0028090C"/>
    <w:rsid w:val="0028144B"/>
    <w:rsid w:val="0028406A"/>
    <w:rsid w:val="002843FF"/>
    <w:rsid w:val="00284C46"/>
    <w:rsid w:val="00286F43"/>
    <w:rsid w:val="002873DD"/>
    <w:rsid w:val="00287AB8"/>
    <w:rsid w:val="00290C8F"/>
    <w:rsid w:val="002917F1"/>
    <w:rsid w:val="00292375"/>
    <w:rsid w:val="00294257"/>
    <w:rsid w:val="0029468E"/>
    <w:rsid w:val="00294B1C"/>
    <w:rsid w:val="00294E3F"/>
    <w:rsid w:val="0029530F"/>
    <w:rsid w:val="00295851"/>
    <w:rsid w:val="00296C9F"/>
    <w:rsid w:val="0029754F"/>
    <w:rsid w:val="002A2498"/>
    <w:rsid w:val="002A3357"/>
    <w:rsid w:val="002A3937"/>
    <w:rsid w:val="002A45C2"/>
    <w:rsid w:val="002A567C"/>
    <w:rsid w:val="002A66C3"/>
    <w:rsid w:val="002A68A7"/>
    <w:rsid w:val="002A7F98"/>
    <w:rsid w:val="002B082F"/>
    <w:rsid w:val="002B0F5C"/>
    <w:rsid w:val="002B1D57"/>
    <w:rsid w:val="002B32E6"/>
    <w:rsid w:val="002B3318"/>
    <w:rsid w:val="002B5FDB"/>
    <w:rsid w:val="002B684C"/>
    <w:rsid w:val="002B6978"/>
    <w:rsid w:val="002C039D"/>
    <w:rsid w:val="002C0565"/>
    <w:rsid w:val="002C230A"/>
    <w:rsid w:val="002C3A5F"/>
    <w:rsid w:val="002C3DEF"/>
    <w:rsid w:val="002C44DF"/>
    <w:rsid w:val="002C5953"/>
    <w:rsid w:val="002D016D"/>
    <w:rsid w:val="002D1827"/>
    <w:rsid w:val="002D2209"/>
    <w:rsid w:val="002D24B4"/>
    <w:rsid w:val="002D2866"/>
    <w:rsid w:val="002D3EF3"/>
    <w:rsid w:val="002D435F"/>
    <w:rsid w:val="002D58FE"/>
    <w:rsid w:val="002D6B67"/>
    <w:rsid w:val="002D70DB"/>
    <w:rsid w:val="002E0A18"/>
    <w:rsid w:val="002E4327"/>
    <w:rsid w:val="002E4AC6"/>
    <w:rsid w:val="002E546B"/>
    <w:rsid w:val="002E5A38"/>
    <w:rsid w:val="002E723E"/>
    <w:rsid w:val="002F1348"/>
    <w:rsid w:val="002F17E2"/>
    <w:rsid w:val="002F42D3"/>
    <w:rsid w:val="002F5B97"/>
    <w:rsid w:val="002F7255"/>
    <w:rsid w:val="002F7559"/>
    <w:rsid w:val="002F7EF9"/>
    <w:rsid w:val="00300D4E"/>
    <w:rsid w:val="003020FB"/>
    <w:rsid w:val="003023ED"/>
    <w:rsid w:val="00302C46"/>
    <w:rsid w:val="0030661F"/>
    <w:rsid w:val="0030683F"/>
    <w:rsid w:val="00306F35"/>
    <w:rsid w:val="003071CB"/>
    <w:rsid w:val="00310229"/>
    <w:rsid w:val="003105DF"/>
    <w:rsid w:val="003111CF"/>
    <w:rsid w:val="00311A0A"/>
    <w:rsid w:val="003130FD"/>
    <w:rsid w:val="003141EE"/>
    <w:rsid w:val="00314363"/>
    <w:rsid w:val="0031520B"/>
    <w:rsid w:val="003163CF"/>
    <w:rsid w:val="00316677"/>
    <w:rsid w:val="003174D8"/>
    <w:rsid w:val="00321B3A"/>
    <w:rsid w:val="003229DF"/>
    <w:rsid w:val="0032300E"/>
    <w:rsid w:val="00323D87"/>
    <w:rsid w:val="003247E5"/>
    <w:rsid w:val="003258A0"/>
    <w:rsid w:val="00325CDF"/>
    <w:rsid w:val="00326360"/>
    <w:rsid w:val="00326D84"/>
    <w:rsid w:val="00327691"/>
    <w:rsid w:val="00327F18"/>
    <w:rsid w:val="00330262"/>
    <w:rsid w:val="00330FD8"/>
    <w:rsid w:val="00332502"/>
    <w:rsid w:val="0033387D"/>
    <w:rsid w:val="00333B9F"/>
    <w:rsid w:val="0033409C"/>
    <w:rsid w:val="00336662"/>
    <w:rsid w:val="003424BD"/>
    <w:rsid w:val="00342C44"/>
    <w:rsid w:val="0034379C"/>
    <w:rsid w:val="0034383A"/>
    <w:rsid w:val="00343F40"/>
    <w:rsid w:val="0034535A"/>
    <w:rsid w:val="00345767"/>
    <w:rsid w:val="0034716B"/>
    <w:rsid w:val="00347B8C"/>
    <w:rsid w:val="00350057"/>
    <w:rsid w:val="00351368"/>
    <w:rsid w:val="003519E3"/>
    <w:rsid w:val="003523E3"/>
    <w:rsid w:val="00352428"/>
    <w:rsid w:val="00352928"/>
    <w:rsid w:val="00352F75"/>
    <w:rsid w:val="003538E8"/>
    <w:rsid w:val="00355009"/>
    <w:rsid w:val="0035713D"/>
    <w:rsid w:val="00360114"/>
    <w:rsid w:val="00360742"/>
    <w:rsid w:val="0036091B"/>
    <w:rsid w:val="00361384"/>
    <w:rsid w:val="00361FE0"/>
    <w:rsid w:val="003625BD"/>
    <w:rsid w:val="00362F4B"/>
    <w:rsid w:val="00363432"/>
    <w:rsid w:val="00364C72"/>
    <w:rsid w:val="00365938"/>
    <w:rsid w:val="00365A34"/>
    <w:rsid w:val="003661EF"/>
    <w:rsid w:val="00366EB9"/>
    <w:rsid w:val="00370617"/>
    <w:rsid w:val="0037177A"/>
    <w:rsid w:val="0037207A"/>
    <w:rsid w:val="0037266F"/>
    <w:rsid w:val="0037371F"/>
    <w:rsid w:val="003738EA"/>
    <w:rsid w:val="00373DC4"/>
    <w:rsid w:val="00373EA5"/>
    <w:rsid w:val="00374032"/>
    <w:rsid w:val="003743B1"/>
    <w:rsid w:val="003745A4"/>
    <w:rsid w:val="00374630"/>
    <w:rsid w:val="00375F7F"/>
    <w:rsid w:val="00376447"/>
    <w:rsid w:val="00377BC8"/>
    <w:rsid w:val="00377FB2"/>
    <w:rsid w:val="00380494"/>
    <w:rsid w:val="003804A8"/>
    <w:rsid w:val="003829D5"/>
    <w:rsid w:val="00382BFC"/>
    <w:rsid w:val="00382C1E"/>
    <w:rsid w:val="00383EDF"/>
    <w:rsid w:val="00385756"/>
    <w:rsid w:val="003857C3"/>
    <w:rsid w:val="003874E9"/>
    <w:rsid w:val="003879F0"/>
    <w:rsid w:val="00390796"/>
    <w:rsid w:val="0039198C"/>
    <w:rsid w:val="00396841"/>
    <w:rsid w:val="003979CB"/>
    <w:rsid w:val="003A0A3E"/>
    <w:rsid w:val="003A0BF7"/>
    <w:rsid w:val="003A1680"/>
    <w:rsid w:val="003A1B33"/>
    <w:rsid w:val="003A2D8D"/>
    <w:rsid w:val="003A3235"/>
    <w:rsid w:val="003A4F00"/>
    <w:rsid w:val="003A4FD8"/>
    <w:rsid w:val="003A6032"/>
    <w:rsid w:val="003A6BBA"/>
    <w:rsid w:val="003B00E1"/>
    <w:rsid w:val="003B0B46"/>
    <w:rsid w:val="003B1CD9"/>
    <w:rsid w:val="003B1D99"/>
    <w:rsid w:val="003B2004"/>
    <w:rsid w:val="003B21DD"/>
    <w:rsid w:val="003B27A9"/>
    <w:rsid w:val="003B2ECF"/>
    <w:rsid w:val="003B3145"/>
    <w:rsid w:val="003B39E1"/>
    <w:rsid w:val="003B448E"/>
    <w:rsid w:val="003B4D51"/>
    <w:rsid w:val="003B6646"/>
    <w:rsid w:val="003C1010"/>
    <w:rsid w:val="003C17B1"/>
    <w:rsid w:val="003C2C50"/>
    <w:rsid w:val="003C34A3"/>
    <w:rsid w:val="003C36D1"/>
    <w:rsid w:val="003C422B"/>
    <w:rsid w:val="003C432E"/>
    <w:rsid w:val="003C4E30"/>
    <w:rsid w:val="003C564D"/>
    <w:rsid w:val="003C5E24"/>
    <w:rsid w:val="003C64A7"/>
    <w:rsid w:val="003C6794"/>
    <w:rsid w:val="003D017A"/>
    <w:rsid w:val="003D1B9A"/>
    <w:rsid w:val="003D24AA"/>
    <w:rsid w:val="003D28B0"/>
    <w:rsid w:val="003D2A57"/>
    <w:rsid w:val="003D410B"/>
    <w:rsid w:val="003D49D8"/>
    <w:rsid w:val="003D50B6"/>
    <w:rsid w:val="003D5A82"/>
    <w:rsid w:val="003D5A8D"/>
    <w:rsid w:val="003E23BB"/>
    <w:rsid w:val="003E2B6F"/>
    <w:rsid w:val="003E4CF6"/>
    <w:rsid w:val="003E5C65"/>
    <w:rsid w:val="003E67A6"/>
    <w:rsid w:val="003E7A95"/>
    <w:rsid w:val="003F03BF"/>
    <w:rsid w:val="003F1AC4"/>
    <w:rsid w:val="003F2461"/>
    <w:rsid w:val="003F2708"/>
    <w:rsid w:val="003F4822"/>
    <w:rsid w:val="003F75E2"/>
    <w:rsid w:val="003F7B2B"/>
    <w:rsid w:val="004000A5"/>
    <w:rsid w:val="0040039B"/>
    <w:rsid w:val="00400D04"/>
    <w:rsid w:val="004019E3"/>
    <w:rsid w:val="00402207"/>
    <w:rsid w:val="00405CA4"/>
    <w:rsid w:val="00406556"/>
    <w:rsid w:val="004067DD"/>
    <w:rsid w:val="00407075"/>
    <w:rsid w:val="00407238"/>
    <w:rsid w:val="00407880"/>
    <w:rsid w:val="00410205"/>
    <w:rsid w:val="00412205"/>
    <w:rsid w:val="00413702"/>
    <w:rsid w:val="00414928"/>
    <w:rsid w:val="004157D1"/>
    <w:rsid w:val="0041795D"/>
    <w:rsid w:val="00420062"/>
    <w:rsid w:val="00420CD4"/>
    <w:rsid w:val="0042207F"/>
    <w:rsid w:val="004220E7"/>
    <w:rsid w:val="00422478"/>
    <w:rsid w:val="00425F8E"/>
    <w:rsid w:val="004265EC"/>
    <w:rsid w:val="00426634"/>
    <w:rsid w:val="004269C7"/>
    <w:rsid w:val="00426AC5"/>
    <w:rsid w:val="00427D50"/>
    <w:rsid w:val="00430D72"/>
    <w:rsid w:val="00431055"/>
    <w:rsid w:val="004330FF"/>
    <w:rsid w:val="0043340B"/>
    <w:rsid w:val="00433459"/>
    <w:rsid w:val="004337A0"/>
    <w:rsid w:val="004353AD"/>
    <w:rsid w:val="0043597F"/>
    <w:rsid w:val="0044063C"/>
    <w:rsid w:val="00440E24"/>
    <w:rsid w:val="004424AF"/>
    <w:rsid w:val="00442629"/>
    <w:rsid w:val="00442C42"/>
    <w:rsid w:val="0044328D"/>
    <w:rsid w:val="0044339C"/>
    <w:rsid w:val="004447A9"/>
    <w:rsid w:val="0044584B"/>
    <w:rsid w:val="00445ED9"/>
    <w:rsid w:val="004461FA"/>
    <w:rsid w:val="00446908"/>
    <w:rsid w:val="00447ACA"/>
    <w:rsid w:val="00447D64"/>
    <w:rsid w:val="004504A0"/>
    <w:rsid w:val="00450C76"/>
    <w:rsid w:val="00451BDF"/>
    <w:rsid w:val="0045248A"/>
    <w:rsid w:val="00452FC0"/>
    <w:rsid w:val="0045313B"/>
    <w:rsid w:val="00453E0A"/>
    <w:rsid w:val="00454A81"/>
    <w:rsid w:val="00454AD4"/>
    <w:rsid w:val="00455A63"/>
    <w:rsid w:val="00456F76"/>
    <w:rsid w:val="00457318"/>
    <w:rsid w:val="00457C0F"/>
    <w:rsid w:val="00457D73"/>
    <w:rsid w:val="00461608"/>
    <w:rsid w:val="00461DB5"/>
    <w:rsid w:val="00461F25"/>
    <w:rsid w:val="00462A8E"/>
    <w:rsid w:val="00462FC6"/>
    <w:rsid w:val="004636AE"/>
    <w:rsid w:val="004638BE"/>
    <w:rsid w:val="004644FE"/>
    <w:rsid w:val="004663BE"/>
    <w:rsid w:val="004674CC"/>
    <w:rsid w:val="00473D8A"/>
    <w:rsid w:val="004740C4"/>
    <w:rsid w:val="004742A8"/>
    <w:rsid w:val="0047468A"/>
    <w:rsid w:val="00474C9F"/>
    <w:rsid w:val="0047689C"/>
    <w:rsid w:val="0047731F"/>
    <w:rsid w:val="004808B1"/>
    <w:rsid w:val="00480F54"/>
    <w:rsid w:val="00480F8F"/>
    <w:rsid w:val="00481D98"/>
    <w:rsid w:val="004832CB"/>
    <w:rsid w:val="004849B4"/>
    <w:rsid w:val="00484E35"/>
    <w:rsid w:val="00484F0A"/>
    <w:rsid w:val="004857F9"/>
    <w:rsid w:val="00486482"/>
    <w:rsid w:val="004867F1"/>
    <w:rsid w:val="00490268"/>
    <w:rsid w:val="00491655"/>
    <w:rsid w:val="00494063"/>
    <w:rsid w:val="00494DAF"/>
    <w:rsid w:val="004964D9"/>
    <w:rsid w:val="0049693F"/>
    <w:rsid w:val="0049731F"/>
    <w:rsid w:val="004A1A6A"/>
    <w:rsid w:val="004A5839"/>
    <w:rsid w:val="004A58C8"/>
    <w:rsid w:val="004A5BDC"/>
    <w:rsid w:val="004A5EA7"/>
    <w:rsid w:val="004A7911"/>
    <w:rsid w:val="004B047A"/>
    <w:rsid w:val="004B1B59"/>
    <w:rsid w:val="004B217A"/>
    <w:rsid w:val="004B26A2"/>
    <w:rsid w:val="004B2766"/>
    <w:rsid w:val="004B2C32"/>
    <w:rsid w:val="004B2E30"/>
    <w:rsid w:val="004B32E0"/>
    <w:rsid w:val="004B51A6"/>
    <w:rsid w:val="004B5CCA"/>
    <w:rsid w:val="004B5E72"/>
    <w:rsid w:val="004B66CE"/>
    <w:rsid w:val="004B6ACE"/>
    <w:rsid w:val="004B74DB"/>
    <w:rsid w:val="004C02A6"/>
    <w:rsid w:val="004C11BC"/>
    <w:rsid w:val="004C31A7"/>
    <w:rsid w:val="004C3F6A"/>
    <w:rsid w:val="004C509C"/>
    <w:rsid w:val="004C58C4"/>
    <w:rsid w:val="004C5B54"/>
    <w:rsid w:val="004C6515"/>
    <w:rsid w:val="004C67B2"/>
    <w:rsid w:val="004D06B8"/>
    <w:rsid w:val="004D0E07"/>
    <w:rsid w:val="004D0EF0"/>
    <w:rsid w:val="004D1806"/>
    <w:rsid w:val="004D2848"/>
    <w:rsid w:val="004D3088"/>
    <w:rsid w:val="004D35CF"/>
    <w:rsid w:val="004D38AD"/>
    <w:rsid w:val="004D3EBD"/>
    <w:rsid w:val="004D4149"/>
    <w:rsid w:val="004D4560"/>
    <w:rsid w:val="004D52FA"/>
    <w:rsid w:val="004D5720"/>
    <w:rsid w:val="004D7EA7"/>
    <w:rsid w:val="004D7EAB"/>
    <w:rsid w:val="004E068F"/>
    <w:rsid w:val="004E25C7"/>
    <w:rsid w:val="004E2B1E"/>
    <w:rsid w:val="004E2D50"/>
    <w:rsid w:val="004E318D"/>
    <w:rsid w:val="004E3DAB"/>
    <w:rsid w:val="004E4066"/>
    <w:rsid w:val="004E4145"/>
    <w:rsid w:val="004E42B7"/>
    <w:rsid w:val="004E4654"/>
    <w:rsid w:val="004E596F"/>
    <w:rsid w:val="004E5CE4"/>
    <w:rsid w:val="004E5F25"/>
    <w:rsid w:val="004E6251"/>
    <w:rsid w:val="004E7350"/>
    <w:rsid w:val="004F01B6"/>
    <w:rsid w:val="004F0D58"/>
    <w:rsid w:val="004F2736"/>
    <w:rsid w:val="004F2CF6"/>
    <w:rsid w:val="004F2FCB"/>
    <w:rsid w:val="004F5837"/>
    <w:rsid w:val="004F5FDB"/>
    <w:rsid w:val="004F6735"/>
    <w:rsid w:val="004F6850"/>
    <w:rsid w:val="004F6AAB"/>
    <w:rsid w:val="004F7992"/>
    <w:rsid w:val="004F7CD9"/>
    <w:rsid w:val="004F7EC9"/>
    <w:rsid w:val="00501304"/>
    <w:rsid w:val="00501EF7"/>
    <w:rsid w:val="00502EC5"/>
    <w:rsid w:val="00503274"/>
    <w:rsid w:val="00503FF2"/>
    <w:rsid w:val="00505380"/>
    <w:rsid w:val="00505E64"/>
    <w:rsid w:val="0050603B"/>
    <w:rsid w:val="00506539"/>
    <w:rsid w:val="005068AC"/>
    <w:rsid w:val="005126AE"/>
    <w:rsid w:val="00512DBC"/>
    <w:rsid w:val="0051456F"/>
    <w:rsid w:val="00515FAF"/>
    <w:rsid w:val="00516670"/>
    <w:rsid w:val="00517CF6"/>
    <w:rsid w:val="00520BEE"/>
    <w:rsid w:val="00521BCF"/>
    <w:rsid w:val="0052398D"/>
    <w:rsid w:val="00524A6B"/>
    <w:rsid w:val="00530192"/>
    <w:rsid w:val="00530A43"/>
    <w:rsid w:val="00531438"/>
    <w:rsid w:val="005319A9"/>
    <w:rsid w:val="00531DB3"/>
    <w:rsid w:val="005342A9"/>
    <w:rsid w:val="0053474C"/>
    <w:rsid w:val="00534786"/>
    <w:rsid w:val="00535253"/>
    <w:rsid w:val="00535DD5"/>
    <w:rsid w:val="005371F1"/>
    <w:rsid w:val="005400DF"/>
    <w:rsid w:val="0054056E"/>
    <w:rsid w:val="00540706"/>
    <w:rsid w:val="00540718"/>
    <w:rsid w:val="00541416"/>
    <w:rsid w:val="005418F2"/>
    <w:rsid w:val="00541999"/>
    <w:rsid w:val="00544960"/>
    <w:rsid w:val="00547E1B"/>
    <w:rsid w:val="00547FFB"/>
    <w:rsid w:val="00550B11"/>
    <w:rsid w:val="00550C92"/>
    <w:rsid w:val="00551303"/>
    <w:rsid w:val="0055241E"/>
    <w:rsid w:val="0055245C"/>
    <w:rsid w:val="00552AC3"/>
    <w:rsid w:val="0055349C"/>
    <w:rsid w:val="00553DE5"/>
    <w:rsid w:val="005542F3"/>
    <w:rsid w:val="00556715"/>
    <w:rsid w:val="00557C83"/>
    <w:rsid w:val="00561CD6"/>
    <w:rsid w:val="00564EBD"/>
    <w:rsid w:val="00565845"/>
    <w:rsid w:val="0056608B"/>
    <w:rsid w:val="0056627F"/>
    <w:rsid w:val="0056696C"/>
    <w:rsid w:val="005677B0"/>
    <w:rsid w:val="005701E8"/>
    <w:rsid w:val="005722C9"/>
    <w:rsid w:val="005725C8"/>
    <w:rsid w:val="00573119"/>
    <w:rsid w:val="00573A63"/>
    <w:rsid w:val="0057560A"/>
    <w:rsid w:val="00575826"/>
    <w:rsid w:val="00577197"/>
    <w:rsid w:val="005774A0"/>
    <w:rsid w:val="00577FD5"/>
    <w:rsid w:val="0058005C"/>
    <w:rsid w:val="005801F4"/>
    <w:rsid w:val="005815EA"/>
    <w:rsid w:val="00582158"/>
    <w:rsid w:val="005827A7"/>
    <w:rsid w:val="00584781"/>
    <w:rsid w:val="00586654"/>
    <w:rsid w:val="005874C1"/>
    <w:rsid w:val="00591217"/>
    <w:rsid w:val="00591264"/>
    <w:rsid w:val="00591961"/>
    <w:rsid w:val="00593731"/>
    <w:rsid w:val="005937EB"/>
    <w:rsid w:val="005940C0"/>
    <w:rsid w:val="0059428C"/>
    <w:rsid w:val="005949D0"/>
    <w:rsid w:val="005977A0"/>
    <w:rsid w:val="005979B9"/>
    <w:rsid w:val="005A1857"/>
    <w:rsid w:val="005A198A"/>
    <w:rsid w:val="005A203E"/>
    <w:rsid w:val="005A23F8"/>
    <w:rsid w:val="005A3EE1"/>
    <w:rsid w:val="005A3F14"/>
    <w:rsid w:val="005A545C"/>
    <w:rsid w:val="005A6545"/>
    <w:rsid w:val="005B210E"/>
    <w:rsid w:val="005B378C"/>
    <w:rsid w:val="005B4B02"/>
    <w:rsid w:val="005B508E"/>
    <w:rsid w:val="005B6116"/>
    <w:rsid w:val="005B7109"/>
    <w:rsid w:val="005B78C4"/>
    <w:rsid w:val="005C18A6"/>
    <w:rsid w:val="005C275C"/>
    <w:rsid w:val="005C3A9E"/>
    <w:rsid w:val="005C4656"/>
    <w:rsid w:val="005C5C0A"/>
    <w:rsid w:val="005C5D4C"/>
    <w:rsid w:val="005C60E4"/>
    <w:rsid w:val="005C69B9"/>
    <w:rsid w:val="005C6F26"/>
    <w:rsid w:val="005D2BAC"/>
    <w:rsid w:val="005D3D00"/>
    <w:rsid w:val="005D57D8"/>
    <w:rsid w:val="005D7972"/>
    <w:rsid w:val="005D7E95"/>
    <w:rsid w:val="005E1164"/>
    <w:rsid w:val="005E2732"/>
    <w:rsid w:val="005E3271"/>
    <w:rsid w:val="005E35EC"/>
    <w:rsid w:val="005E4071"/>
    <w:rsid w:val="005E40E1"/>
    <w:rsid w:val="005E482B"/>
    <w:rsid w:val="005E6985"/>
    <w:rsid w:val="005E6CDA"/>
    <w:rsid w:val="005E6EA6"/>
    <w:rsid w:val="005E767F"/>
    <w:rsid w:val="005E7891"/>
    <w:rsid w:val="005F08F8"/>
    <w:rsid w:val="005F0D20"/>
    <w:rsid w:val="005F12BD"/>
    <w:rsid w:val="005F293D"/>
    <w:rsid w:val="005F50AF"/>
    <w:rsid w:val="005F52AB"/>
    <w:rsid w:val="005F5EDB"/>
    <w:rsid w:val="005F6364"/>
    <w:rsid w:val="005F648B"/>
    <w:rsid w:val="005F68FB"/>
    <w:rsid w:val="005F7AE6"/>
    <w:rsid w:val="005F7C7D"/>
    <w:rsid w:val="00600D21"/>
    <w:rsid w:val="00600D8E"/>
    <w:rsid w:val="006018D3"/>
    <w:rsid w:val="00602F88"/>
    <w:rsid w:val="00603C74"/>
    <w:rsid w:val="00603EC1"/>
    <w:rsid w:val="006040C5"/>
    <w:rsid w:val="00604176"/>
    <w:rsid w:val="006045A0"/>
    <w:rsid w:val="00605014"/>
    <w:rsid w:val="00610773"/>
    <w:rsid w:val="006115EF"/>
    <w:rsid w:val="006117A8"/>
    <w:rsid w:val="006119C9"/>
    <w:rsid w:val="00612168"/>
    <w:rsid w:val="006121DE"/>
    <w:rsid w:val="006135BA"/>
    <w:rsid w:val="006137E4"/>
    <w:rsid w:val="00613B55"/>
    <w:rsid w:val="006148A2"/>
    <w:rsid w:val="00616D95"/>
    <w:rsid w:val="00616E51"/>
    <w:rsid w:val="00621B4E"/>
    <w:rsid w:val="0062282E"/>
    <w:rsid w:val="00623C6F"/>
    <w:rsid w:val="0062403B"/>
    <w:rsid w:val="006245C2"/>
    <w:rsid w:val="00624E79"/>
    <w:rsid w:val="00626A9F"/>
    <w:rsid w:val="00626EEB"/>
    <w:rsid w:val="006277A9"/>
    <w:rsid w:val="00633F36"/>
    <w:rsid w:val="006353DB"/>
    <w:rsid w:val="00635897"/>
    <w:rsid w:val="00635C56"/>
    <w:rsid w:val="0063764F"/>
    <w:rsid w:val="00637E5B"/>
    <w:rsid w:val="00640AFA"/>
    <w:rsid w:val="00641663"/>
    <w:rsid w:val="00643957"/>
    <w:rsid w:val="00644175"/>
    <w:rsid w:val="00645025"/>
    <w:rsid w:val="0064567D"/>
    <w:rsid w:val="00645825"/>
    <w:rsid w:val="00645925"/>
    <w:rsid w:val="00646120"/>
    <w:rsid w:val="00646B1C"/>
    <w:rsid w:val="00647011"/>
    <w:rsid w:val="0064753B"/>
    <w:rsid w:val="006500F1"/>
    <w:rsid w:val="00653917"/>
    <w:rsid w:val="00653AA3"/>
    <w:rsid w:val="00653F0B"/>
    <w:rsid w:val="006550A3"/>
    <w:rsid w:val="00655716"/>
    <w:rsid w:val="0066086A"/>
    <w:rsid w:val="00661317"/>
    <w:rsid w:val="00662314"/>
    <w:rsid w:val="00662466"/>
    <w:rsid w:val="00662CF9"/>
    <w:rsid w:val="0066305C"/>
    <w:rsid w:val="006637CA"/>
    <w:rsid w:val="006638BF"/>
    <w:rsid w:val="00664616"/>
    <w:rsid w:val="00664E0D"/>
    <w:rsid w:val="0066589A"/>
    <w:rsid w:val="00665C12"/>
    <w:rsid w:val="00665F5A"/>
    <w:rsid w:val="00666244"/>
    <w:rsid w:val="0066703D"/>
    <w:rsid w:val="006671C9"/>
    <w:rsid w:val="00670973"/>
    <w:rsid w:val="00671998"/>
    <w:rsid w:val="006722DF"/>
    <w:rsid w:val="00672449"/>
    <w:rsid w:val="00673C93"/>
    <w:rsid w:val="00674AB0"/>
    <w:rsid w:val="00674EB5"/>
    <w:rsid w:val="006759EA"/>
    <w:rsid w:val="00676DA1"/>
    <w:rsid w:val="00682D70"/>
    <w:rsid w:val="00683666"/>
    <w:rsid w:val="0068576F"/>
    <w:rsid w:val="00687396"/>
    <w:rsid w:val="006877C3"/>
    <w:rsid w:val="00687811"/>
    <w:rsid w:val="006900B9"/>
    <w:rsid w:val="00690BA4"/>
    <w:rsid w:val="00690D01"/>
    <w:rsid w:val="006924B2"/>
    <w:rsid w:val="0069265D"/>
    <w:rsid w:val="00693393"/>
    <w:rsid w:val="006944CA"/>
    <w:rsid w:val="006969B9"/>
    <w:rsid w:val="00696E4B"/>
    <w:rsid w:val="006A18A4"/>
    <w:rsid w:val="006A2007"/>
    <w:rsid w:val="006A30EA"/>
    <w:rsid w:val="006A65C9"/>
    <w:rsid w:val="006A66AF"/>
    <w:rsid w:val="006B0427"/>
    <w:rsid w:val="006B067A"/>
    <w:rsid w:val="006B0782"/>
    <w:rsid w:val="006B19CF"/>
    <w:rsid w:val="006B36C1"/>
    <w:rsid w:val="006B3726"/>
    <w:rsid w:val="006B38B0"/>
    <w:rsid w:val="006B3E1E"/>
    <w:rsid w:val="006B583E"/>
    <w:rsid w:val="006B5C7B"/>
    <w:rsid w:val="006B7630"/>
    <w:rsid w:val="006C0E88"/>
    <w:rsid w:val="006C190E"/>
    <w:rsid w:val="006C352D"/>
    <w:rsid w:val="006C4A4D"/>
    <w:rsid w:val="006C52A7"/>
    <w:rsid w:val="006C5990"/>
    <w:rsid w:val="006C6A3C"/>
    <w:rsid w:val="006C6C76"/>
    <w:rsid w:val="006D0132"/>
    <w:rsid w:val="006D095E"/>
    <w:rsid w:val="006D2573"/>
    <w:rsid w:val="006D2919"/>
    <w:rsid w:val="006D5466"/>
    <w:rsid w:val="006D60F3"/>
    <w:rsid w:val="006D69F8"/>
    <w:rsid w:val="006D6F9E"/>
    <w:rsid w:val="006D7645"/>
    <w:rsid w:val="006D7B74"/>
    <w:rsid w:val="006E0995"/>
    <w:rsid w:val="006E0A9E"/>
    <w:rsid w:val="006E1264"/>
    <w:rsid w:val="006E1FEA"/>
    <w:rsid w:val="006E224E"/>
    <w:rsid w:val="006E232F"/>
    <w:rsid w:val="006E370A"/>
    <w:rsid w:val="006E39D1"/>
    <w:rsid w:val="006E3A04"/>
    <w:rsid w:val="006E5158"/>
    <w:rsid w:val="006E5767"/>
    <w:rsid w:val="006E613A"/>
    <w:rsid w:val="006E6589"/>
    <w:rsid w:val="006E6C2C"/>
    <w:rsid w:val="006F03FA"/>
    <w:rsid w:val="006F0CB2"/>
    <w:rsid w:val="006F2129"/>
    <w:rsid w:val="006F263A"/>
    <w:rsid w:val="006F4C8C"/>
    <w:rsid w:val="006F58C8"/>
    <w:rsid w:val="006F6313"/>
    <w:rsid w:val="006F631D"/>
    <w:rsid w:val="006F63F8"/>
    <w:rsid w:val="006F7BB7"/>
    <w:rsid w:val="006F7F5E"/>
    <w:rsid w:val="00700CF1"/>
    <w:rsid w:val="007017D1"/>
    <w:rsid w:val="00701D08"/>
    <w:rsid w:val="007037D5"/>
    <w:rsid w:val="00704F39"/>
    <w:rsid w:val="007050B3"/>
    <w:rsid w:val="007056FB"/>
    <w:rsid w:val="00705A78"/>
    <w:rsid w:val="00706598"/>
    <w:rsid w:val="0070670D"/>
    <w:rsid w:val="00706748"/>
    <w:rsid w:val="00706EB7"/>
    <w:rsid w:val="007076C0"/>
    <w:rsid w:val="00707718"/>
    <w:rsid w:val="00707EF4"/>
    <w:rsid w:val="007105E5"/>
    <w:rsid w:val="00710944"/>
    <w:rsid w:val="0071252A"/>
    <w:rsid w:val="0071261A"/>
    <w:rsid w:val="007126CC"/>
    <w:rsid w:val="00712856"/>
    <w:rsid w:val="00712EF6"/>
    <w:rsid w:val="00713F81"/>
    <w:rsid w:val="00715100"/>
    <w:rsid w:val="007164F1"/>
    <w:rsid w:val="0072041C"/>
    <w:rsid w:val="00720628"/>
    <w:rsid w:val="00723235"/>
    <w:rsid w:val="007253FE"/>
    <w:rsid w:val="00730FC6"/>
    <w:rsid w:val="00734F31"/>
    <w:rsid w:val="00735847"/>
    <w:rsid w:val="007362E0"/>
    <w:rsid w:val="007370BD"/>
    <w:rsid w:val="00737771"/>
    <w:rsid w:val="00740486"/>
    <w:rsid w:val="00742B4D"/>
    <w:rsid w:val="00743DE0"/>
    <w:rsid w:val="007454E8"/>
    <w:rsid w:val="00746C0A"/>
    <w:rsid w:val="00747ACB"/>
    <w:rsid w:val="0075165D"/>
    <w:rsid w:val="007517BD"/>
    <w:rsid w:val="007523B0"/>
    <w:rsid w:val="00752616"/>
    <w:rsid w:val="00752A72"/>
    <w:rsid w:val="007531D2"/>
    <w:rsid w:val="0075392A"/>
    <w:rsid w:val="00754155"/>
    <w:rsid w:val="00754198"/>
    <w:rsid w:val="00754FCD"/>
    <w:rsid w:val="00755B6D"/>
    <w:rsid w:val="00755F11"/>
    <w:rsid w:val="0075609B"/>
    <w:rsid w:val="007566BB"/>
    <w:rsid w:val="00757458"/>
    <w:rsid w:val="007602FF"/>
    <w:rsid w:val="0076030A"/>
    <w:rsid w:val="00760484"/>
    <w:rsid w:val="007634CC"/>
    <w:rsid w:val="007638A4"/>
    <w:rsid w:val="00763DEF"/>
    <w:rsid w:val="00764D00"/>
    <w:rsid w:val="00765A9D"/>
    <w:rsid w:val="00766022"/>
    <w:rsid w:val="00767AF5"/>
    <w:rsid w:val="00770409"/>
    <w:rsid w:val="007708F5"/>
    <w:rsid w:val="00771504"/>
    <w:rsid w:val="007719C4"/>
    <w:rsid w:val="00771B5E"/>
    <w:rsid w:val="0077342F"/>
    <w:rsid w:val="007744D8"/>
    <w:rsid w:val="007749F9"/>
    <w:rsid w:val="00774A4F"/>
    <w:rsid w:val="00774C41"/>
    <w:rsid w:val="00777C3C"/>
    <w:rsid w:val="007824E6"/>
    <w:rsid w:val="00782AF6"/>
    <w:rsid w:val="00784E90"/>
    <w:rsid w:val="0078511D"/>
    <w:rsid w:val="007862E8"/>
    <w:rsid w:val="007868F4"/>
    <w:rsid w:val="0079082C"/>
    <w:rsid w:val="0079084B"/>
    <w:rsid w:val="00790C42"/>
    <w:rsid w:val="007913F0"/>
    <w:rsid w:val="00792159"/>
    <w:rsid w:val="00792C3B"/>
    <w:rsid w:val="007934BC"/>
    <w:rsid w:val="007941FC"/>
    <w:rsid w:val="0079753E"/>
    <w:rsid w:val="007A0FAC"/>
    <w:rsid w:val="007A13C5"/>
    <w:rsid w:val="007A2DFF"/>
    <w:rsid w:val="007A3316"/>
    <w:rsid w:val="007A3834"/>
    <w:rsid w:val="007A5560"/>
    <w:rsid w:val="007A590A"/>
    <w:rsid w:val="007A5A68"/>
    <w:rsid w:val="007B0B5B"/>
    <w:rsid w:val="007B1567"/>
    <w:rsid w:val="007B1DC8"/>
    <w:rsid w:val="007B21A0"/>
    <w:rsid w:val="007B264F"/>
    <w:rsid w:val="007B423D"/>
    <w:rsid w:val="007B4672"/>
    <w:rsid w:val="007C0BC0"/>
    <w:rsid w:val="007C0CEC"/>
    <w:rsid w:val="007C19C1"/>
    <w:rsid w:val="007C37A6"/>
    <w:rsid w:val="007C456E"/>
    <w:rsid w:val="007C4CB0"/>
    <w:rsid w:val="007C4EF9"/>
    <w:rsid w:val="007C506A"/>
    <w:rsid w:val="007C6DC2"/>
    <w:rsid w:val="007C7E32"/>
    <w:rsid w:val="007D0076"/>
    <w:rsid w:val="007D1B41"/>
    <w:rsid w:val="007D3C0D"/>
    <w:rsid w:val="007D3F56"/>
    <w:rsid w:val="007D4769"/>
    <w:rsid w:val="007D72DD"/>
    <w:rsid w:val="007D76CE"/>
    <w:rsid w:val="007E045D"/>
    <w:rsid w:val="007E20B8"/>
    <w:rsid w:val="007E4EE4"/>
    <w:rsid w:val="007E52BB"/>
    <w:rsid w:val="007E5DAD"/>
    <w:rsid w:val="007E7947"/>
    <w:rsid w:val="007E7D23"/>
    <w:rsid w:val="007F09B5"/>
    <w:rsid w:val="007F13CA"/>
    <w:rsid w:val="007F2C74"/>
    <w:rsid w:val="007F4205"/>
    <w:rsid w:val="007F4AA5"/>
    <w:rsid w:val="007F4D91"/>
    <w:rsid w:val="007F5799"/>
    <w:rsid w:val="007F5B6E"/>
    <w:rsid w:val="007F73AD"/>
    <w:rsid w:val="007F7ABC"/>
    <w:rsid w:val="00800066"/>
    <w:rsid w:val="0080411C"/>
    <w:rsid w:val="00806D19"/>
    <w:rsid w:val="00807BDC"/>
    <w:rsid w:val="00810FA2"/>
    <w:rsid w:val="008114BE"/>
    <w:rsid w:val="0081491A"/>
    <w:rsid w:val="00814C9D"/>
    <w:rsid w:val="00815C1B"/>
    <w:rsid w:val="008163EE"/>
    <w:rsid w:val="0081641E"/>
    <w:rsid w:val="00816C24"/>
    <w:rsid w:val="00816D3B"/>
    <w:rsid w:val="0081715C"/>
    <w:rsid w:val="00817F7B"/>
    <w:rsid w:val="008207D6"/>
    <w:rsid w:val="00821FAF"/>
    <w:rsid w:val="00822E78"/>
    <w:rsid w:val="00823734"/>
    <w:rsid w:val="008242F7"/>
    <w:rsid w:val="0082466B"/>
    <w:rsid w:val="008258AA"/>
    <w:rsid w:val="00825A4B"/>
    <w:rsid w:val="00825D06"/>
    <w:rsid w:val="00826468"/>
    <w:rsid w:val="00827271"/>
    <w:rsid w:val="00830E57"/>
    <w:rsid w:val="00831F3C"/>
    <w:rsid w:val="00833611"/>
    <w:rsid w:val="00833774"/>
    <w:rsid w:val="00833E66"/>
    <w:rsid w:val="00834C5A"/>
    <w:rsid w:val="0083581B"/>
    <w:rsid w:val="00835B39"/>
    <w:rsid w:val="00836754"/>
    <w:rsid w:val="00837232"/>
    <w:rsid w:val="008403A9"/>
    <w:rsid w:val="00841345"/>
    <w:rsid w:val="0084181E"/>
    <w:rsid w:val="00841B1D"/>
    <w:rsid w:val="0084271E"/>
    <w:rsid w:val="0084295F"/>
    <w:rsid w:val="008431BF"/>
    <w:rsid w:val="0084352B"/>
    <w:rsid w:val="00843C94"/>
    <w:rsid w:val="00843DE1"/>
    <w:rsid w:val="00843F7B"/>
    <w:rsid w:val="00844848"/>
    <w:rsid w:val="00846CE1"/>
    <w:rsid w:val="00846E54"/>
    <w:rsid w:val="008501FD"/>
    <w:rsid w:val="00850CFB"/>
    <w:rsid w:val="0085119C"/>
    <w:rsid w:val="008527D6"/>
    <w:rsid w:val="00852E60"/>
    <w:rsid w:val="00854756"/>
    <w:rsid w:val="0085486B"/>
    <w:rsid w:val="00855544"/>
    <w:rsid w:val="0085656F"/>
    <w:rsid w:val="0085777F"/>
    <w:rsid w:val="0086446D"/>
    <w:rsid w:val="008651A4"/>
    <w:rsid w:val="00866F45"/>
    <w:rsid w:val="008676F1"/>
    <w:rsid w:val="00870B48"/>
    <w:rsid w:val="00872D46"/>
    <w:rsid w:val="00873646"/>
    <w:rsid w:val="00873927"/>
    <w:rsid w:val="00874C90"/>
    <w:rsid w:val="00874DBA"/>
    <w:rsid w:val="00875728"/>
    <w:rsid w:val="00875BA5"/>
    <w:rsid w:val="00875E1B"/>
    <w:rsid w:val="00876AEA"/>
    <w:rsid w:val="00880201"/>
    <w:rsid w:val="0088124B"/>
    <w:rsid w:val="00881446"/>
    <w:rsid w:val="00881C56"/>
    <w:rsid w:val="00881E0F"/>
    <w:rsid w:val="00884E8A"/>
    <w:rsid w:val="008859E9"/>
    <w:rsid w:val="00885A73"/>
    <w:rsid w:val="00886619"/>
    <w:rsid w:val="00886B9C"/>
    <w:rsid w:val="00887553"/>
    <w:rsid w:val="0089131F"/>
    <w:rsid w:val="008916AB"/>
    <w:rsid w:val="00891CD1"/>
    <w:rsid w:val="00892AA2"/>
    <w:rsid w:val="008939B5"/>
    <w:rsid w:val="00893B00"/>
    <w:rsid w:val="00893CDB"/>
    <w:rsid w:val="0089428B"/>
    <w:rsid w:val="0089483D"/>
    <w:rsid w:val="00895D64"/>
    <w:rsid w:val="00895E53"/>
    <w:rsid w:val="00896065"/>
    <w:rsid w:val="00896C9D"/>
    <w:rsid w:val="00896D66"/>
    <w:rsid w:val="008A004A"/>
    <w:rsid w:val="008A0336"/>
    <w:rsid w:val="008A11E4"/>
    <w:rsid w:val="008A1F1C"/>
    <w:rsid w:val="008A3C47"/>
    <w:rsid w:val="008A3CC9"/>
    <w:rsid w:val="008A3F0F"/>
    <w:rsid w:val="008A45F0"/>
    <w:rsid w:val="008A63A0"/>
    <w:rsid w:val="008A63CE"/>
    <w:rsid w:val="008B1C9C"/>
    <w:rsid w:val="008B29F0"/>
    <w:rsid w:val="008B2B6C"/>
    <w:rsid w:val="008B2CE6"/>
    <w:rsid w:val="008B3828"/>
    <w:rsid w:val="008B5D58"/>
    <w:rsid w:val="008B60AB"/>
    <w:rsid w:val="008B66F1"/>
    <w:rsid w:val="008B7506"/>
    <w:rsid w:val="008C0AC9"/>
    <w:rsid w:val="008C1EB7"/>
    <w:rsid w:val="008C2FED"/>
    <w:rsid w:val="008C4EFE"/>
    <w:rsid w:val="008C5893"/>
    <w:rsid w:val="008C6676"/>
    <w:rsid w:val="008C7665"/>
    <w:rsid w:val="008C7975"/>
    <w:rsid w:val="008C7FD9"/>
    <w:rsid w:val="008D2ABE"/>
    <w:rsid w:val="008D2C44"/>
    <w:rsid w:val="008D3405"/>
    <w:rsid w:val="008D43E5"/>
    <w:rsid w:val="008D486D"/>
    <w:rsid w:val="008D5D20"/>
    <w:rsid w:val="008D6D1A"/>
    <w:rsid w:val="008E3489"/>
    <w:rsid w:val="008E3768"/>
    <w:rsid w:val="008E3C99"/>
    <w:rsid w:val="008E4226"/>
    <w:rsid w:val="008E5E1A"/>
    <w:rsid w:val="008E79E5"/>
    <w:rsid w:val="008F0D5E"/>
    <w:rsid w:val="008F162C"/>
    <w:rsid w:val="008F207B"/>
    <w:rsid w:val="008F27B4"/>
    <w:rsid w:val="008F3B33"/>
    <w:rsid w:val="008F5ADD"/>
    <w:rsid w:val="008F5E7D"/>
    <w:rsid w:val="0090053B"/>
    <w:rsid w:val="0090110B"/>
    <w:rsid w:val="00903756"/>
    <w:rsid w:val="00904111"/>
    <w:rsid w:val="00904212"/>
    <w:rsid w:val="00904728"/>
    <w:rsid w:val="0090542B"/>
    <w:rsid w:val="0090560C"/>
    <w:rsid w:val="00905681"/>
    <w:rsid w:val="00905C88"/>
    <w:rsid w:val="009111E6"/>
    <w:rsid w:val="00912BE2"/>
    <w:rsid w:val="00913408"/>
    <w:rsid w:val="0091531A"/>
    <w:rsid w:val="00915C83"/>
    <w:rsid w:val="00917415"/>
    <w:rsid w:val="00917F8D"/>
    <w:rsid w:val="009237B7"/>
    <w:rsid w:val="009239BC"/>
    <w:rsid w:val="00923C4E"/>
    <w:rsid w:val="00925F6B"/>
    <w:rsid w:val="00926F21"/>
    <w:rsid w:val="0092749B"/>
    <w:rsid w:val="0093152D"/>
    <w:rsid w:val="009319A4"/>
    <w:rsid w:val="009329A0"/>
    <w:rsid w:val="009334DB"/>
    <w:rsid w:val="00933C8F"/>
    <w:rsid w:val="00934560"/>
    <w:rsid w:val="00934DA9"/>
    <w:rsid w:val="00935288"/>
    <w:rsid w:val="009362A4"/>
    <w:rsid w:val="00940F84"/>
    <w:rsid w:val="00941B76"/>
    <w:rsid w:val="009425FB"/>
    <w:rsid w:val="0094318F"/>
    <w:rsid w:val="0094363C"/>
    <w:rsid w:val="0094400D"/>
    <w:rsid w:val="009444BB"/>
    <w:rsid w:val="00945797"/>
    <w:rsid w:val="00946003"/>
    <w:rsid w:val="009467C4"/>
    <w:rsid w:val="009467E1"/>
    <w:rsid w:val="00946945"/>
    <w:rsid w:val="009469D6"/>
    <w:rsid w:val="00946ECB"/>
    <w:rsid w:val="00950151"/>
    <w:rsid w:val="0095033F"/>
    <w:rsid w:val="00950943"/>
    <w:rsid w:val="009511EF"/>
    <w:rsid w:val="0095131E"/>
    <w:rsid w:val="00953168"/>
    <w:rsid w:val="0095541B"/>
    <w:rsid w:val="009555EF"/>
    <w:rsid w:val="00955FC4"/>
    <w:rsid w:val="009606B3"/>
    <w:rsid w:val="00961575"/>
    <w:rsid w:val="00961CE4"/>
    <w:rsid w:val="00961DB8"/>
    <w:rsid w:val="0096207A"/>
    <w:rsid w:val="009623D6"/>
    <w:rsid w:val="00963396"/>
    <w:rsid w:val="0096370B"/>
    <w:rsid w:val="00965A2B"/>
    <w:rsid w:val="00965CD9"/>
    <w:rsid w:val="009676BF"/>
    <w:rsid w:val="009706BF"/>
    <w:rsid w:val="00970D4D"/>
    <w:rsid w:val="009715AE"/>
    <w:rsid w:val="00971877"/>
    <w:rsid w:val="00971AD3"/>
    <w:rsid w:val="00971C0B"/>
    <w:rsid w:val="00971C19"/>
    <w:rsid w:val="009721D8"/>
    <w:rsid w:val="00973517"/>
    <w:rsid w:val="009736D1"/>
    <w:rsid w:val="0097384D"/>
    <w:rsid w:val="009741C7"/>
    <w:rsid w:val="0097490F"/>
    <w:rsid w:val="00975C82"/>
    <w:rsid w:val="00975E89"/>
    <w:rsid w:val="009763EE"/>
    <w:rsid w:val="00976946"/>
    <w:rsid w:val="00980D62"/>
    <w:rsid w:val="00981E40"/>
    <w:rsid w:val="009833BF"/>
    <w:rsid w:val="00984319"/>
    <w:rsid w:val="009849AC"/>
    <w:rsid w:val="00984D77"/>
    <w:rsid w:val="00984E14"/>
    <w:rsid w:val="00985DF5"/>
    <w:rsid w:val="00986653"/>
    <w:rsid w:val="00986A52"/>
    <w:rsid w:val="009879E2"/>
    <w:rsid w:val="00987B20"/>
    <w:rsid w:val="009900B6"/>
    <w:rsid w:val="009907FC"/>
    <w:rsid w:val="00993CEC"/>
    <w:rsid w:val="00994454"/>
    <w:rsid w:val="0099514E"/>
    <w:rsid w:val="00995625"/>
    <w:rsid w:val="009A03B4"/>
    <w:rsid w:val="009A0922"/>
    <w:rsid w:val="009A0B3E"/>
    <w:rsid w:val="009A0E5D"/>
    <w:rsid w:val="009A3883"/>
    <w:rsid w:val="009A4A3B"/>
    <w:rsid w:val="009A4BBB"/>
    <w:rsid w:val="009A56CA"/>
    <w:rsid w:val="009A5FF3"/>
    <w:rsid w:val="009A64B5"/>
    <w:rsid w:val="009A77CF"/>
    <w:rsid w:val="009B04B1"/>
    <w:rsid w:val="009B0829"/>
    <w:rsid w:val="009B0872"/>
    <w:rsid w:val="009B1598"/>
    <w:rsid w:val="009B1C81"/>
    <w:rsid w:val="009B1D19"/>
    <w:rsid w:val="009B23F7"/>
    <w:rsid w:val="009B26F1"/>
    <w:rsid w:val="009B2A15"/>
    <w:rsid w:val="009B33F5"/>
    <w:rsid w:val="009B428E"/>
    <w:rsid w:val="009B45C9"/>
    <w:rsid w:val="009B61DB"/>
    <w:rsid w:val="009B78B7"/>
    <w:rsid w:val="009C0396"/>
    <w:rsid w:val="009C0A1A"/>
    <w:rsid w:val="009C1C4E"/>
    <w:rsid w:val="009C2032"/>
    <w:rsid w:val="009C2814"/>
    <w:rsid w:val="009C2C95"/>
    <w:rsid w:val="009C374A"/>
    <w:rsid w:val="009C4B60"/>
    <w:rsid w:val="009C4E17"/>
    <w:rsid w:val="009C56FD"/>
    <w:rsid w:val="009C5921"/>
    <w:rsid w:val="009C70CC"/>
    <w:rsid w:val="009C7320"/>
    <w:rsid w:val="009D00B2"/>
    <w:rsid w:val="009D0B5A"/>
    <w:rsid w:val="009D13B7"/>
    <w:rsid w:val="009D17D9"/>
    <w:rsid w:val="009D1A43"/>
    <w:rsid w:val="009D2289"/>
    <w:rsid w:val="009D2EDC"/>
    <w:rsid w:val="009D5383"/>
    <w:rsid w:val="009D541D"/>
    <w:rsid w:val="009D5520"/>
    <w:rsid w:val="009D5EB8"/>
    <w:rsid w:val="009D727C"/>
    <w:rsid w:val="009D7AC4"/>
    <w:rsid w:val="009E06BA"/>
    <w:rsid w:val="009E1E43"/>
    <w:rsid w:val="009E2988"/>
    <w:rsid w:val="009E2B65"/>
    <w:rsid w:val="009E2D39"/>
    <w:rsid w:val="009E31A0"/>
    <w:rsid w:val="009E438A"/>
    <w:rsid w:val="009E5360"/>
    <w:rsid w:val="009E5F3F"/>
    <w:rsid w:val="009E6A16"/>
    <w:rsid w:val="009E7F49"/>
    <w:rsid w:val="009F27AB"/>
    <w:rsid w:val="009F3DB7"/>
    <w:rsid w:val="009F6A95"/>
    <w:rsid w:val="009F6D8F"/>
    <w:rsid w:val="009F7851"/>
    <w:rsid w:val="00A0204D"/>
    <w:rsid w:val="00A0207F"/>
    <w:rsid w:val="00A022A9"/>
    <w:rsid w:val="00A024A7"/>
    <w:rsid w:val="00A02B8E"/>
    <w:rsid w:val="00A03E6E"/>
    <w:rsid w:val="00A040AA"/>
    <w:rsid w:val="00A04DCD"/>
    <w:rsid w:val="00A0525B"/>
    <w:rsid w:val="00A0693A"/>
    <w:rsid w:val="00A06F7E"/>
    <w:rsid w:val="00A07901"/>
    <w:rsid w:val="00A1141B"/>
    <w:rsid w:val="00A11C8E"/>
    <w:rsid w:val="00A123F5"/>
    <w:rsid w:val="00A131E9"/>
    <w:rsid w:val="00A13455"/>
    <w:rsid w:val="00A1393E"/>
    <w:rsid w:val="00A15259"/>
    <w:rsid w:val="00A15B9B"/>
    <w:rsid w:val="00A17402"/>
    <w:rsid w:val="00A20850"/>
    <w:rsid w:val="00A2164D"/>
    <w:rsid w:val="00A2209A"/>
    <w:rsid w:val="00A233AB"/>
    <w:rsid w:val="00A2512E"/>
    <w:rsid w:val="00A259F7"/>
    <w:rsid w:val="00A25D34"/>
    <w:rsid w:val="00A2701F"/>
    <w:rsid w:val="00A30631"/>
    <w:rsid w:val="00A30B43"/>
    <w:rsid w:val="00A32DB3"/>
    <w:rsid w:val="00A352EF"/>
    <w:rsid w:val="00A355EE"/>
    <w:rsid w:val="00A35AE4"/>
    <w:rsid w:val="00A36A14"/>
    <w:rsid w:val="00A40F50"/>
    <w:rsid w:val="00A4152D"/>
    <w:rsid w:val="00A4289B"/>
    <w:rsid w:val="00A436FE"/>
    <w:rsid w:val="00A44A4E"/>
    <w:rsid w:val="00A44E4A"/>
    <w:rsid w:val="00A45504"/>
    <w:rsid w:val="00A46348"/>
    <w:rsid w:val="00A4696D"/>
    <w:rsid w:val="00A47946"/>
    <w:rsid w:val="00A50FD0"/>
    <w:rsid w:val="00A51A10"/>
    <w:rsid w:val="00A52BC2"/>
    <w:rsid w:val="00A53E16"/>
    <w:rsid w:val="00A54F7D"/>
    <w:rsid w:val="00A552CC"/>
    <w:rsid w:val="00A555B9"/>
    <w:rsid w:val="00A60365"/>
    <w:rsid w:val="00A60A13"/>
    <w:rsid w:val="00A628FC"/>
    <w:rsid w:val="00A636DC"/>
    <w:rsid w:val="00A63F7D"/>
    <w:rsid w:val="00A64E32"/>
    <w:rsid w:val="00A65911"/>
    <w:rsid w:val="00A6601A"/>
    <w:rsid w:val="00A67063"/>
    <w:rsid w:val="00A67AFD"/>
    <w:rsid w:val="00A7175A"/>
    <w:rsid w:val="00A722E1"/>
    <w:rsid w:val="00A724E6"/>
    <w:rsid w:val="00A729C6"/>
    <w:rsid w:val="00A73A39"/>
    <w:rsid w:val="00A756C9"/>
    <w:rsid w:val="00A7668B"/>
    <w:rsid w:val="00A76929"/>
    <w:rsid w:val="00A80212"/>
    <w:rsid w:val="00A80309"/>
    <w:rsid w:val="00A84671"/>
    <w:rsid w:val="00A84963"/>
    <w:rsid w:val="00A85DD0"/>
    <w:rsid w:val="00A86DF3"/>
    <w:rsid w:val="00A87009"/>
    <w:rsid w:val="00A87024"/>
    <w:rsid w:val="00A87D76"/>
    <w:rsid w:val="00A90340"/>
    <w:rsid w:val="00A91825"/>
    <w:rsid w:val="00A9263A"/>
    <w:rsid w:val="00A93A6B"/>
    <w:rsid w:val="00A94896"/>
    <w:rsid w:val="00A9590B"/>
    <w:rsid w:val="00A95968"/>
    <w:rsid w:val="00A959A3"/>
    <w:rsid w:val="00A960B6"/>
    <w:rsid w:val="00A9676E"/>
    <w:rsid w:val="00A96A6C"/>
    <w:rsid w:val="00A972D2"/>
    <w:rsid w:val="00AA09A8"/>
    <w:rsid w:val="00AA16C6"/>
    <w:rsid w:val="00AA1ACB"/>
    <w:rsid w:val="00AA37D9"/>
    <w:rsid w:val="00AA479E"/>
    <w:rsid w:val="00AA48D7"/>
    <w:rsid w:val="00AA5C93"/>
    <w:rsid w:val="00AA7CCE"/>
    <w:rsid w:val="00AB5314"/>
    <w:rsid w:val="00AB6AF3"/>
    <w:rsid w:val="00AB77ED"/>
    <w:rsid w:val="00AB7A51"/>
    <w:rsid w:val="00AB7D97"/>
    <w:rsid w:val="00AC05D5"/>
    <w:rsid w:val="00AC23A5"/>
    <w:rsid w:val="00AC289A"/>
    <w:rsid w:val="00AC362F"/>
    <w:rsid w:val="00AC664B"/>
    <w:rsid w:val="00AC6EF5"/>
    <w:rsid w:val="00AC74DD"/>
    <w:rsid w:val="00AD0029"/>
    <w:rsid w:val="00AD0AE5"/>
    <w:rsid w:val="00AD1582"/>
    <w:rsid w:val="00AD2162"/>
    <w:rsid w:val="00AD2EE1"/>
    <w:rsid w:val="00AD4A75"/>
    <w:rsid w:val="00AD640B"/>
    <w:rsid w:val="00AE0317"/>
    <w:rsid w:val="00AE1043"/>
    <w:rsid w:val="00AE10FF"/>
    <w:rsid w:val="00AE1BE1"/>
    <w:rsid w:val="00AE1DA7"/>
    <w:rsid w:val="00AE2B4B"/>
    <w:rsid w:val="00AE4F08"/>
    <w:rsid w:val="00AE57FA"/>
    <w:rsid w:val="00AE5BD3"/>
    <w:rsid w:val="00AE60E3"/>
    <w:rsid w:val="00AE60FD"/>
    <w:rsid w:val="00AE74D9"/>
    <w:rsid w:val="00AF0297"/>
    <w:rsid w:val="00AF045A"/>
    <w:rsid w:val="00AF1F86"/>
    <w:rsid w:val="00AF4683"/>
    <w:rsid w:val="00AF4C6A"/>
    <w:rsid w:val="00AF5D1C"/>
    <w:rsid w:val="00AF7475"/>
    <w:rsid w:val="00B00085"/>
    <w:rsid w:val="00B00E70"/>
    <w:rsid w:val="00B01FDF"/>
    <w:rsid w:val="00B03C75"/>
    <w:rsid w:val="00B048B9"/>
    <w:rsid w:val="00B04D76"/>
    <w:rsid w:val="00B04DD2"/>
    <w:rsid w:val="00B050E8"/>
    <w:rsid w:val="00B0598A"/>
    <w:rsid w:val="00B0783B"/>
    <w:rsid w:val="00B07C2F"/>
    <w:rsid w:val="00B10232"/>
    <w:rsid w:val="00B1071E"/>
    <w:rsid w:val="00B10E11"/>
    <w:rsid w:val="00B12A23"/>
    <w:rsid w:val="00B14169"/>
    <w:rsid w:val="00B2142F"/>
    <w:rsid w:val="00B21D48"/>
    <w:rsid w:val="00B21FDB"/>
    <w:rsid w:val="00B22865"/>
    <w:rsid w:val="00B24B70"/>
    <w:rsid w:val="00B250AE"/>
    <w:rsid w:val="00B2523C"/>
    <w:rsid w:val="00B25525"/>
    <w:rsid w:val="00B257D8"/>
    <w:rsid w:val="00B25970"/>
    <w:rsid w:val="00B25A49"/>
    <w:rsid w:val="00B25AEB"/>
    <w:rsid w:val="00B2799C"/>
    <w:rsid w:val="00B27AF6"/>
    <w:rsid w:val="00B3063F"/>
    <w:rsid w:val="00B308B4"/>
    <w:rsid w:val="00B30D21"/>
    <w:rsid w:val="00B315FF"/>
    <w:rsid w:val="00B31AA9"/>
    <w:rsid w:val="00B31C8A"/>
    <w:rsid w:val="00B3226B"/>
    <w:rsid w:val="00B32402"/>
    <w:rsid w:val="00B32EDF"/>
    <w:rsid w:val="00B33C2B"/>
    <w:rsid w:val="00B34FE5"/>
    <w:rsid w:val="00B3691B"/>
    <w:rsid w:val="00B369CD"/>
    <w:rsid w:val="00B36E76"/>
    <w:rsid w:val="00B37502"/>
    <w:rsid w:val="00B37E5A"/>
    <w:rsid w:val="00B40F74"/>
    <w:rsid w:val="00B4386E"/>
    <w:rsid w:val="00B44E39"/>
    <w:rsid w:val="00B45553"/>
    <w:rsid w:val="00B47535"/>
    <w:rsid w:val="00B508D8"/>
    <w:rsid w:val="00B521AF"/>
    <w:rsid w:val="00B52205"/>
    <w:rsid w:val="00B523E7"/>
    <w:rsid w:val="00B54456"/>
    <w:rsid w:val="00B5644F"/>
    <w:rsid w:val="00B56506"/>
    <w:rsid w:val="00B607D4"/>
    <w:rsid w:val="00B615A3"/>
    <w:rsid w:val="00B61AFD"/>
    <w:rsid w:val="00B61CD2"/>
    <w:rsid w:val="00B6288C"/>
    <w:rsid w:val="00B62FFB"/>
    <w:rsid w:val="00B6324F"/>
    <w:rsid w:val="00B637E6"/>
    <w:rsid w:val="00B63A30"/>
    <w:rsid w:val="00B642BD"/>
    <w:rsid w:val="00B65BFF"/>
    <w:rsid w:val="00B66F3B"/>
    <w:rsid w:val="00B6725F"/>
    <w:rsid w:val="00B72794"/>
    <w:rsid w:val="00B7314C"/>
    <w:rsid w:val="00B7319A"/>
    <w:rsid w:val="00B74F77"/>
    <w:rsid w:val="00B765F7"/>
    <w:rsid w:val="00B76700"/>
    <w:rsid w:val="00B774A6"/>
    <w:rsid w:val="00B80347"/>
    <w:rsid w:val="00B80B45"/>
    <w:rsid w:val="00B80C46"/>
    <w:rsid w:val="00B80F21"/>
    <w:rsid w:val="00B80F86"/>
    <w:rsid w:val="00B816DA"/>
    <w:rsid w:val="00B818B8"/>
    <w:rsid w:val="00B81D21"/>
    <w:rsid w:val="00B82728"/>
    <w:rsid w:val="00B827BA"/>
    <w:rsid w:val="00B83564"/>
    <w:rsid w:val="00B84C72"/>
    <w:rsid w:val="00B868EB"/>
    <w:rsid w:val="00B86C46"/>
    <w:rsid w:val="00B86DDF"/>
    <w:rsid w:val="00B879B0"/>
    <w:rsid w:val="00B87DA9"/>
    <w:rsid w:val="00B87E77"/>
    <w:rsid w:val="00B87EEC"/>
    <w:rsid w:val="00B901B8"/>
    <w:rsid w:val="00B90C9C"/>
    <w:rsid w:val="00B92ABF"/>
    <w:rsid w:val="00B934D2"/>
    <w:rsid w:val="00B9644A"/>
    <w:rsid w:val="00B969FB"/>
    <w:rsid w:val="00BA0DFA"/>
    <w:rsid w:val="00BA10FB"/>
    <w:rsid w:val="00BA185D"/>
    <w:rsid w:val="00BA252C"/>
    <w:rsid w:val="00BA2F67"/>
    <w:rsid w:val="00BA3276"/>
    <w:rsid w:val="00BA5308"/>
    <w:rsid w:val="00BA55DD"/>
    <w:rsid w:val="00BA5BC4"/>
    <w:rsid w:val="00BA5CF2"/>
    <w:rsid w:val="00BA687B"/>
    <w:rsid w:val="00BA6BE0"/>
    <w:rsid w:val="00BB0361"/>
    <w:rsid w:val="00BB04FF"/>
    <w:rsid w:val="00BB0E48"/>
    <w:rsid w:val="00BB0F10"/>
    <w:rsid w:val="00BB10E3"/>
    <w:rsid w:val="00BB12BD"/>
    <w:rsid w:val="00BB1302"/>
    <w:rsid w:val="00BB158C"/>
    <w:rsid w:val="00BB2102"/>
    <w:rsid w:val="00BB34E3"/>
    <w:rsid w:val="00BB39AC"/>
    <w:rsid w:val="00BB3C7B"/>
    <w:rsid w:val="00BB515D"/>
    <w:rsid w:val="00BB6462"/>
    <w:rsid w:val="00BB688E"/>
    <w:rsid w:val="00BB6C6B"/>
    <w:rsid w:val="00BB7A32"/>
    <w:rsid w:val="00BB7B7C"/>
    <w:rsid w:val="00BC00BD"/>
    <w:rsid w:val="00BC0D62"/>
    <w:rsid w:val="00BC0F9E"/>
    <w:rsid w:val="00BC2B54"/>
    <w:rsid w:val="00BC2FD6"/>
    <w:rsid w:val="00BC356B"/>
    <w:rsid w:val="00BC40C6"/>
    <w:rsid w:val="00BC4434"/>
    <w:rsid w:val="00BC72CF"/>
    <w:rsid w:val="00BC7955"/>
    <w:rsid w:val="00BC7BF4"/>
    <w:rsid w:val="00BC7D83"/>
    <w:rsid w:val="00BC7DC8"/>
    <w:rsid w:val="00BC7DE2"/>
    <w:rsid w:val="00BD1BA8"/>
    <w:rsid w:val="00BD22D1"/>
    <w:rsid w:val="00BD3B3D"/>
    <w:rsid w:val="00BD4483"/>
    <w:rsid w:val="00BD4998"/>
    <w:rsid w:val="00BD56BB"/>
    <w:rsid w:val="00BD65D2"/>
    <w:rsid w:val="00BD72AB"/>
    <w:rsid w:val="00BE07A3"/>
    <w:rsid w:val="00BE0A49"/>
    <w:rsid w:val="00BE0A8D"/>
    <w:rsid w:val="00BE2306"/>
    <w:rsid w:val="00BE3993"/>
    <w:rsid w:val="00BE4AED"/>
    <w:rsid w:val="00BE5A02"/>
    <w:rsid w:val="00BE6D5A"/>
    <w:rsid w:val="00BE7051"/>
    <w:rsid w:val="00BE7921"/>
    <w:rsid w:val="00BE7D84"/>
    <w:rsid w:val="00BF0980"/>
    <w:rsid w:val="00BF1A90"/>
    <w:rsid w:val="00BF3080"/>
    <w:rsid w:val="00BF381A"/>
    <w:rsid w:val="00BF4549"/>
    <w:rsid w:val="00BF4ECA"/>
    <w:rsid w:val="00BF669F"/>
    <w:rsid w:val="00BF6E4A"/>
    <w:rsid w:val="00BF7038"/>
    <w:rsid w:val="00BF7B6D"/>
    <w:rsid w:val="00C0054A"/>
    <w:rsid w:val="00C0071C"/>
    <w:rsid w:val="00C00F4F"/>
    <w:rsid w:val="00C020F2"/>
    <w:rsid w:val="00C02C57"/>
    <w:rsid w:val="00C03F54"/>
    <w:rsid w:val="00C04A2A"/>
    <w:rsid w:val="00C04E1E"/>
    <w:rsid w:val="00C05A92"/>
    <w:rsid w:val="00C05B4E"/>
    <w:rsid w:val="00C0772E"/>
    <w:rsid w:val="00C07B69"/>
    <w:rsid w:val="00C12826"/>
    <w:rsid w:val="00C12E59"/>
    <w:rsid w:val="00C14A1C"/>
    <w:rsid w:val="00C14D78"/>
    <w:rsid w:val="00C16246"/>
    <w:rsid w:val="00C16CCA"/>
    <w:rsid w:val="00C178FF"/>
    <w:rsid w:val="00C201D9"/>
    <w:rsid w:val="00C20DB3"/>
    <w:rsid w:val="00C21568"/>
    <w:rsid w:val="00C22517"/>
    <w:rsid w:val="00C23E22"/>
    <w:rsid w:val="00C23F9F"/>
    <w:rsid w:val="00C24A07"/>
    <w:rsid w:val="00C32431"/>
    <w:rsid w:val="00C34B2E"/>
    <w:rsid w:val="00C35249"/>
    <w:rsid w:val="00C357F7"/>
    <w:rsid w:val="00C35E96"/>
    <w:rsid w:val="00C37CA4"/>
    <w:rsid w:val="00C402B2"/>
    <w:rsid w:val="00C408A0"/>
    <w:rsid w:val="00C4134A"/>
    <w:rsid w:val="00C431C5"/>
    <w:rsid w:val="00C4346A"/>
    <w:rsid w:val="00C45466"/>
    <w:rsid w:val="00C4759F"/>
    <w:rsid w:val="00C50662"/>
    <w:rsid w:val="00C545FA"/>
    <w:rsid w:val="00C562D5"/>
    <w:rsid w:val="00C568BD"/>
    <w:rsid w:val="00C56F9F"/>
    <w:rsid w:val="00C5760B"/>
    <w:rsid w:val="00C57C44"/>
    <w:rsid w:val="00C57D98"/>
    <w:rsid w:val="00C602DB"/>
    <w:rsid w:val="00C621FC"/>
    <w:rsid w:val="00C6458B"/>
    <w:rsid w:val="00C66F70"/>
    <w:rsid w:val="00C673E4"/>
    <w:rsid w:val="00C74E8C"/>
    <w:rsid w:val="00C753AE"/>
    <w:rsid w:val="00C75A94"/>
    <w:rsid w:val="00C76D0E"/>
    <w:rsid w:val="00C77C7D"/>
    <w:rsid w:val="00C80003"/>
    <w:rsid w:val="00C8270C"/>
    <w:rsid w:val="00C85051"/>
    <w:rsid w:val="00C86C66"/>
    <w:rsid w:val="00C86C6B"/>
    <w:rsid w:val="00C87572"/>
    <w:rsid w:val="00C87821"/>
    <w:rsid w:val="00C907B2"/>
    <w:rsid w:val="00C90AE8"/>
    <w:rsid w:val="00C91BE2"/>
    <w:rsid w:val="00C92307"/>
    <w:rsid w:val="00C94545"/>
    <w:rsid w:val="00C95D8E"/>
    <w:rsid w:val="00C96C5B"/>
    <w:rsid w:val="00C96C74"/>
    <w:rsid w:val="00CA0CD5"/>
    <w:rsid w:val="00CA1D1A"/>
    <w:rsid w:val="00CA2DF7"/>
    <w:rsid w:val="00CA3E70"/>
    <w:rsid w:val="00CA5BF2"/>
    <w:rsid w:val="00CA5EAE"/>
    <w:rsid w:val="00CA6047"/>
    <w:rsid w:val="00CA7B9B"/>
    <w:rsid w:val="00CB16AC"/>
    <w:rsid w:val="00CB1C88"/>
    <w:rsid w:val="00CB2801"/>
    <w:rsid w:val="00CB4433"/>
    <w:rsid w:val="00CB4D10"/>
    <w:rsid w:val="00CB5C32"/>
    <w:rsid w:val="00CB6316"/>
    <w:rsid w:val="00CB78CC"/>
    <w:rsid w:val="00CB7BEA"/>
    <w:rsid w:val="00CC0343"/>
    <w:rsid w:val="00CC218A"/>
    <w:rsid w:val="00CC3368"/>
    <w:rsid w:val="00CC391B"/>
    <w:rsid w:val="00CC395D"/>
    <w:rsid w:val="00CC4FB3"/>
    <w:rsid w:val="00CC54B6"/>
    <w:rsid w:val="00CC5FA2"/>
    <w:rsid w:val="00CC7A0F"/>
    <w:rsid w:val="00CD0074"/>
    <w:rsid w:val="00CD06EE"/>
    <w:rsid w:val="00CD10EC"/>
    <w:rsid w:val="00CD186F"/>
    <w:rsid w:val="00CD3963"/>
    <w:rsid w:val="00CD461D"/>
    <w:rsid w:val="00CD548F"/>
    <w:rsid w:val="00CD778C"/>
    <w:rsid w:val="00CE013E"/>
    <w:rsid w:val="00CE0330"/>
    <w:rsid w:val="00CE14E6"/>
    <w:rsid w:val="00CE1C0E"/>
    <w:rsid w:val="00CE2D10"/>
    <w:rsid w:val="00CE4728"/>
    <w:rsid w:val="00CE5507"/>
    <w:rsid w:val="00CE55D7"/>
    <w:rsid w:val="00CE66FF"/>
    <w:rsid w:val="00CF0468"/>
    <w:rsid w:val="00CF0D54"/>
    <w:rsid w:val="00CF1244"/>
    <w:rsid w:val="00CF5BBC"/>
    <w:rsid w:val="00CF5C59"/>
    <w:rsid w:val="00CF6888"/>
    <w:rsid w:val="00CF6DBF"/>
    <w:rsid w:val="00CF6E9A"/>
    <w:rsid w:val="00CF788C"/>
    <w:rsid w:val="00D00E52"/>
    <w:rsid w:val="00D011C7"/>
    <w:rsid w:val="00D012EA"/>
    <w:rsid w:val="00D04220"/>
    <w:rsid w:val="00D04757"/>
    <w:rsid w:val="00D06F90"/>
    <w:rsid w:val="00D071FE"/>
    <w:rsid w:val="00D1222B"/>
    <w:rsid w:val="00D1413E"/>
    <w:rsid w:val="00D1573B"/>
    <w:rsid w:val="00D15F87"/>
    <w:rsid w:val="00D1655C"/>
    <w:rsid w:val="00D17929"/>
    <w:rsid w:val="00D17F53"/>
    <w:rsid w:val="00D2148B"/>
    <w:rsid w:val="00D2205D"/>
    <w:rsid w:val="00D22A0C"/>
    <w:rsid w:val="00D242E0"/>
    <w:rsid w:val="00D24886"/>
    <w:rsid w:val="00D24B11"/>
    <w:rsid w:val="00D24BE6"/>
    <w:rsid w:val="00D24DB4"/>
    <w:rsid w:val="00D25796"/>
    <w:rsid w:val="00D257A3"/>
    <w:rsid w:val="00D26A3C"/>
    <w:rsid w:val="00D279FA"/>
    <w:rsid w:val="00D30721"/>
    <w:rsid w:val="00D313B5"/>
    <w:rsid w:val="00D31402"/>
    <w:rsid w:val="00D33863"/>
    <w:rsid w:val="00D34B47"/>
    <w:rsid w:val="00D35969"/>
    <w:rsid w:val="00D35F69"/>
    <w:rsid w:val="00D40DF7"/>
    <w:rsid w:val="00D42ED8"/>
    <w:rsid w:val="00D44E48"/>
    <w:rsid w:val="00D45861"/>
    <w:rsid w:val="00D46A1A"/>
    <w:rsid w:val="00D5013B"/>
    <w:rsid w:val="00D50988"/>
    <w:rsid w:val="00D50B98"/>
    <w:rsid w:val="00D51F46"/>
    <w:rsid w:val="00D5214C"/>
    <w:rsid w:val="00D57A8D"/>
    <w:rsid w:val="00D57D1E"/>
    <w:rsid w:val="00D57E44"/>
    <w:rsid w:val="00D6044D"/>
    <w:rsid w:val="00D605FC"/>
    <w:rsid w:val="00D6064B"/>
    <w:rsid w:val="00D61BFD"/>
    <w:rsid w:val="00D61D97"/>
    <w:rsid w:val="00D64954"/>
    <w:rsid w:val="00D65F52"/>
    <w:rsid w:val="00D700F6"/>
    <w:rsid w:val="00D7026E"/>
    <w:rsid w:val="00D72DBF"/>
    <w:rsid w:val="00D72E40"/>
    <w:rsid w:val="00D73F1F"/>
    <w:rsid w:val="00D77462"/>
    <w:rsid w:val="00D775F5"/>
    <w:rsid w:val="00D8137B"/>
    <w:rsid w:val="00D8211C"/>
    <w:rsid w:val="00D82FC5"/>
    <w:rsid w:val="00D84861"/>
    <w:rsid w:val="00D84EEB"/>
    <w:rsid w:val="00D91B4B"/>
    <w:rsid w:val="00D9241B"/>
    <w:rsid w:val="00D939D8"/>
    <w:rsid w:val="00D945DD"/>
    <w:rsid w:val="00D95AF3"/>
    <w:rsid w:val="00D95EFC"/>
    <w:rsid w:val="00D96AD5"/>
    <w:rsid w:val="00D97432"/>
    <w:rsid w:val="00DA259E"/>
    <w:rsid w:val="00DA3780"/>
    <w:rsid w:val="00DA4AA4"/>
    <w:rsid w:val="00DA55E5"/>
    <w:rsid w:val="00DA653A"/>
    <w:rsid w:val="00DA65B1"/>
    <w:rsid w:val="00DA6C33"/>
    <w:rsid w:val="00DA719E"/>
    <w:rsid w:val="00DA7930"/>
    <w:rsid w:val="00DB0A9B"/>
    <w:rsid w:val="00DB0F49"/>
    <w:rsid w:val="00DB176D"/>
    <w:rsid w:val="00DB1FFA"/>
    <w:rsid w:val="00DB1FFD"/>
    <w:rsid w:val="00DB2410"/>
    <w:rsid w:val="00DB2E80"/>
    <w:rsid w:val="00DB3354"/>
    <w:rsid w:val="00DB37AF"/>
    <w:rsid w:val="00DB50F8"/>
    <w:rsid w:val="00DB5830"/>
    <w:rsid w:val="00DB6CD2"/>
    <w:rsid w:val="00DB6D74"/>
    <w:rsid w:val="00DB7B1E"/>
    <w:rsid w:val="00DC0861"/>
    <w:rsid w:val="00DC1BB3"/>
    <w:rsid w:val="00DC2724"/>
    <w:rsid w:val="00DC3206"/>
    <w:rsid w:val="00DC413C"/>
    <w:rsid w:val="00DC449E"/>
    <w:rsid w:val="00DC7E25"/>
    <w:rsid w:val="00DD06E4"/>
    <w:rsid w:val="00DD131E"/>
    <w:rsid w:val="00DD27A4"/>
    <w:rsid w:val="00DD2CF3"/>
    <w:rsid w:val="00DD322C"/>
    <w:rsid w:val="00DD3535"/>
    <w:rsid w:val="00DD5480"/>
    <w:rsid w:val="00DD5644"/>
    <w:rsid w:val="00DD5E31"/>
    <w:rsid w:val="00DD6BED"/>
    <w:rsid w:val="00DD6CA9"/>
    <w:rsid w:val="00DD7577"/>
    <w:rsid w:val="00DD75D1"/>
    <w:rsid w:val="00DD7D8A"/>
    <w:rsid w:val="00DD7EDA"/>
    <w:rsid w:val="00DE3499"/>
    <w:rsid w:val="00DE3E3B"/>
    <w:rsid w:val="00DE3EEF"/>
    <w:rsid w:val="00DE40B4"/>
    <w:rsid w:val="00DE430B"/>
    <w:rsid w:val="00DE48A0"/>
    <w:rsid w:val="00DE4BE8"/>
    <w:rsid w:val="00DE5374"/>
    <w:rsid w:val="00DE66BA"/>
    <w:rsid w:val="00DE6FDC"/>
    <w:rsid w:val="00DE7743"/>
    <w:rsid w:val="00DF0409"/>
    <w:rsid w:val="00DF049A"/>
    <w:rsid w:val="00DF0A38"/>
    <w:rsid w:val="00DF116B"/>
    <w:rsid w:val="00DF1AFD"/>
    <w:rsid w:val="00DF3F2C"/>
    <w:rsid w:val="00DF4081"/>
    <w:rsid w:val="00DF47AF"/>
    <w:rsid w:val="00DF4C4C"/>
    <w:rsid w:val="00DF6FF1"/>
    <w:rsid w:val="00E015D6"/>
    <w:rsid w:val="00E02C2C"/>
    <w:rsid w:val="00E02C91"/>
    <w:rsid w:val="00E02F3B"/>
    <w:rsid w:val="00E02F93"/>
    <w:rsid w:val="00E03224"/>
    <w:rsid w:val="00E04D63"/>
    <w:rsid w:val="00E0510C"/>
    <w:rsid w:val="00E0579C"/>
    <w:rsid w:val="00E05816"/>
    <w:rsid w:val="00E05F86"/>
    <w:rsid w:val="00E102BC"/>
    <w:rsid w:val="00E104B2"/>
    <w:rsid w:val="00E11B94"/>
    <w:rsid w:val="00E11E3C"/>
    <w:rsid w:val="00E14766"/>
    <w:rsid w:val="00E15938"/>
    <w:rsid w:val="00E1770A"/>
    <w:rsid w:val="00E2132B"/>
    <w:rsid w:val="00E2157E"/>
    <w:rsid w:val="00E2252B"/>
    <w:rsid w:val="00E239EC"/>
    <w:rsid w:val="00E252A8"/>
    <w:rsid w:val="00E25B2E"/>
    <w:rsid w:val="00E26074"/>
    <w:rsid w:val="00E26844"/>
    <w:rsid w:val="00E3129E"/>
    <w:rsid w:val="00E320A6"/>
    <w:rsid w:val="00E32789"/>
    <w:rsid w:val="00E32BDE"/>
    <w:rsid w:val="00E3305F"/>
    <w:rsid w:val="00E33268"/>
    <w:rsid w:val="00E3337E"/>
    <w:rsid w:val="00E3513D"/>
    <w:rsid w:val="00E35A73"/>
    <w:rsid w:val="00E35F5B"/>
    <w:rsid w:val="00E36B3A"/>
    <w:rsid w:val="00E36CAF"/>
    <w:rsid w:val="00E40427"/>
    <w:rsid w:val="00E40B59"/>
    <w:rsid w:val="00E43CC8"/>
    <w:rsid w:val="00E44377"/>
    <w:rsid w:val="00E46E95"/>
    <w:rsid w:val="00E470D1"/>
    <w:rsid w:val="00E4735D"/>
    <w:rsid w:val="00E47B8C"/>
    <w:rsid w:val="00E50C27"/>
    <w:rsid w:val="00E52E34"/>
    <w:rsid w:val="00E5396D"/>
    <w:rsid w:val="00E5442E"/>
    <w:rsid w:val="00E556B0"/>
    <w:rsid w:val="00E564BF"/>
    <w:rsid w:val="00E56541"/>
    <w:rsid w:val="00E56BAF"/>
    <w:rsid w:val="00E61CBC"/>
    <w:rsid w:val="00E630C7"/>
    <w:rsid w:val="00E6391A"/>
    <w:rsid w:val="00E63C59"/>
    <w:rsid w:val="00E646F0"/>
    <w:rsid w:val="00E65B2F"/>
    <w:rsid w:val="00E66D1A"/>
    <w:rsid w:val="00E6744F"/>
    <w:rsid w:val="00E67D2D"/>
    <w:rsid w:val="00E717B0"/>
    <w:rsid w:val="00E723A9"/>
    <w:rsid w:val="00E7341B"/>
    <w:rsid w:val="00E74A24"/>
    <w:rsid w:val="00E758C8"/>
    <w:rsid w:val="00E776C1"/>
    <w:rsid w:val="00E806A0"/>
    <w:rsid w:val="00E817A3"/>
    <w:rsid w:val="00E828F6"/>
    <w:rsid w:val="00E82A3C"/>
    <w:rsid w:val="00E83327"/>
    <w:rsid w:val="00E83DB6"/>
    <w:rsid w:val="00E90293"/>
    <w:rsid w:val="00E90431"/>
    <w:rsid w:val="00E91056"/>
    <w:rsid w:val="00E92AFE"/>
    <w:rsid w:val="00E93A6A"/>
    <w:rsid w:val="00E950F0"/>
    <w:rsid w:val="00E95F69"/>
    <w:rsid w:val="00E96063"/>
    <w:rsid w:val="00E96684"/>
    <w:rsid w:val="00E97F12"/>
    <w:rsid w:val="00EA1D2B"/>
    <w:rsid w:val="00EA22ED"/>
    <w:rsid w:val="00EA2DA4"/>
    <w:rsid w:val="00EA496E"/>
    <w:rsid w:val="00EA4ECD"/>
    <w:rsid w:val="00EA5987"/>
    <w:rsid w:val="00EA6ADC"/>
    <w:rsid w:val="00EA7180"/>
    <w:rsid w:val="00EA78D5"/>
    <w:rsid w:val="00EB076B"/>
    <w:rsid w:val="00EB1884"/>
    <w:rsid w:val="00EB19C9"/>
    <w:rsid w:val="00EB1E2C"/>
    <w:rsid w:val="00EB1F13"/>
    <w:rsid w:val="00EB244E"/>
    <w:rsid w:val="00EB3A8E"/>
    <w:rsid w:val="00EB582F"/>
    <w:rsid w:val="00EB6433"/>
    <w:rsid w:val="00EB6674"/>
    <w:rsid w:val="00EB7FE6"/>
    <w:rsid w:val="00EC184F"/>
    <w:rsid w:val="00EC2EA8"/>
    <w:rsid w:val="00EC2F28"/>
    <w:rsid w:val="00EC40A0"/>
    <w:rsid w:val="00EC5572"/>
    <w:rsid w:val="00EC57B9"/>
    <w:rsid w:val="00EC63A5"/>
    <w:rsid w:val="00EC732B"/>
    <w:rsid w:val="00EC7E36"/>
    <w:rsid w:val="00ED061B"/>
    <w:rsid w:val="00ED17F5"/>
    <w:rsid w:val="00ED18E6"/>
    <w:rsid w:val="00ED1DF8"/>
    <w:rsid w:val="00ED2E03"/>
    <w:rsid w:val="00ED34D3"/>
    <w:rsid w:val="00ED417A"/>
    <w:rsid w:val="00ED451B"/>
    <w:rsid w:val="00ED453C"/>
    <w:rsid w:val="00ED5881"/>
    <w:rsid w:val="00ED5A95"/>
    <w:rsid w:val="00ED5B3E"/>
    <w:rsid w:val="00ED6010"/>
    <w:rsid w:val="00ED6885"/>
    <w:rsid w:val="00EE0D01"/>
    <w:rsid w:val="00EE134F"/>
    <w:rsid w:val="00EE1DE3"/>
    <w:rsid w:val="00EE29E5"/>
    <w:rsid w:val="00EE2DC0"/>
    <w:rsid w:val="00EE4778"/>
    <w:rsid w:val="00EE4B3B"/>
    <w:rsid w:val="00EE5B6A"/>
    <w:rsid w:val="00EE7CC8"/>
    <w:rsid w:val="00EF01C7"/>
    <w:rsid w:val="00EF0473"/>
    <w:rsid w:val="00EF0D29"/>
    <w:rsid w:val="00EF1F40"/>
    <w:rsid w:val="00EF34CB"/>
    <w:rsid w:val="00EF3F2E"/>
    <w:rsid w:val="00EF4135"/>
    <w:rsid w:val="00EF41DF"/>
    <w:rsid w:val="00EF43C7"/>
    <w:rsid w:val="00EF461A"/>
    <w:rsid w:val="00EF4929"/>
    <w:rsid w:val="00EF5A8B"/>
    <w:rsid w:val="00EF5BB9"/>
    <w:rsid w:val="00F002F4"/>
    <w:rsid w:val="00F00631"/>
    <w:rsid w:val="00F00E8E"/>
    <w:rsid w:val="00F0223F"/>
    <w:rsid w:val="00F04F7D"/>
    <w:rsid w:val="00F052A3"/>
    <w:rsid w:val="00F05751"/>
    <w:rsid w:val="00F06CFA"/>
    <w:rsid w:val="00F12722"/>
    <w:rsid w:val="00F12D6D"/>
    <w:rsid w:val="00F12F7E"/>
    <w:rsid w:val="00F13BA8"/>
    <w:rsid w:val="00F147E4"/>
    <w:rsid w:val="00F14A1E"/>
    <w:rsid w:val="00F14FB2"/>
    <w:rsid w:val="00F1511D"/>
    <w:rsid w:val="00F2325E"/>
    <w:rsid w:val="00F23420"/>
    <w:rsid w:val="00F23A13"/>
    <w:rsid w:val="00F23BF1"/>
    <w:rsid w:val="00F23C63"/>
    <w:rsid w:val="00F24B90"/>
    <w:rsid w:val="00F24F48"/>
    <w:rsid w:val="00F2532A"/>
    <w:rsid w:val="00F26679"/>
    <w:rsid w:val="00F27342"/>
    <w:rsid w:val="00F30CEE"/>
    <w:rsid w:val="00F30D33"/>
    <w:rsid w:val="00F3163A"/>
    <w:rsid w:val="00F32739"/>
    <w:rsid w:val="00F34236"/>
    <w:rsid w:val="00F37162"/>
    <w:rsid w:val="00F37508"/>
    <w:rsid w:val="00F41B05"/>
    <w:rsid w:val="00F44280"/>
    <w:rsid w:val="00F44691"/>
    <w:rsid w:val="00F446A0"/>
    <w:rsid w:val="00F45D88"/>
    <w:rsid w:val="00F45FAA"/>
    <w:rsid w:val="00F463FF"/>
    <w:rsid w:val="00F47862"/>
    <w:rsid w:val="00F504C1"/>
    <w:rsid w:val="00F506A7"/>
    <w:rsid w:val="00F50970"/>
    <w:rsid w:val="00F5188A"/>
    <w:rsid w:val="00F53662"/>
    <w:rsid w:val="00F5478A"/>
    <w:rsid w:val="00F54CA2"/>
    <w:rsid w:val="00F55014"/>
    <w:rsid w:val="00F567E0"/>
    <w:rsid w:val="00F57F44"/>
    <w:rsid w:val="00F60ADB"/>
    <w:rsid w:val="00F619B9"/>
    <w:rsid w:val="00F6222B"/>
    <w:rsid w:val="00F62C02"/>
    <w:rsid w:val="00F62E29"/>
    <w:rsid w:val="00F631E9"/>
    <w:rsid w:val="00F63C9A"/>
    <w:rsid w:val="00F65596"/>
    <w:rsid w:val="00F65AB5"/>
    <w:rsid w:val="00F65D70"/>
    <w:rsid w:val="00F662C1"/>
    <w:rsid w:val="00F66A9E"/>
    <w:rsid w:val="00F67F9A"/>
    <w:rsid w:val="00F706C5"/>
    <w:rsid w:val="00F70CB5"/>
    <w:rsid w:val="00F71557"/>
    <w:rsid w:val="00F7173E"/>
    <w:rsid w:val="00F73034"/>
    <w:rsid w:val="00F74169"/>
    <w:rsid w:val="00F77A90"/>
    <w:rsid w:val="00F80E82"/>
    <w:rsid w:val="00F82447"/>
    <w:rsid w:val="00F82AA5"/>
    <w:rsid w:val="00F832BF"/>
    <w:rsid w:val="00F837DA"/>
    <w:rsid w:val="00F838AF"/>
    <w:rsid w:val="00F83973"/>
    <w:rsid w:val="00F84565"/>
    <w:rsid w:val="00F85DE6"/>
    <w:rsid w:val="00F8606D"/>
    <w:rsid w:val="00F87F52"/>
    <w:rsid w:val="00F90C65"/>
    <w:rsid w:val="00F92F7B"/>
    <w:rsid w:val="00F932EB"/>
    <w:rsid w:val="00F934B4"/>
    <w:rsid w:val="00F938EB"/>
    <w:rsid w:val="00F947AA"/>
    <w:rsid w:val="00F97A4F"/>
    <w:rsid w:val="00FA1338"/>
    <w:rsid w:val="00FA141D"/>
    <w:rsid w:val="00FA1894"/>
    <w:rsid w:val="00FA2A72"/>
    <w:rsid w:val="00FA2CA1"/>
    <w:rsid w:val="00FA3EC5"/>
    <w:rsid w:val="00FA4B71"/>
    <w:rsid w:val="00FA59B6"/>
    <w:rsid w:val="00FA7643"/>
    <w:rsid w:val="00FA7C41"/>
    <w:rsid w:val="00FB03C3"/>
    <w:rsid w:val="00FB0A7D"/>
    <w:rsid w:val="00FB3396"/>
    <w:rsid w:val="00FB3693"/>
    <w:rsid w:val="00FB3C9D"/>
    <w:rsid w:val="00FB5130"/>
    <w:rsid w:val="00FB6689"/>
    <w:rsid w:val="00FB76CD"/>
    <w:rsid w:val="00FB7CA6"/>
    <w:rsid w:val="00FC0C32"/>
    <w:rsid w:val="00FC15C7"/>
    <w:rsid w:val="00FC2E31"/>
    <w:rsid w:val="00FC6CDB"/>
    <w:rsid w:val="00FC7DE5"/>
    <w:rsid w:val="00FD01DA"/>
    <w:rsid w:val="00FD1E7F"/>
    <w:rsid w:val="00FD2704"/>
    <w:rsid w:val="00FD2FC3"/>
    <w:rsid w:val="00FD31ED"/>
    <w:rsid w:val="00FD36F9"/>
    <w:rsid w:val="00FD3DCE"/>
    <w:rsid w:val="00FD59A2"/>
    <w:rsid w:val="00FD5B22"/>
    <w:rsid w:val="00FD75E7"/>
    <w:rsid w:val="00FE0EFA"/>
    <w:rsid w:val="00FE127A"/>
    <w:rsid w:val="00FE16F4"/>
    <w:rsid w:val="00FE3D5B"/>
    <w:rsid w:val="00FE403A"/>
    <w:rsid w:val="00FE48EF"/>
    <w:rsid w:val="00FE728B"/>
    <w:rsid w:val="00FE778D"/>
    <w:rsid w:val="00FF0517"/>
    <w:rsid w:val="00FF242B"/>
    <w:rsid w:val="00FF2A72"/>
    <w:rsid w:val="00FF47D9"/>
    <w:rsid w:val="00FF49D1"/>
    <w:rsid w:val="00FF4FE3"/>
    <w:rsid w:val="00FF5E01"/>
    <w:rsid w:val="00FF70AC"/>
    <w:rsid w:val="00FF7193"/>
    <w:rsid w:val="06422114"/>
    <w:rsid w:val="10FCF210"/>
    <w:rsid w:val="15BFF26E"/>
    <w:rsid w:val="15ED188E"/>
    <w:rsid w:val="15FA29E7"/>
    <w:rsid w:val="1BAFD6B9"/>
    <w:rsid w:val="1C7F0E3A"/>
    <w:rsid w:val="1D768073"/>
    <w:rsid w:val="1DFD6B4F"/>
    <w:rsid w:val="1E8FF32D"/>
    <w:rsid w:val="1FEE957C"/>
    <w:rsid w:val="2BC88697"/>
    <w:rsid w:val="2BECBDCA"/>
    <w:rsid w:val="2CE70080"/>
    <w:rsid w:val="316E2BBF"/>
    <w:rsid w:val="33FE3456"/>
    <w:rsid w:val="34EDDDDE"/>
    <w:rsid w:val="36EABDF9"/>
    <w:rsid w:val="36FABC0A"/>
    <w:rsid w:val="37DEF7C3"/>
    <w:rsid w:val="37FD083E"/>
    <w:rsid w:val="37FF6D00"/>
    <w:rsid w:val="39BC576F"/>
    <w:rsid w:val="3C7EF7C7"/>
    <w:rsid w:val="3CF70072"/>
    <w:rsid w:val="3DFF6C77"/>
    <w:rsid w:val="3DFFD794"/>
    <w:rsid w:val="3EEF527B"/>
    <w:rsid w:val="3F5E21D1"/>
    <w:rsid w:val="3F7C800A"/>
    <w:rsid w:val="3F7F3F79"/>
    <w:rsid w:val="3FEB202F"/>
    <w:rsid w:val="3FFC99F3"/>
    <w:rsid w:val="4C0F220C"/>
    <w:rsid w:val="4E7FA4FD"/>
    <w:rsid w:val="4EBFA5E4"/>
    <w:rsid w:val="4EBFACE1"/>
    <w:rsid w:val="4EF5DCD5"/>
    <w:rsid w:val="4FBFD72B"/>
    <w:rsid w:val="4FFC2B10"/>
    <w:rsid w:val="51D7AE16"/>
    <w:rsid w:val="54F75B31"/>
    <w:rsid w:val="571B982B"/>
    <w:rsid w:val="5ABFAC1B"/>
    <w:rsid w:val="5ACE38BE"/>
    <w:rsid w:val="5AFFC3BB"/>
    <w:rsid w:val="5B57A5EF"/>
    <w:rsid w:val="5D9F9768"/>
    <w:rsid w:val="5DEBF8CD"/>
    <w:rsid w:val="5DEFF90B"/>
    <w:rsid w:val="5DF1812E"/>
    <w:rsid w:val="5E3BC5A7"/>
    <w:rsid w:val="5ED214D7"/>
    <w:rsid w:val="5FA77A7B"/>
    <w:rsid w:val="5FDDBB72"/>
    <w:rsid w:val="673146B2"/>
    <w:rsid w:val="6777EF3F"/>
    <w:rsid w:val="679D8D2C"/>
    <w:rsid w:val="67CFF1D1"/>
    <w:rsid w:val="6A3E1FE9"/>
    <w:rsid w:val="6D7980AB"/>
    <w:rsid w:val="6D9D0C9E"/>
    <w:rsid w:val="6DB730C7"/>
    <w:rsid w:val="6DFD55DA"/>
    <w:rsid w:val="6DFFEE08"/>
    <w:rsid w:val="6E6762EF"/>
    <w:rsid w:val="6E97B735"/>
    <w:rsid w:val="6EE31626"/>
    <w:rsid w:val="6F2FCDAC"/>
    <w:rsid w:val="6F7FC70E"/>
    <w:rsid w:val="6F7FC8F7"/>
    <w:rsid w:val="6FEBB5DF"/>
    <w:rsid w:val="6FFB5A66"/>
    <w:rsid w:val="6FFB72F9"/>
    <w:rsid w:val="6FFE794C"/>
    <w:rsid w:val="72FF7D3E"/>
    <w:rsid w:val="737B09EA"/>
    <w:rsid w:val="73F75F1C"/>
    <w:rsid w:val="747E73E6"/>
    <w:rsid w:val="74FF2300"/>
    <w:rsid w:val="753E09AC"/>
    <w:rsid w:val="75FF75D9"/>
    <w:rsid w:val="767E48DF"/>
    <w:rsid w:val="76CF5666"/>
    <w:rsid w:val="774B0BEB"/>
    <w:rsid w:val="77AD8D01"/>
    <w:rsid w:val="77BF41CE"/>
    <w:rsid w:val="77CCE5A7"/>
    <w:rsid w:val="77ED2A08"/>
    <w:rsid w:val="77F59E7A"/>
    <w:rsid w:val="77FBD5D0"/>
    <w:rsid w:val="7936BD0F"/>
    <w:rsid w:val="79AB18F4"/>
    <w:rsid w:val="79EFDF39"/>
    <w:rsid w:val="7ABF6AFE"/>
    <w:rsid w:val="7ADFEFA9"/>
    <w:rsid w:val="7B7CCF4F"/>
    <w:rsid w:val="7B7F79B7"/>
    <w:rsid w:val="7BAA0D73"/>
    <w:rsid w:val="7BF71BAE"/>
    <w:rsid w:val="7BF9037D"/>
    <w:rsid w:val="7BFA5610"/>
    <w:rsid w:val="7BFD89A6"/>
    <w:rsid w:val="7BFEEB74"/>
    <w:rsid w:val="7BFF9099"/>
    <w:rsid w:val="7CFE29C9"/>
    <w:rsid w:val="7D275CCC"/>
    <w:rsid w:val="7D67BCFA"/>
    <w:rsid w:val="7DE9AB8F"/>
    <w:rsid w:val="7E7B2BC0"/>
    <w:rsid w:val="7E7FAAF9"/>
    <w:rsid w:val="7EBF7CFE"/>
    <w:rsid w:val="7F773E4C"/>
    <w:rsid w:val="7F7F0F53"/>
    <w:rsid w:val="7F7FB460"/>
    <w:rsid w:val="7FBC57DC"/>
    <w:rsid w:val="7FBFF85B"/>
    <w:rsid w:val="7FDA952E"/>
    <w:rsid w:val="7FFB09E6"/>
    <w:rsid w:val="7FFF4AD3"/>
    <w:rsid w:val="7FFF8F8C"/>
    <w:rsid w:val="7FFFE791"/>
    <w:rsid w:val="87FB8052"/>
    <w:rsid w:val="96771EBB"/>
    <w:rsid w:val="96DD690C"/>
    <w:rsid w:val="97FC7A88"/>
    <w:rsid w:val="9BDE8E32"/>
    <w:rsid w:val="9DBFCF40"/>
    <w:rsid w:val="9F5F9471"/>
    <w:rsid w:val="9FE99A5A"/>
    <w:rsid w:val="9FEE1CEF"/>
    <w:rsid w:val="A76A5CAE"/>
    <w:rsid w:val="A7AF3E5E"/>
    <w:rsid w:val="A7FF7F2E"/>
    <w:rsid w:val="AFDFA79E"/>
    <w:rsid w:val="B0B73018"/>
    <w:rsid w:val="B1E502F3"/>
    <w:rsid w:val="B3BB2332"/>
    <w:rsid w:val="B4F6DF27"/>
    <w:rsid w:val="B6CBE446"/>
    <w:rsid w:val="B769F6DB"/>
    <w:rsid w:val="BBE74719"/>
    <w:rsid w:val="BBFFD7DF"/>
    <w:rsid w:val="BDBFB221"/>
    <w:rsid w:val="BDFE4124"/>
    <w:rsid w:val="BDFF7886"/>
    <w:rsid w:val="BE6BFC10"/>
    <w:rsid w:val="BEBE977D"/>
    <w:rsid w:val="BEF5F4E0"/>
    <w:rsid w:val="BF6B9CD2"/>
    <w:rsid w:val="BF76CECB"/>
    <w:rsid w:val="BF7C24D7"/>
    <w:rsid w:val="BF7F7C80"/>
    <w:rsid w:val="BFB6CDBB"/>
    <w:rsid w:val="BFBF5BD3"/>
    <w:rsid w:val="BFEBAFBD"/>
    <w:rsid w:val="BFFF5D94"/>
    <w:rsid w:val="CF9F7E6A"/>
    <w:rsid w:val="D39B9097"/>
    <w:rsid w:val="D3FDF30B"/>
    <w:rsid w:val="D5BB7FE6"/>
    <w:rsid w:val="D5F7DC17"/>
    <w:rsid w:val="D76F47C3"/>
    <w:rsid w:val="D7F56008"/>
    <w:rsid w:val="D7F9BBC2"/>
    <w:rsid w:val="D7FFB864"/>
    <w:rsid w:val="DB7F83EA"/>
    <w:rsid w:val="DB938D80"/>
    <w:rsid w:val="DBD32679"/>
    <w:rsid w:val="DBFF8875"/>
    <w:rsid w:val="DD9F8DCA"/>
    <w:rsid w:val="DDFD7063"/>
    <w:rsid w:val="DEFF159B"/>
    <w:rsid w:val="DF575F83"/>
    <w:rsid w:val="DF7DAA77"/>
    <w:rsid w:val="DF7DD3F2"/>
    <w:rsid w:val="DF7F6007"/>
    <w:rsid w:val="DFD33A9C"/>
    <w:rsid w:val="DFDFFE16"/>
    <w:rsid w:val="DFECEF9E"/>
    <w:rsid w:val="E67E3746"/>
    <w:rsid w:val="E6BF5834"/>
    <w:rsid w:val="E75FB4F6"/>
    <w:rsid w:val="E7D74BB2"/>
    <w:rsid w:val="E7DFC123"/>
    <w:rsid w:val="E7FBCC55"/>
    <w:rsid w:val="E7FD9046"/>
    <w:rsid w:val="EBFD02D4"/>
    <w:rsid w:val="EBFFD6A5"/>
    <w:rsid w:val="ECEF17C9"/>
    <w:rsid w:val="ECFE99D9"/>
    <w:rsid w:val="EDA9BC8F"/>
    <w:rsid w:val="EDBB760A"/>
    <w:rsid w:val="EDEEA1D6"/>
    <w:rsid w:val="EDF9D6BF"/>
    <w:rsid w:val="EDFD3309"/>
    <w:rsid w:val="EEEA3D70"/>
    <w:rsid w:val="EEFE7AEB"/>
    <w:rsid w:val="EF6E663E"/>
    <w:rsid w:val="EFEF19DC"/>
    <w:rsid w:val="EFFD8CB0"/>
    <w:rsid w:val="F10FF4A1"/>
    <w:rsid w:val="F1958D3D"/>
    <w:rsid w:val="F1FDB1B3"/>
    <w:rsid w:val="F1FED721"/>
    <w:rsid w:val="F2BB4691"/>
    <w:rsid w:val="F2FD80A4"/>
    <w:rsid w:val="F3596888"/>
    <w:rsid w:val="F37F3F2A"/>
    <w:rsid w:val="F3A5EFAF"/>
    <w:rsid w:val="F64F29E6"/>
    <w:rsid w:val="F6CA372A"/>
    <w:rsid w:val="F6DB9956"/>
    <w:rsid w:val="F6FAC7BF"/>
    <w:rsid w:val="F758FF7B"/>
    <w:rsid w:val="F7658A92"/>
    <w:rsid w:val="F77F8E84"/>
    <w:rsid w:val="F7EF5B3B"/>
    <w:rsid w:val="F7F4D38B"/>
    <w:rsid w:val="F7F9DBC6"/>
    <w:rsid w:val="F7FAC838"/>
    <w:rsid w:val="F7FB08FE"/>
    <w:rsid w:val="F7FCCAC7"/>
    <w:rsid w:val="F7FF2903"/>
    <w:rsid w:val="F87DCA08"/>
    <w:rsid w:val="F8FAAF93"/>
    <w:rsid w:val="F9FC321C"/>
    <w:rsid w:val="FA5BEA5A"/>
    <w:rsid w:val="FAFE4B35"/>
    <w:rsid w:val="FB7FB6FE"/>
    <w:rsid w:val="FB7FD492"/>
    <w:rsid w:val="FB9E42E8"/>
    <w:rsid w:val="FBFF71BC"/>
    <w:rsid w:val="FD5F493F"/>
    <w:rsid w:val="FDD731C1"/>
    <w:rsid w:val="FDDFB341"/>
    <w:rsid w:val="FDEA8183"/>
    <w:rsid w:val="FDEBD183"/>
    <w:rsid w:val="FDEE0D9D"/>
    <w:rsid w:val="FDF56225"/>
    <w:rsid w:val="FDF7B85B"/>
    <w:rsid w:val="FDFD2B6F"/>
    <w:rsid w:val="FDFF7FBB"/>
    <w:rsid w:val="FE57B7EF"/>
    <w:rsid w:val="FE7828E1"/>
    <w:rsid w:val="FE7F7257"/>
    <w:rsid w:val="FE97758A"/>
    <w:rsid w:val="FEAEE14E"/>
    <w:rsid w:val="FECD4BE9"/>
    <w:rsid w:val="FF1FF106"/>
    <w:rsid w:val="FF6A311F"/>
    <w:rsid w:val="FF7675B5"/>
    <w:rsid w:val="FF776E9F"/>
    <w:rsid w:val="FF7E2B12"/>
    <w:rsid w:val="FF7F9260"/>
    <w:rsid w:val="FFAB9866"/>
    <w:rsid w:val="FFBD3FB2"/>
    <w:rsid w:val="FFBFA07A"/>
    <w:rsid w:val="FFDB5A0B"/>
    <w:rsid w:val="FFDBCC25"/>
    <w:rsid w:val="FFDDFAF4"/>
    <w:rsid w:val="FFDEC3CD"/>
    <w:rsid w:val="FFEF3B67"/>
    <w:rsid w:val="FFF58AEC"/>
    <w:rsid w:val="FFF955D8"/>
    <w:rsid w:val="FFFC113C"/>
    <w:rsid w:val="FFFC9B51"/>
    <w:rsid w:val="FFFD69E0"/>
    <w:rsid w:val="FFFF23C5"/>
    <w:rsid w:val="FFFF7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26"/>
    <w:qFormat/>
    <w:uiPriority w:val="9"/>
    <w:pPr>
      <w:spacing w:before="100" w:beforeAutospacing="1" w:after="100" w:afterAutospacing="1"/>
      <w:outlineLvl w:val="0"/>
    </w:pPr>
    <w:rPr>
      <w:b/>
      <w:bCs/>
      <w:kern w:val="36"/>
      <w:sz w:val="48"/>
      <w:szCs w:val="48"/>
    </w:rPr>
  </w:style>
  <w:style w:type="character" w:default="1" w:styleId="9">
    <w:name w:val="Default Paragraph Font"/>
    <w:unhideWhenUsed/>
    <w:uiPriority w:val="1"/>
  </w:style>
  <w:style w:type="table" w:default="1" w:styleId="15">
    <w:name w:val="Normal Table"/>
    <w:unhideWhenUsed/>
    <w:uiPriority w:val="99"/>
    <w:tblPr>
      <w:tblCellMar>
        <w:top w:w="0" w:type="dxa"/>
        <w:left w:w="108" w:type="dxa"/>
        <w:bottom w:w="0" w:type="dxa"/>
        <w:right w:w="108" w:type="dxa"/>
      </w:tblCellMar>
    </w:tblPr>
  </w:style>
  <w:style w:type="paragraph" w:styleId="3">
    <w:name w:val="annotation subject"/>
    <w:basedOn w:val="4"/>
    <w:next w:val="4"/>
    <w:link w:val="39"/>
    <w:unhideWhenUsed/>
    <w:uiPriority w:val="99"/>
    <w:rPr>
      <w:b/>
      <w:bCs/>
    </w:rPr>
  </w:style>
  <w:style w:type="paragraph" w:styleId="4">
    <w:name w:val="annotation text"/>
    <w:basedOn w:val="1"/>
    <w:link w:val="38"/>
    <w:unhideWhenUsed/>
    <w:uiPriority w:val="99"/>
  </w:style>
  <w:style w:type="paragraph" w:styleId="5">
    <w:name w:val="Balloon Text"/>
    <w:basedOn w:val="1"/>
    <w:link w:val="36"/>
    <w:unhideWhenUsed/>
    <w:uiPriority w:val="99"/>
    <w:rPr>
      <w:sz w:val="18"/>
      <w:szCs w:val="18"/>
    </w:rPr>
  </w:style>
  <w:style w:type="paragraph" w:styleId="6">
    <w:name w:val="footer"/>
    <w:basedOn w:val="1"/>
    <w:link w:val="1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7">
    <w:name w:val="header"/>
    <w:basedOn w:val="1"/>
    <w:link w:val="1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8">
    <w:name w:val="Normal (Web)"/>
    <w:basedOn w:val="1"/>
    <w:unhideWhenUsed/>
    <w:qFormat/>
    <w:uiPriority w:val="99"/>
    <w:pPr>
      <w:spacing w:before="100" w:beforeAutospacing="1" w:after="100" w:afterAutospacing="1"/>
    </w:pPr>
  </w:style>
  <w:style w:type="character" w:styleId="10">
    <w:name w:val="Strong"/>
    <w:basedOn w:val="9"/>
    <w:qFormat/>
    <w:uiPriority w:val="22"/>
    <w:rPr>
      <w:b/>
      <w:bCs/>
    </w:rPr>
  </w:style>
  <w:style w:type="character" w:styleId="11">
    <w:name w:val="FollowedHyperlink"/>
    <w:basedOn w:val="9"/>
    <w:unhideWhenUsed/>
    <w:uiPriority w:val="99"/>
    <w:rPr>
      <w:color w:val="954F72" w:themeColor="followedHyperlink"/>
      <w:u w:val="single"/>
      <w14:textFill>
        <w14:solidFill>
          <w14:schemeClr w14:val="folHlink"/>
        </w14:solidFill>
      </w14:textFill>
    </w:rPr>
  </w:style>
  <w:style w:type="character" w:styleId="12">
    <w:name w:val="line number"/>
    <w:basedOn w:val="9"/>
    <w:unhideWhenUsed/>
    <w:uiPriority w:val="99"/>
  </w:style>
  <w:style w:type="character" w:styleId="13">
    <w:name w:val="Hyperlink"/>
    <w:basedOn w:val="9"/>
    <w:unhideWhenUsed/>
    <w:qFormat/>
    <w:uiPriority w:val="99"/>
    <w:rPr>
      <w:color w:val="0563C1" w:themeColor="hyperlink"/>
      <w:u w:val="single"/>
      <w14:textFill>
        <w14:solidFill>
          <w14:schemeClr w14:val="hlink"/>
        </w14:solidFill>
      </w14:textFill>
    </w:rPr>
  </w:style>
  <w:style w:type="character" w:styleId="14">
    <w:name w:val="annotation reference"/>
    <w:basedOn w:val="9"/>
    <w:unhideWhenUsed/>
    <w:uiPriority w:val="99"/>
    <w:rPr>
      <w:sz w:val="21"/>
      <w:szCs w:val="21"/>
    </w:rPr>
  </w:style>
  <w:style w:type="table" w:styleId="16">
    <w:name w:val="Table Grid"/>
    <w:basedOn w:val="1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列表段落1"/>
    <w:basedOn w:val="1"/>
    <w:link w:val="21"/>
    <w:qFormat/>
    <w:uiPriority w:val="34"/>
    <w:pPr>
      <w:widowControl w:val="0"/>
      <w:ind w:firstLine="420" w:firstLineChars="200"/>
      <w:jc w:val="both"/>
    </w:pPr>
    <w:rPr>
      <w:rFonts w:asciiTheme="minorHAnsi" w:hAnsiTheme="minorHAnsi" w:eastAsiaTheme="minorEastAsia" w:cstheme="minorBidi"/>
      <w:kern w:val="2"/>
      <w:sz w:val="21"/>
      <w:szCs w:val="22"/>
    </w:rPr>
  </w:style>
  <w:style w:type="character" w:customStyle="1" w:styleId="18">
    <w:name w:val="页眉 字符"/>
    <w:basedOn w:val="9"/>
    <w:link w:val="7"/>
    <w:qFormat/>
    <w:uiPriority w:val="99"/>
    <w:rPr>
      <w:sz w:val="18"/>
      <w:szCs w:val="18"/>
    </w:rPr>
  </w:style>
  <w:style w:type="character" w:customStyle="1" w:styleId="19">
    <w:name w:val="页脚 字符"/>
    <w:basedOn w:val="9"/>
    <w:link w:val="6"/>
    <w:qFormat/>
    <w:uiPriority w:val="99"/>
    <w:rPr>
      <w:sz w:val="18"/>
      <w:szCs w:val="18"/>
    </w:rPr>
  </w:style>
  <w:style w:type="paragraph" w:customStyle="1" w:styleId="20">
    <w:name w:val="EndNote Bibliography Title"/>
    <w:basedOn w:val="1"/>
    <w:link w:val="22"/>
    <w:qFormat/>
    <w:uiPriority w:val="0"/>
    <w:pPr>
      <w:widowControl w:val="0"/>
      <w:jc w:val="center"/>
    </w:pPr>
    <w:rPr>
      <w:rFonts w:ascii="Calibri" w:hAnsi="Calibri" w:cs="Calibri" w:eastAsiaTheme="minorEastAsia"/>
      <w:kern w:val="2"/>
      <w:sz w:val="20"/>
      <w:szCs w:val="22"/>
    </w:rPr>
  </w:style>
  <w:style w:type="character" w:customStyle="1" w:styleId="21">
    <w:name w:val="列表段落 字符"/>
    <w:basedOn w:val="9"/>
    <w:link w:val="17"/>
    <w:qFormat/>
    <w:uiPriority w:val="34"/>
  </w:style>
  <w:style w:type="character" w:customStyle="1" w:styleId="22">
    <w:name w:val="EndNote Bibliography Title 字符"/>
    <w:basedOn w:val="21"/>
    <w:link w:val="20"/>
    <w:qFormat/>
    <w:uiPriority w:val="0"/>
    <w:rPr>
      <w:rFonts w:ascii="Calibri" w:hAnsi="Calibri" w:cs="Calibri" w:eastAsiaTheme="minorEastAsia"/>
      <w:kern w:val="2"/>
      <w:szCs w:val="22"/>
    </w:rPr>
  </w:style>
  <w:style w:type="paragraph" w:customStyle="1" w:styleId="23">
    <w:name w:val="EndNote Bibliography"/>
    <w:basedOn w:val="1"/>
    <w:link w:val="24"/>
    <w:qFormat/>
    <w:uiPriority w:val="0"/>
    <w:pPr>
      <w:widowControl w:val="0"/>
      <w:jc w:val="both"/>
    </w:pPr>
    <w:rPr>
      <w:rFonts w:ascii="Calibri" w:hAnsi="Calibri" w:cs="Calibri" w:eastAsiaTheme="minorEastAsia"/>
      <w:kern w:val="2"/>
      <w:sz w:val="20"/>
      <w:szCs w:val="22"/>
    </w:rPr>
  </w:style>
  <w:style w:type="character" w:customStyle="1" w:styleId="24">
    <w:name w:val="EndNote Bibliography 字符"/>
    <w:basedOn w:val="21"/>
    <w:link w:val="23"/>
    <w:qFormat/>
    <w:uiPriority w:val="0"/>
    <w:rPr>
      <w:rFonts w:ascii="Calibri" w:hAnsi="Calibri" w:cs="Calibri" w:eastAsiaTheme="minorEastAsia"/>
      <w:kern w:val="2"/>
      <w:szCs w:val="22"/>
    </w:rPr>
  </w:style>
  <w:style w:type="character" w:customStyle="1" w:styleId="25">
    <w:name w:val="未处理的提及1"/>
    <w:basedOn w:val="9"/>
    <w:unhideWhenUsed/>
    <w:qFormat/>
    <w:uiPriority w:val="99"/>
    <w:rPr>
      <w:color w:val="605E5C"/>
      <w:shd w:val="clear" w:color="auto" w:fill="E1DFDD"/>
    </w:rPr>
  </w:style>
  <w:style w:type="character" w:customStyle="1" w:styleId="26">
    <w:name w:val="标题 1 字符"/>
    <w:basedOn w:val="9"/>
    <w:link w:val="2"/>
    <w:qFormat/>
    <w:uiPriority w:val="9"/>
    <w:rPr>
      <w:rFonts w:ascii="宋体" w:hAnsi="宋体" w:eastAsia="宋体" w:cs="宋体"/>
      <w:b/>
      <w:bCs/>
      <w:kern w:val="36"/>
      <w:sz w:val="48"/>
      <w:szCs w:val="48"/>
    </w:rPr>
  </w:style>
  <w:style w:type="character" w:customStyle="1" w:styleId="27">
    <w:name w:val="hit_syn"/>
    <w:basedOn w:val="9"/>
    <w:qFormat/>
    <w:uiPriority w:val="0"/>
  </w:style>
  <w:style w:type="character" w:customStyle="1" w:styleId="28">
    <w:name w:val="hit_inf"/>
    <w:basedOn w:val="9"/>
    <w:qFormat/>
    <w:uiPriority w:val="0"/>
  </w:style>
  <w:style w:type="paragraph" w:customStyle="1" w:styleId="29">
    <w:name w:val="无间隔1"/>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0">
    <w:name w:val="trans-sentence"/>
    <w:basedOn w:val="9"/>
    <w:qFormat/>
    <w:uiPriority w:val="0"/>
  </w:style>
  <w:style w:type="character" w:customStyle="1" w:styleId="31">
    <w:name w:val="high-light-bg"/>
    <w:basedOn w:val="9"/>
    <w:qFormat/>
    <w:uiPriority w:val="0"/>
  </w:style>
  <w:style w:type="paragraph" w:customStyle="1" w:styleId="32">
    <w:name w:val="ordinary-output"/>
    <w:basedOn w:val="1"/>
    <w:qFormat/>
    <w:uiPriority w:val="0"/>
    <w:pPr>
      <w:spacing w:before="100" w:beforeAutospacing="1" w:after="100" w:afterAutospacing="1"/>
    </w:pPr>
  </w:style>
  <w:style w:type="paragraph" w:customStyle="1" w:styleId="33">
    <w:name w:val="p1"/>
    <w:basedOn w:val="1"/>
    <w:qFormat/>
    <w:uiPriority w:val="0"/>
    <w:pPr>
      <w:widowControl w:val="0"/>
    </w:pPr>
    <w:rPr>
      <w:rFonts w:ascii="Helvetica" w:hAnsi="Helvetica" w:eastAsia="Helvetica" w:cs="Times New Roman"/>
      <w:sz w:val="18"/>
      <w:szCs w:val="18"/>
    </w:rPr>
  </w:style>
  <w:style w:type="character" w:customStyle="1" w:styleId="34">
    <w:name w:val="占位符文本1"/>
    <w:basedOn w:val="9"/>
    <w:semiHidden/>
    <w:qFormat/>
    <w:uiPriority w:val="99"/>
    <w:rPr>
      <w:color w:val="808080"/>
    </w:rPr>
  </w:style>
  <w:style w:type="paragraph" w:customStyle="1" w:styleId="35">
    <w:name w:val="列表段落2"/>
    <w:basedOn w:val="1"/>
    <w:uiPriority w:val="99"/>
    <w:pPr>
      <w:ind w:firstLine="420" w:firstLineChars="200"/>
    </w:pPr>
  </w:style>
  <w:style w:type="character" w:customStyle="1" w:styleId="36">
    <w:name w:val="批注框文本 字符"/>
    <w:basedOn w:val="9"/>
    <w:link w:val="5"/>
    <w:semiHidden/>
    <w:uiPriority w:val="99"/>
    <w:rPr>
      <w:rFonts w:ascii="宋体" w:hAnsi="宋体" w:eastAsia="宋体" w:cs="宋体"/>
      <w:sz w:val="18"/>
      <w:szCs w:val="18"/>
    </w:rPr>
  </w:style>
  <w:style w:type="character" w:customStyle="1" w:styleId="37">
    <w:name w:val="未处理的提及2"/>
    <w:basedOn w:val="9"/>
    <w:unhideWhenUsed/>
    <w:uiPriority w:val="99"/>
    <w:rPr>
      <w:color w:val="605E5C"/>
      <w:shd w:val="clear" w:color="auto" w:fill="E1DFDD"/>
    </w:rPr>
  </w:style>
  <w:style w:type="character" w:customStyle="1" w:styleId="38">
    <w:name w:val="批注文字 字符"/>
    <w:basedOn w:val="9"/>
    <w:link w:val="4"/>
    <w:semiHidden/>
    <w:uiPriority w:val="99"/>
    <w:rPr>
      <w:rFonts w:ascii="宋体" w:hAnsi="宋体" w:eastAsia="宋体" w:cs="宋体"/>
      <w:sz w:val="24"/>
      <w:szCs w:val="24"/>
    </w:rPr>
  </w:style>
  <w:style w:type="character" w:customStyle="1" w:styleId="39">
    <w:name w:val="批注主题 字符"/>
    <w:basedOn w:val="38"/>
    <w:link w:val="3"/>
    <w:semiHidden/>
    <w:uiPriority w:val="99"/>
    <w:rPr>
      <w:rFonts w:ascii="宋体" w:hAnsi="宋体" w:eastAsia="宋体" w:cs="宋体"/>
      <w:b/>
      <w:bCs/>
      <w:sz w:val="24"/>
      <w:szCs w:val="24"/>
    </w:rPr>
  </w:style>
  <w:style w:type="table" w:customStyle="1" w:styleId="40">
    <w:name w:val="无格式表格 21"/>
    <w:basedOn w:val="15"/>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1">
    <w:name w:val="网格型浅色1"/>
    <w:basedOn w:val="15"/>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42">
    <w:name w:val="无格式表格 41"/>
    <w:basedOn w:val="15"/>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3">
    <w:name w:val="网格表 1 浅色1"/>
    <w:basedOn w:val="15"/>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4">
    <w:name w:val="网格表 1 浅色 - 着色 11"/>
    <w:basedOn w:val="15"/>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5">
    <w:name w:val="无格式表格 31"/>
    <w:basedOn w:val="15"/>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paragraph" w:customStyle="1" w:styleId="46">
    <w:name w:val="列表段落3"/>
    <w:basedOn w:val="1"/>
    <w:uiPriority w:val="99"/>
    <w:pPr>
      <w:ind w:firstLine="420" w:firstLineChars="200"/>
    </w:pPr>
  </w:style>
  <w:style w:type="character" w:customStyle="1" w:styleId="47">
    <w:name w:val="占位符文本2"/>
    <w:basedOn w:val="9"/>
    <w:semiHidden/>
    <w:uiPriority w:val="99"/>
    <w:rPr>
      <w:color w:val="808080"/>
    </w:rPr>
  </w:style>
  <w:style w:type="paragraph" w:customStyle="1" w:styleId="48">
    <w:name w:val="列表段落4"/>
    <w:basedOn w:val="1"/>
    <w:uiPriority w:val="99"/>
    <w:pPr>
      <w:ind w:firstLine="420" w:firstLineChars="200"/>
    </w:pPr>
  </w:style>
  <w:style w:type="character" w:customStyle="1" w:styleId="49">
    <w:name w:val="占位符文本3"/>
    <w:basedOn w:val="9"/>
    <w:semiHidden/>
    <w:uiPriority w:val="99"/>
    <w:rPr>
      <w:color w:val="808080"/>
    </w:rPr>
  </w:style>
  <w:style w:type="paragraph" w:customStyle="1" w:styleId="50">
    <w:name w:val="Body"/>
    <w:qFormat/>
    <w:uiPriority w:val="0"/>
    <w:pPr>
      <w:widowControl w:val="0"/>
      <w:spacing w:after="160" w:line="259" w:lineRule="auto"/>
      <w:jc w:val="both"/>
    </w:pPr>
    <w:rPr>
      <w:rFonts w:ascii="Times New Roman" w:hAnsi="Times New Roman" w:eastAsia="Calibri" w:cs="Calibri"/>
      <w:color w:val="000000"/>
      <w:kern w:val="2"/>
      <w:sz w:val="21"/>
      <w:szCs w:val="21"/>
      <w:lang w:val="en-US" w:eastAsia="en-US" w:bidi="ar-SA"/>
    </w:rPr>
  </w:style>
  <w:style w:type="character" w:customStyle="1" w:styleId="51">
    <w:name w:val="s1"/>
    <w:basedOn w:val="9"/>
    <w:uiPriority w:val="0"/>
    <w:rPr>
      <w:rFonts w:ascii="Helvetica" w:hAnsi="Helvetica" w:eastAsia="Helvetica" w:cs="Helvetica"/>
      <w:sz w:val="20"/>
      <w:szCs w:val="20"/>
    </w:rPr>
  </w:style>
  <w:style w:type="paragraph" w:customStyle="1" w:styleId="52">
    <w:name w:val="p2"/>
    <w:basedOn w:val="1"/>
    <w:uiPriority w:val="0"/>
    <w:rPr>
      <w:rFonts w:ascii="Helvetica" w:hAnsi="Helvetica" w:eastAsia="Helvetica" w:cs="Times New Roman"/>
      <w:color w:val="000000"/>
      <w:sz w:val="18"/>
      <w:szCs w:val="18"/>
    </w:rPr>
  </w:style>
  <w:style w:type="paragraph" w:customStyle="1" w:styleId="53">
    <w:name w:val="正文1"/>
    <w:uiPriority w:val="0"/>
    <w:pPr>
      <w:jc w:val="both"/>
    </w:pPr>
    <w:rPr>
      <w:rFonts w:ascii="Times New Roman" w:hAnsi="Times New Roman" w:eastAsia="宋体" w:cs="Times New Roman"/>
      <w:kern w:val="2"/>
      <w:sz w:val="21"/>
      <w:szCs w:val="21"/>
      <w:lang w:val="en-US" w:eastAsia="zh-CN" w:bidi="ar-SA"/>
    </w:rPr>
  </w:style>
  <w:style w:type="character" w:customStyle="1" w:styleId="54">
    <w:name w:val="占位符文本4"/>
    <w:basedOn w:val="9"/>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10210</Words>
  <Characters>58197</Characters>
  <Lines>484</Lines>
  <Paragraphs>136</Paragraphs>
  <ScaleCrop>false</ScaleCrop>
  <LinksUpToDate>false</LinksUpToDate>
  <CharactersWithSpaces>68271</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2024-04-15T08:00:00Z</dcterms:created>
  <dc:creator>QM16161</dc:creator>
  <cp:lastModifiedBy>xiaoma</cp:lastModifiedBy>
  <cp:lastPrinted>2024-01-14T00:26:00Z</cp:lastPrinted>
  <dcterms:modified xsi:type="dcterms:W3CDTF">2024-12-25T23:00:19Z</dcterms:modified>
  <cp:revision>179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0x01010042D38B9A447EF148BE3FBB0D641DD6A1</vt:lpwstr>
  </property>
  <property fmtid="{D5CDD505-2E9C-101B-9397-08002B2CF9AE}" pid="3" name="KSOProductBuildVer">
    <vt:lpwstr>2052-3.1.1.4956</vt:lpwstr>
  </property>
  <property fmtid="{D5CDD505-2E9C-101B-9397-08002B2CF9AE}" pid="4" name="ICV">
    <vt:lpwstr>3AF9CA1FE263443BBBEE9D0BA13A1118_12</vt:lpwstr>
  </property>
</Properties>
</file>