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Times New Roman" w:hAnsi="Times New Roman"/>
          <w:b/>
          <w:sz w:val="28"/>
        </w:rPr>
        <w:t>Supplementary Material S1. Clause-Citation Matrix for Table 1</w:t>
      </w:r>
    </w:p>
    <w:p>
      <w:r>
        <w:rPr>
          <w:rFonts w:ascii="Times New Roman" w:hAnsi="Times New Roman"/>
        </w:rPr>
        <w:t>References to "the assessment record" denote the authors' 2023 jurisdiction-by-jurisdiction assessment of the primary code documents (section numbers 4.2.x are internal to that record), updated by the June 2026 currency review. The record is not separately published; every coding basis below names the primary code instrument directly.</w:t>
      </w:r>
    </w:p>
    <w:p>
      <w:r>
        <w:rPr>
          <w:rFonts w:ascii="Times New Roman" w:hAnsi="Times New Roman"/>
          <w:b/>
        </w:rPr>
        <w:t>Manuscript:</w:t>
      </w:r>
      <w:r>
        <w:rPr>
          <w:rFonts w:ascii="Times New Roman" w:hAnsi="Times New Roman"/>
        </w:rPr>
        <w:t xml:space="preserve"> Regulated, but Unvalidated, Features of Cavity Barrier Requirements, Test-Standard Adequacy and Physical Evidence Across 16 Building Codes</w:t>
      </w:r>
    </w:p>
    <w:p>
      <w:r>
        <w:rPr>
          <w:rFonts w:ascii="Times New Roman" w:hAnsi="Times New Roman"/>
        </w:rPr>
        <w:t>This supplement documents the basis for every cell of the manuscript's Table 1: the 16-jurisdiction by 8-criterion stringency matrix (128 cells in total). For each cell it records the clause, article, section, or standard from which the coding was derived, drawn from the manuscript (Sections 2.2, 3.2 to 3.4, 5.2, 5.3, and the Table 1 Notes) and from the assessment record (its sections 4.1 to 4.4, including 4.2.1 to 4.2.14). Coding convention: Y = criterion present and specified (1 point); C = conditional, that is occupancy-dependent, height-dependent, material-limited, or otherwise qualified (0.5 points); N = absent (0 points). The aggregate score (maximum 8) maps to half-open tier bands spanning the full 0 to 8 range: Tier 1 (High, 6 to 8), Tier 2 (Moderate-High, 3.5 to below 6), Tier 3 (Moderate, 2 to below 3.5), Tier 4 (Low, 0 to below 2). Codings are reproduced from Table 1 exactly as published; this supplement documents them and does not revise them. Where the manuscript's Notes record reliance on English-language secondary sources (France, Germany, Norway, Japan, Russia), that flag is carried into the Note column of the affected rows. Source abbreviations: MS = the manuscript; assessment record = the authors' unpublished 2023 assessment of the primary code documents. The assessment record contains two sections numbered 4.2.13 (India first, then China); they are cited here as assessment record §4.2.13 (India) and assessment record §4.2.13 (China).</w:t>
      </w:r>
    </w:p>
    <w:p>
      <w:r>
        <w:rPr>
          <w:rFonts w:ascii="Times New Roman" w:hAnsi="Times New Roman"/>
          <w:b/>
        </w:rPr>
        <w:t>The eight criteria</w:t>
      </w:r>
      <w:r>
        <w:rPr>
          <w:rFonts w:ascii="Times New Roman" w:hAnsi="Times New Roman"/>
        </w:rPr>
        <w:t xml:space="preserve"> (MS Section 2.2): (1) mandatory status; (2) building types covered; (3) maximum cavity spacing independent of compartment boundaries; (4) required fire resistance level (FRL); (5) material specification (non-combustible or fire-resisting); (6) dedicated element-level test standard, as distinct from a wall-system test in which barrier performance is incidental; (7) open-state barrier provisions covering activation temperature, closure speed, and intumescent expansion; (8) performance-based compliance alternative.</w:t>
      </w:r>
    </w:p>
    <w:p>
      <w:r>
        <w:rPr>
          <w:rFonts w:ascii="Times New Roman" w:hAnsi="Times New Roman"/>
          <w:b/>
          <w:sz w:val="24"/>
        </w:rPr>
        <w:t>Criterion 8 external verification note</w:t>
      </w:r>
    </w:p>
    <w:p>
      <w:r>
        <w:rPr>
          <w:rFonts w:ascii="Times New Roman" w:hAnsi="Times New Roman"/>
        </w:rPr>
        <w:t>Eight Criterion 8 (performance-based compliance alternative) cells (France, Germany, Norway, Sweden, New Zealand, Japan, Canada, USA) could not be traced to the two source documents and were instead verified externally against authoritative code-body sources in June 2026; each row below carries its instrument, clause, and verification note. All codings stand as published.</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3312"/>
        <w:gridCol w:w="3312"/>
        <w:gridCol w:w="3312"/>
      </w:tblGrid>
      <w:tr>
        <w:tc>
          <w:tcPr>
            <w:tcW w:type="dxa" w:w="3312"/>
          </w:tcPr>
          <w:p>
            <w:r/>
            <w:r>
              <w:rPr>
                <w:rFonts w:ascii="Times New Roman" w:hAnsi="Times New Roman"/>
                <w:b/>
                <w:sz w:val="16"/>
              </w:rPr>
              <w:t>Jurisdiction</w:t>
            </w:r>
          </w:p>
        </w:tc>
        <w:tc>
          <w:tcPr>
            <w:tcW w:type="dxa" w:w="3312"/>
          </w:tcPr>
          <w:p>
            <w:r/>
            <w:r>
              <w:rPr>
                <w:rFonts w:ascii="Times New Roman" w:hAnsi="Times New Roman"/>
                <w:b/>
                <w:sz w:val="16"/>
              </w:rPr>
              <w:t>Criterion</w:t>
            </w:r>
          </w:p>
        </w:tc>
        <w:tc>
          <w:tcPr>
            <w:tcW w:type="dxa" w:w="3312"/>
          </w:tcPr>
          <w:p>
            <w:r/>
            <w:r>
              <w:rPr>
                <w:rFonts w:ascii="Times New Roman" w:hAnsi="Times New Roman"/>
                <w:b/>
                <w:sz w:val="16"/>
              </w:rPr>
              <w:t>Coding as published</w:t>
            </w:r>
          </w:p>
        </w:tc>
      </w:tr>
      <w:tr>
        <w:tc>
          <w:tcPr>
            <w:tcW w:type="dxa" w:w="3312"/>
          </w:tcPr>
          <w:p>
            <w:r/>
            <w:r>
              <w:rPr>
                <w:rFonts w:ascii="Times New Roman" w:hAnsi="Times New Roman"/>
                <w:b w:val="0"/>
                <w:sz w:val="16"/>
              </w:rPr>
              <w:t>France</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Y</w:t>
            </w:r>
          </w:p>
        </w:tc>
      </w:tr>
      <w:tr>
        <w:tc>
          <w:tcPr>
            <w:tcW w:type="dxa" w:w="3312"/>
          </w:tcPr>
          <w:p>
            <w:r/>
            <w:r>
              <w:rPr>
                <w:rFonts w:ascii="Times New Roman" w:hAnsi="Times New Roman"/>
                <w:b w:val="0"/>
                <w:sz w:val="16"/>
              </w:rPr>
              <w:t>Germany</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Y</w:t>
            </w:r>
          </w:p>
        </w:tc>
      </w:tr>
      <w:tr>
        <w:tc>
          <w:tcPr>
            <w:tcW w:type="dxa" w:w="3312"/>
          </w:tcPr>
          <w:p>
            <w:r/>
            <w:r>
              <w:rPr>
                <w:rFonts w:ascii="Times New Roman" w:hAnsi="Times New Roman"/>
                <w:b w:val="0"/>
                <w:sz w:val="16"/>
              </w:rPr>
              <w:t>Norway</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Y</w:t>
            </w:r>
          </w:p>
        </w:tc>
      </w:tr>
      <w:tr>
        <w:tc>
          <w:tcPr>
            <w:tcW w:type="dxa" w:w="3312"/>
          </w:tcPr>
          <w:p>
            <w:r/>
            <w:r>
              <w:rPr>
                <w:rFonts w:ascii="Times New Roman" w:hAnsi="Times New Roman"/>
                <w:b w:val="0"/>
                <w:sz w:val="16"/>
              </w:rPr>
              <w:t>Sweden</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C</w:t>
            </w:r>
          </w:p>
        </w:tc>
      </w:tr>
      <w:tr>
        <w:tc>
          <w:tcPr>
            <w:tcW w:type="dxa" w:w="3312"/>
          </w:tcPr>
          <w:p>
            <w:r/>
            <w:r>
              <w:rPr>
                <w:rFonts w:ascii="Times New Roman" w:hAnsi="Times New Roman"/>
                <w:b w:val="0"/>
                <w:sz w:val="16"/>
              </w:rPr>
              <w:t>New Zealand</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C</w:t>
            </w:r>
          </w:p>
        </w:tc>
      </w:tr>
      <w:tr>
        <w:tc>
          <w:tcPr>
            <w:tcW w:type="dxa" w:w="3312"/>
          </w:tcPr>
          <w:p>
            <w:r/>
            <w:r>
              <w:rPr>
                <w:rFonts w:ascii="Times New Roman" w:hAnsi="Times New Roman"/>
                <w:b w:val="0"/>
                <w:sz w:val="16"/>
              </w:rPr>
              <w:t>Japan</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C</w:t>
            </w:r>
          </w:p>
        </w:tc>
      </w:tr>
      <w:tr>
        <w:tc>
          <w:tcPr>
            <w:tcW w:type="dxa" w:w="3312"/>
          </w:tcPr>
          <w:p>
            <w:r/>
            <w:r>
              <w:rPr>
                <w:rFonts w:ascii="Times New Roman" w:hAnsi="Times New Roman"/>
                <w:b w:val="0"/>
                <w:sz w:val="16"/>
              </w:rPr>
              <w:t>Canada</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Y</w:t>
            </w:r>
          </w:p>
        </w:tc>
      </w:tr>
      <w:tr>
        <w:tc>
          <w:tcPr>
            <w:tcW w:type="dxa" w:w="3312"/>
          </w:tcPr>
          <w:p>
            <w:r/>
            <w:r>
              <w:rPr>
                <w:rFonts w:ascii="Times New Roman" w:hAnsi="Times New Roman"/>
                <w:b w:val="0"/>
                <w:sz w:val="16"/>
              </w:rPr>
              <w:t>USA</w:t>
            </w:r>
          </w:p>
        </w:tc>
        <w:tc>
          <w:tcPr>
            <w:tcW w:type="dxa" w:w="3312"/>
          </w:tcPr>
          <w:p>
            <w:r/>
            <w:r>
              <w:rPr>
                <w:rFonts w:ascii="Times New Roman" w:hAnsi="Times New Roman"/>
                <w:b w:val="0"/>
                <w:sz w:val="16"/>
              </w:rPr>
              <w:t>8. PB alternative</w:t>
            </w:r>
          </w:p>
        </w:tc>
        <w:tc>
          <w:tcPr>
            <w:tcW w:type="dxa" w:w="3312"/>
          </w:tcPr>
          <w:p>
            <w:r/>
            <w:r>
              <w:rPr>
                <w:rFonts w:ascii="Times New Roman" w:hAnsi="Times New Roman"/>
                <w:b w:val="0"/>
                <w:sz w:val="16"/>
              </w:rPr>
              <w:t>Y</w:t>
            </w:r>
          </w:p>
        </w:tc>
      </w:tr>
    </w:tbl>
    <w:p/>
    <w:p>
      <w:r>
        <w:rPr>
          <w:rFonts w:ascii="Times New Roman" w:hAnsi="Times New Roman"/>
        </w:rPr>
        <w:t>Result: 128 of 128 cells documented (120 from the assessment record and manuscript; 8 Criterion 8 cells externally verified against authoritative code-body sources, June 2026).</w:t>
      </w:r>
    </w:p>
    <w:p>
      <w:r>
        <w:rPr>
          <w:rFonts w:ascii="Times New Roman" w:hAnsi="Times New Roman"/>
          <w:b/>
          <w:sz w:val="24"/>
        </w:rPr>
        <w:t>S1.1 United Kingdom (Score 8.0, Tier 1)</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ADB Vol 1, 8.2 and Vol 2, 9.3: cavity barriers mandated to subdivide cavities and close cavity edges; also at junctions with compartment floors/walls (Vol 1, 8.3; Vol 2, 9.3, 9.10) and at protected escape routes (Vol 1, 8.5; Vol 2, 9.4). assessment record §4.2.1; MS 3.2.</w:t>
            </w:r>
          </w:p>
        </w:tc>
        <w:tc>
          <w:tcPr>
            <w:tcW w:type="dxa" w:w="1987"/>
          </w:tcPr>
          <w:p>
            <w:r/>
            <w:r>
              <w:rPr>
                <w:rFonts w:ascii="Times New Roman" w:hAnsi="Times New Roman"/>
                <w:b w:val="0"/>
                <w:sz w:val="16"/>
              </w:rPr>
              <w:t>Table 1 cell and narrative both cite ADB Vol 1 Section 8 / Vol 2 Section 9 (corrected June 2026 from the legacy working-file locus).</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ADB Vol 1 (dwellings), Section 8, plus ADB Vol 2 (buildings other than dwellinghouses), Section 9: parallel provisions covering all building classes. assessment record §4.2.1; MS 3.2.</w:t>
            </w:r>
          </w:p>
        </w:tc>
        <w:tc>
          <w:tcPr>
            <w:tcW w:type="dxa" w:w="1987"/>
          </w:tcPr>
          <w:p>
            <w:r/>
            <w:r>
              <w:rPr>
                <w:rFonts w:ascii="Times New Roman" w:hAnsi="Times New Roman"/>
                <w:b w:val="0"/>
                <w:sz w:val="16"/>
              </w:rPr>
              <w:t>Cell also records "high-rise B4" (Building Regulations requirement B4, external walls). Assessment reflects England and Wales; Scotland and NI equivalent (Table 1 Notes).</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ADB Vol 1, 8.2; Vol 2, 9.6: extensive cavities including roof spaces segmented so no undivided cavity exceeds 20 m in any direction; maximum undivided dimensions further tied to the fire class of the surface exposed within the cavity (Vol 2, 9.6). assessment record §4.2.1;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ADB Vol 1, 8.8; Vol 2, 9.8: minimum 30 minutes integrity and 15 minutes insulation (E30 I15). MS 3.2; assessment record §4.2.1.</w:t>
            </w:r>
          </w:p>
        </w:tc>
        <w:tc>
          <w:tcPr>
            <w:tcW w:type="dxa" w:w="1987"/>
          </w:tcPr>
          <w:p>
            <w:r/>
            <w:r>
              <w:rPr>
                <w:rFonts w:ascii="Times New Roman" w:hAnsi="Times New Roman"/>
                <w:b w:val="0"/>
                <w:sz w:val="16"/>
              </w:rPr>
              <w:t>The assessment record's "up to 120 minutes" language describes what the BS element-level standards can substantiate (MS 5.3), not the ADB minimum.</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ADB Vol 1, 8.9; Vol 2, 9.9: permitted constructions enumerated (steel, timber, polythene-sleeved mineral wool, mineral wool slab, calcium silicate, cement-based or gypsum-based boards); 2022 amendments extend the prohibition of combustible materials on building exteriors. MS 3.2; assessment record §4.2.1 and comparative Section (ii).</w:t>
            </w:r>
          </w:p>
        </w:tc>
        <w:tc>
          <w:tcPr>
            <w:tcW w:type="dxa" w:w="1987"/>
          </w:tcPr>
          <w:p>
            <w:r/>
            <w:r>
              <w:rPr>
                <w:rFonts w:ascii="Times New Roman" w:hAnsi="Times New Roman"/>
                <w:b w:val="0"/>
                <w:sz w:val="16"/>
              </w:rPr>
              <w:t>Criterion 5 admits non-combustible or fire-resisting specification (MS 2.2); the ADB list is a fire-resisting construction enumeration.</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BS EN 1366-4 (element-level closed-state test), with BS 476-20 and BS 476-22 as supporting fire-resistance methods. assessment record §4.2.1 testing-standard paragraph; MS 3.2, 5.3.</w:t>
            </w:r>
          </w:p>
        </w:tc>
        <w:tc>
          <w:tcPr>
            <w:tcW w:type="dxa" w:w="1987"/>
          </w:tcPr>
          <w:p>
            <w:r/>
            <w:r>
              <w:rPr>
                <w:rFonts w:ascii="Times New Roman" w:hAnsi="Times New Roman"/>
                <w:b w:val="0"/>
                <w:sz w:val="16"/>
              </w:rPr>
              <w:t>Only jurisdiction of the 16 coded Y on this criterion (MS 3.3).</w:t>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MCRMA GD36 (Cavity Barriers for Ventilated Rainscreen Facades, 2021/2022) and ASFP TGD 19 (Fire Resistance Test for Open State Cavity Barriers, 2022). MS 3.2, 6.1; MS refs [9], [11].</w:t>
            </w:r>
          </w:p>
        </w:tc>
        <w:tc>
          <w:tcPr>
            <w:tcW w:type="dxa" w:w="1987"/>
          </w:tcPr>
          <w:p>
            <w:r/>
            <w:r>
              <w:rPr>
                <w:rFonts w:ascii="Times New Roman" w:hAnsi="Times New Roman"/>
                <w:b w:val="0"/>
                <w:sz w:val="16"/>
              </w:rPr>
              <w:t>Only jurisdiction of the 16 coded Y on this criterion (MS 3.3).</w:t>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assessment record §4.2.1: UK requirements characterized as resting on "detailed performance-based prerequisites"; ADB constitutes statutory guidance to the functional requirements of the Building Regulations, admitting alternative compliance routes.</w:t>
            </w:r>
          </w:p>
        </w:tc>
        <w:tc>
          <w:tcPr>
            <w:tcW w:type="dxa" w:w="1987"/>
          </w:tcPr>
          <w:p>
            <w:r/>
            <w:r>
              <w:rPr>
                <w:rFonts w:ascii="Times New Roman" w:hAnsi="Times New Roman"/>
                <w:b w:val="0"/>
                <w:sz w:val="16"/>
              </w:rPr>
              <w:t>Characterization-level source statement; no single statutory clause is cited in the sources for this cell.</w:t>
            </w:r>
          </w:p>
        </w:tc>
      </w:tr>
    </w:tbl>
    <w:p/>
    <w:p>
      <w:r>
        <w:rPr>
          <w:rFonts w:ascii="Times New Roman" w:hAnsi="Times New Roman"/>
          <w:b/>
          <w:sz w:val="24"/>
        </w:rPr>
        <w:t>S1.2 France (Score 4.5,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Code de la Construction et de l'Habitation (CCH), Article R.111-14 ("Fire Stops"): cavity barriers required in concealed spaces with location and construction requirements. assessment record §4.2.2; MS 3.2.</w:t>
            </w:r>
          </w:p>
        </w:tc>
        <w:tc>
          <w:tcPr>
            <w:tcW w:type="dxa" w:w="1987"/>
          </w:tcPr>
          <w:p>
            <w:r/>
            <w:r>
              <w:rPr>
                <w:rFonts w:ascii="Times New Roman" w:hAnsi="Times New Roman"/>
                <w:b w:val="0"/>
                <w:sz w:val="16"/>
              </w:rPr>
              <w:t>Secondary-source reliance flagged (Table 1 Notes; MS 6.5).</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Coverage limited to enumerated occupancy classes: residential, commercial, and ERP (Etablissements Recevant du Public) per the Table 1 cell; CCH cited at document level.</w:t>
            </w:r>
          </w:p>
        </w:tc>
        <w:tc>
          <w:tcPr>
            <w:tcW w:type="dxa" w:w="1987"/>
          </w:tcPr>
          <w:p>
            <w:r/>
            <w:r>
              <w:rPr>
                <w:rFonts w:ascii="Times New Roman" w:hAnsi="Times New Roman"/>
                <w:b w:val="0"/>
                <w:sz w:val="16"/>
              </w:rPr>
              <w:t>Document-level citation only; no scoping article identified in the sources. Secondary-source reliance flagged.</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CCH Article R.111-14 as reviewed (assessment record §4.2.2; assessment record comparative section (ii)).</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CCH Article R.111-14: guidance on construction, installation, and fire-resistance rating of fire stops. assessment record §4.2.2.</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assessment record comparative section (ii): in France, non-combustible, fire-resistant materials are specified for cavity barriers.</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test standard identified in the CCH as reviewed; assessment record comparative section (ii) records scant detail on testing standards for France.</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CCH Article R.111-14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Code de la construction et de l'habitation + Reglement de securite ERP (arrete 25 June 1980): equivalent-effect solutions justified by fire safety engineering study; framework codified by Decret 2025-1100 (Nov 2025, phased from 2026-2027).</w:t>
            </w:r>
          </w:p>
        </w:tc>
        <w:tc>
          <w:tcPr>
            <w:tcW w:type="dxa" w:w="1987"/>
          </w:tcPr>
          <w:p>
            <w:r/>
            <w:r>
              <w:rPr>
                <w:rFonts w:ascii="Times New Roman" w:hAnsi="Times New Roman"/>
                <w:b w:val="0"/>
                <w:sz w:val="16"/>
              </w:rPr>
              <w:t>Verified June 2026 against Legifrance (JORFTEXT000052611335). External verification supplementing the review sources.</w:t>
            </w:r>
          </w:p>
        </w:tc>
      </w:tr>
    </w:tbl>
    <w:p/>
    <w:p>
      <w:r>
        <w:rPr>
          <w:rFonts w:ascii="Times New Roman" w:hAnsi="Times New Roman"/>
          <w:b/>
          <w:sz w:val="24"/>
        </w:rPr>
        <w:t>S1.3 Germany (Score 5.5,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DIN 4102-4, Section 3.1.6: requires cavity barriers and provides design, material, and fire-resistance guidance. assessment record §4.2.3.1; MS 3.2.</w:t>
            </w:r>
          </w:p>
        </w:tc>
        <w:tc>
          <w:tcPr>
            <w:tcW w:type="dxa" w:w="1987"/>
          </w:tcPr>
          <w:p>
            <w:r/>
            <w:r>
              <w:rPr>
                <w:rFonts w:ascii="Times New Roman" w:hAnsi="Times New Roman"/>
                <w:b w:val="0"/>
                <w:sz w:val="16"/>
              </w:rPr>
              <w:t>Secondary-source reliance flagged (Table 1 Notes; MS 6.5).</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All classes per the Landesbauordnungen (LBO, state building codes) and Musterbauordnung (MBO, model building code), cited at document level in the Table 1 cell.</w:t>
            </w:r>
          </w:p>
        </w:tc>
        <w:tc>
          <w:tcPr>
            <w:tcW w:type="dxa" w:w="1987"/>
          </w:tcPr>
          <w:p>
            <w:r/>
            <w:r>
              <w:rPr>
                <w:rFonts w:ascii="Times New Roman" w:hAnsi="Times New Roman"/>
                <w:b w:val="0"/>
                <w:sz w:val="16"/>
              </w:rPr>
              <w:t>Document-level citation only; no article number identified in the sources. Secondary-source reliance flagged.</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DIN 4102-4 Section 3.1.6 or the MBO/LBO provisions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DIN 4102-4, Section 3.1.6: fire resistance rating guidance for cavity barriers. assessment record §4.2.3.1; MS 3.2.</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DIN 4102-4, Section 3.1.6: materials guidance for cavity barriers. assessment record §4.2.3.1; MS 3.2.</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DIN 4102-20: facade-level (system) test that captures cavity barrier performance only as a component of the tested system, not as an element; conditional credit per Table 1 Notes and MS 3.2. Rig and method detail: assessment record Table 4.2; MS Table 2.</w:t>
            </w:r>
          </w:p>
        </w:tc>
        <w:tc>
          <w:tcPr>
            <w:tcW w:type="dxa" w:w="1987"/>
          </w:tcPr>
          <w:p>
            <w:r/>
            <w:r>
              <w:rPr>
                <w:rFonts w:ascii="Times New Roman" w:hAnsi="Times New Roman"/>
                <w:b w:val="0"/>
                <w:sz w:val="16"/>
              </w:rPr>
              <w:t>The C coding is an explicit manuscript judgment recorded in the Table 1 Notes.</w:t>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DIN 4102-4 / DIN 4102-20 or the MBO/LBO provisions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Musterbauordnung Section 67 (Abweichungen): deviation route requiring demonstration of equivalent satisfaction of statutory fire safety objectives; no dedicated FSE clause.</w:t>
            </w:r>
          </w:p>
        </w:tc>
        <w:tc>
          <w:tcPr>
            <w:tcW w:type="dxa" w:w="1987"/>
          </w:tcPr>
          <w:p>
            <w:r/>
            <w:r>
              <w:rPr>
                <w:rFonts w:ascii="Times New Roman" w:hAnsi="Times New Roman"/>
                <w:b w:val="0"/>
                <w:sz w:val="16"/>
              </w:rPr>
              <w:t>Model code; operative section number varies by Land (commonly 67). Verified June 2026 via MBO text + peer-reviewed analysis (doi 10.1007/s10694-023-01456-x).</w:t>
            </w:r>
          </w:p>
        </w:tc>
      </w:tr>
    </w:tbl>
    <w:p/>
    <w:p>
      <w:r>
        <w:rPr>
          <w:rFonts w:ascii="Times New Roman" w:hAnsi="Times New Roman"/>
          <w:b/>
          <w:sz w:val="24"/>
        </w:rPr>
        <w:t>S1.4 Norway (Score 5.0,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TEK (Technical Regulations under the Planning and Building Act), Section 11-7, "Limitation of Fire Spread in Voids and Cavities": cavity barriers required in concealed spaces. assessment record §4.2.3.2; MS 3.2.</w:t>
            </w:r>
          </w:p>
        </w:tc>
        <w:tc>
          <w:tcPr>
            <w:tcW w:type="dxa" w:w="1987"/>
          </w:tcPr>
          <w:p>
            <w:r/>
            <w:r>
              <w:rPr>
                <w:rFonts w:ascii="Times New Roman" w:hAnsi="Times New Roman"/>
                <w:b w:val="0"/>
                <w:sz w:val="16"/>
              </w:rPr>
              <w:t>Secondary-source reliance flagged (Table 1 Notes; MS 6.5).</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TEK Chapter 11 ("Fire Safety") applies generally; Section 11-7 addresses voids and cavities without occupancy restriction. Table 1 cell: "all classes (TEK Ch. 11)". assessment record §4.2.3.2.</w:t>
            </w:r>
          </w:p>
        </w:tc>
        <w:tc>
          <w:tcPr>
            <w:tcW w:type="dxa" w:w="1987"/>
          </w:tcPr>
          <w:p>
            <w:r/>
            <w:r>
              <w:rPr>
                <w:rFonts w:ascii="Times New Roman" w:hAnsi="Times New Roman"/>
                <w:b w:val="0"/>
                <w:sz w:val="16"/>
              </w:rPr>
              <w:t>Chapter/section-level citation. Secondary-source reliance flagged.</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TEK Section 11-7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TEK Section 11-7: fire resistance rating guidance for cavity barriers. assessment record §4.2.3.2; MS 3.2.</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TEK Section 11-7: material selection guidance for cavity barriers. assessment record §4.2.3.2; MS 3.2.</w:t>
            </w:r>
          </w:p>
        </w:tc>
        <w:tc>
          <w:tcPr>
            <w:tcW w:type="dxa" w:w="1987"/>
          </w:tcPr>
          <w:p>
            <w:r/>
            <w:r>
              <w:rPr>
                <w:rFonts w:ascii="Times New Roman" w:hAnsi="Times New Roman"/>
                <w:b w:val="0"/>
                <w:sz w:val="16"/>
              </w:rPr>
              <w:t>Secondary-source reliance flagged.</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test standard identified in TEK Section 11-7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TEK Section 11-7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TEK17 Section 2-2(2)(b): compliance with functional requirements may be documented by analysis (fire: NS 3901 / SN-INSTA/TS 950 per guidance).</w:t>
            </w:r>
          </w:p>
        </w:tc>
        <w:tc>
          <w:tcPr>
            <w:tcW w:type="dxa" w:w="1987"/>
          </w:tcPr>
          <w:p>
            <w:r/>
            <w:r>
              <w:rPr>
                <w:rFonts w:ascii="Times New Roman" w:hAnsi="Times New Roman"/>
                <w:b w:val="0"/>
                <w:sz w:val="16"/>
              </w:rPr>
              <w:t>Verified June 2026 against DiBK (regulator) official text.</w:t>
            </w:r>
          </w:p>
        </w:tc>
      </w:tr>
    </w:tbl>
    <w:p/>
    <w:p>
      <w:r>
        <w:rPr>
          <w:rFonts w:ascii="Times New Roman" w:hAnsi="Times New Roman"/>
          <w:b/>
          <w:sz w:val="24"/>
        </w:rPr>
        <w:t>S1.5 Sweden (Score 4.5,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Boverket's Building Regulations (BBR), Section 5:533, "Concealed Spaces": barriers required in concealed spaces to limit spread of fire and smoke. assessment record §4.2.3.3;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BBR Chapter 5 ("Fire Safety") applies generally; Section 5:533 addresses concealed spaces without occupancy restriction. Table 1 cell: "all classes (BBR Ch. 5)". assessment record §4.2.3.3.</w:t>
            </w:r>
          </w:p>
        </w:tc>
        <w:tc>
          <w:tcPr>
            <w:tcW w:type="dxa" w:w="1987"/>
          </w:tcPr>
          <w:p>
            <w:r/>
            <w:r>
              <w:rPr>
                <w:rFonts w:ascii="Times New Roman" w:hAnsi="Times New Roman"/>
                <w:b w:val="0"/>
                <w:sz w:val="16"/>
              </w:rPr>
              <w:t>Chapter/section-level citation.</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BBR Section 5:533 as reviewed.</w:t>
            </w:r>
          </w:p>
        </w:tc>
        <w:tc>
          <w:tcPr>
            <w:tcW w:type="dxa" w:w="1987"/>
          </w:tcPr>
          <w:p>
            <w:r/>
            <w:r>
              <w:rPr>
                <w:rFonts w:ascii="Times New Roman" w:hAnsi="Times New Roman"/>
                <w:b w:val="0"/>
                <w:sz w:val="16"/>
              </w:rPr>
              <w:t>The assessment record's summary Table 4.1 is internally inconsistent with its own Sweden text; the manuscript coding (N) follows the verified assessment (MS assembly record, conflict item 6).</w:t>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BBR Section 5:533: guidance on the fire-resistance rating of cavity barriers. assessment record §4.2.3.3;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BBR Section 5:533: construction requirements for cavity barriers (fire-resisting construction per the Criterion 5 definition, MS 2.2). assessment record §4.2.3.3.</w:t>
            </w:r>
          </w:p>
        </w:tc>
        <w:tc>
          <w:tcPr>
            <w:tcW w:type="dxa" w:w="1987"/>
          </w:tcPr>
          <w:p>
            <w:r/>
            <w:r>
              <w:rPr>
                <w:rFonts w:ascii="Times New Roman" w:hAnsi="Times New Roman"/>
                <w:b w:val="0"/>
                <w:sz w:val="16"/>
              </w:rPr>
              <w:t>No explicit non-combustibility clause identified; basis is the 5:533 construction-requirements language.</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test standard identified in BBR Section 5:533 as reviewed; assessment record §4.2.3.3 records limited detail on testing.</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BBR Section 5:533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BBR (BFS 2011:6) Section 5:11/5:112 analytical design route for fire protection; general recommendations were BBRAD (BFS 2011:27).</w:t>
            </w:r>
          </w:p>
        </w:tc>
        <w:tc>
          <w:tcPr>
            <w:tcW w:type="dxa" w:w="1987"/>
          </w:tcPr>
          <w:p>
            <w:r/>
            <w:r>
              <w:rPr>
                <w:rFonts w:ascii="Times New Roman" w:hAnsi="Times New Roman"/>
                <w:b w:val="0"/>
                <w:sz w:val="16"/>
              </w:rPr>
              <w:t>BBRAD withdrawn July 2024 (route survives via referenced standards); C coding reflects the qualified, recommendation-based form of the route. Verified June 2026 via Boverket.</w:t>
            </w:r>
          </w:p>
        </w:tc>
      </w:tr>
    </w:tbl>
    <w:p/>
    <w:p>
      <w:r>
        <w:rPr>
          <w:rFonts w:ascii="Times New Roman" w:hAnsi="Times New Roman"/>
          <w:b/>
          <w:sz w:val="24"/>
        </w:rPr>
        <w:t>S1.6 Australia (Score 3.0,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Two triggers, both pathway-gated (recoded Y to C, June 2026, on verified NCC research). (a) Specification 9, invoked via Clause C2D13, requires cavity barriers within the Deemed-to-Satisfy provisions for fire-protected timber construction only (S9C1 scope statement). (b) Verification Method C2V3(b)(iii) requires cavity barriers at the perimeter of each floor where an external wall system containing a cavity is verified via AS 5113 (ABCB Advisory Note 2022). On the default Deemed-to-Satisfy route for non-combustible facades (Clause C2D10) no cavity barrier duty exists; the cavity is unregulated as a void and floor junctions are governed by FRL continuity and Clause C3D7 spandrel separation (compartmentation mechanisms, not cavity barriers). MS 3.2, 6.2.</w:t>
            </w:r>
          </w:p>
        </w:tc>
        <w:tc>
          <w:tcPr>
            <w:tcW w:type="dxa" w:w="1987"/>
          </w:tcPr>
          <w:p>
            <w:r/>
            <w:r>
              <w:rPr>
                <w:rFonts w:ascii="Times New Roman" w:hAnsi="Times New Roman"/>
                <w:b w:val="0"/>
                <w:sz w:val="16"/>
              </w:rPr>
              <w:t>Legacy (pre-2022) numbering: Specification C1.13; Clause C1.9; CV3. Sources verified June 2026 via ncc.abcb.gov.au (Spec 9; C3D7 guide) and the ABCB Advisory Note: Fire Performance of External Walls and Cladding (2022).</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Conditional on construction type: Type A and B construction, Class 2 to 9 buildings (NCC 2022 C2D10; Specification 9). MS Table 1 cell; MS 3.2; assessment record §4.1.</w:t>
            </w:r>
          </w:p>
        </w:tc>
        <w:tc>
          <w:tcPr>
            <w:tcW w:type="dxa" w:w="1987"/>
          </w:tcPr>
          <w:p>
            <w:r/>
            <w:r>
              <w:rPr>
                <w:rFonts w:ascii="Times New Roman" w:hAnsi="Times New Roman"/>
                <w:b w:val="0"/>
                <w:sz w:val="16"/>
              </w:rPr>
              <w:t>Coverage attaches to construction type rather than all occupancies, hence C. Legacy numbering: C1.9; Spec C1.13.</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general maximum cavity spacing provision in NCC 2022 Volume One. Specification 9 prescribes 5 m horizontal / 10 m vertical spacings, but only within fire-protected timber construction; the criterion's general-duty reading therefore codes N.</w:t>
            </w:r>
          </w:p>
        </w:tc>
        <w:tc>
          <w:tcPr>
            <w:tcW w:type="dxa" w:w="1987"/>
          </w:tcPr>
          <w:p>
            <w:r/>
            <w:r>
              <w:rPr>
                <w:rFonts w:ascii="Times New Roman" w:hAnsi="Times New Roman"/>
                <w:b w:val="0"/>
                <w:sz w:val="16"/>
              </w:rPr>
              <w:t>Spec 9 spacings verified June 2026 via ncc.abcb.gov.au.</w:t>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FRL prescribed for cavity barriers in NCC 2022 Volume One; Specification 9 prescribes barrier composition, not a fire resistance level (MS 3.2).</w:t>
            </w:r>
          </w:p>
        </w:tc>
        <w:tc>
          <w:tcPr>
            <w:tcW w:type="dxa" w:w="1987"/>
          </w:tcPr>
          <w:p>
            <w:r/>
            <w:r>
              <w:rPr>
                <w:rFonts w:ascii="Times New Roman" w:hAnsi="Times New Roman"/>
                <w:b w:val="0"/>
                <w:sz w:val="16"/>
              </w:rPr>
              <w:t>The assessment record's comparative Section (ii) asserts "minimum fire resistance specified (NCC Specification C3.15)" under legacy NCC 2019 numbering; the manuscript's verified coding is N and governs (MS assembly record, conflict item 5).</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NCC 2022 Clause C2D10: every component of an external wall in Type A and B construction must be non-combustible (facade coverings, framing, insulation, ancillary elements); non-combustibility assessed per AS 1530.1. Specification 9 prescribes barrier composition (timber, or mineral wool slabs/strips encased in polyethylene). MS 3.2; assessment record §4.1, 4.2.4, 4.4.</w:t>
            </w:r>
          </w:p>
        </w:tc>
        <w:tc>
          <w:tcPr>
            <w:tcW w:type="dxa" w:w="1987"/>
          </w:tcPr>
          <w:p>
            <w:r/>
            <w:r>
              <w:rPr>
                <w:rFonts w:ascii="Times New Roman" w:hAnsi="Times New Roman"/>
                <w:b w:val="0"/>
                <w:sz w:val="16"/>
              </w:rPr>
              <w:t>Legacy numbering: C1.9; Spec C1.13.</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cavity barrier test standard referenced. AS 1530.4 (3 m x 3 m furnace, one-sided exposure) is the referenced fire-resistance method but assesses elements/wall constructions with barrier performance incidental, and cannot mount an open-state specimen. assessment record §4.1 and 4.1 sub-section "Suitability of AS 1530-4"; MS 5.2, 5.3.</w:t>
            </w:r>
          </w:p>
        </w:tc>
        <w:tc>
          <w:tcPr>
            <w:tcW w:type="dxa" w:w="1987"/>
          </w:tcPr>
          <w:p>
            <w:r/>
            <w:r>
              <w:rPr>
                <w:rFonts w:ascii="Times New Roman" w:hAnsi="Times New Roman"/>
                <w:b w:val="0"/>
                <w:sz w:val="16"/>
              </w:rPr>
              <w:t>MS 5.2 carries the exposure and functional mismatch argument in qualitative form; quantified deltas from the unpublished assessment record are not carried into the manuscript.</w:t>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Specification 9 acknowledges cavity barrier products without prescribing open-state performance parameters: no activation temperature, closure speed, or intumescent expansion requirement is identified in NCC 2022 Volume One. MS 3.3, 6.3.</w:t>
            </w:r>
          </w:p>
        </w:tc>
        <w:tc>
          <w:tcPr>
            <w:tcW w:type="dxa" w:w="1987"/>
          </w:tcPr>
          <w:p>
            <w:r/>
            <w:r>
              <w:rPr>
                <w:rFonts w:ascii="Times New Roman" w:hAnsi="Times New Roman"/>
                <w:b w:val="0"/>
                <w:sz w:val="16"/>
              </w:rPr>
              <w:t>Allowance without parameters codes N, the same logic as the UAE row. The 150 C intumescent activation figure in the assessment record describes industry practice, not a code requirement.</w:t>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Performance Solutions route (A2G2 assessment methods) against Performance Requirement C1P2; assessment record §4.1: "The NCC also provides scopes for performance-based solutions for the design and implementation of cavity barriers"; Verification Method CV3 with AS 5113 (assessment record, NCC DtS and Performance requirements section, CV3 Clauses 4.1 to 4.5; assessment record §7.3).</w:t>
            </w:r>
          </w:p>
        </w:tc>
        <w:tc>
          <w:tcPr>
            <w:tcW w:type="dxa" w:w="1987"/>
          </w:tcPr>
          <w:p>
            <w:r/>
            <w:r>
              <w:rPr>
                <w:rFonts w:ascii="Times New Roman" w:hAnsi="Times New Roman"/>
                <w:b w:val="0"/>
                <w:sz w:val="16"/>
              </w:rPr>
              <w:t>Legacy numbering: Performance Requirement CP2.</w:t>
            </w:r>
          </w:p>
        </w:tc>
      </w:tr>
    </w:tbl>
    <w:p/>
    <w:p>
      <w:r>
        <w:rPr>
          <w:rFonts w:ascii="Times New Roman" w:hAnsi="Times New Roman"/>
          <w:b/>
          <w:sz w:val="24"/>
        </w:rPr>
        <w:t>S1.7 New Zealand (Score 4.5,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NZBC Clause C3.7 ("Control of Internal Fire and Smoke Spread"): cavity barriers required in concealed spaces to prevent spread of fire and smoke. assessment record §4.2.5;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NZBC Clause C ("Protection from Fire") applies to buildings generally; Clause C3.7 carries no occupancy restriction. Table 1 cell: "all classes (NZBC C3.7)". assessment record §4.2.5.</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NZBC Clause C3.7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NZBC Clause C3.7: required fire-resistance rating for cavity barriers. assessment record §4.2.5;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NZBC Clause C3.7: construction and material guidance for cavity barriers (MS 3.2: "FRL requirements and material guidance comparable to Australia and Sweden"; assessment record §4.2.5).</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test standard identified; assessment record comparative section (iv): New Zealand's referenced standards focus on the overall wall system, barrier performance ancillary and incidental. MS 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NZBC Clause C3.7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Building Act 2004 s 19 (means of compliance) and s 22; Verification Method C/VM2 Framework for Fire Safety Design; alternative-solution route under s 19.</w:t>
            </w:r>
          </w:p>
        </w:tc>
        <w:tc>
          <w:tcPr>
            <w:tcW w:type="dxa" w:w="1987"/>
          </w:tcPr>
          <w:p>
            <w:r/>
            <w:r>
              <w:rPr>
                <w:rFonts w:ascii="Times New Roman" w:hAnsi="Times New Roman"/>
                <w:b w:val="0"/>
                <w:sz w:val="16"/>
              </w:rPr>
              <w:t>New C/VM2 edition effective 28 July 2025. C coding reflects the verification-method-mediated form of the route. Verified June 2026 via MBIE building.govt.nz.</w:t>
            </w:r>
          </w:p>
        </w:tc>
      </w:tr>
    </w:tbl>
    <w:p/>
    <w:p>
      <w:r>
        <w:rPr>
          <w:rFonts w:ascii="Times New Roman" w:hAnsi="Times New Roman"/>
          <w:b/>
          <w:sz w:val="24"/>
        </w:rPr>
        <w:t>S1.8 Singapore (Score 5.0, Tier 2)</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Code of Practice for Fire Precautions in Buildings 2018 (CP 2018), Clause 3.11.1: concealed spaces "shall be sub-divided by construction of cavity barriers to restrict the spread of smoke and flames"; Clause 3.11.2 requires barriers to close cavity edges and openings; Clause 3.11.3 requires fire-resistant barriers abutting cavities to be extended through them. assessment record §4.2.6; MS 3.2.</w:t>
            </w:r>
          </w:p>
        </w:tc>
        <w:tc>
          <w:tcPr>
            <w:tcW w:type="dxa" w:w="1987"/>
          </w:tcPr>
          <w:p>
            <w:r/>
            <w:r>
              <w:rPr>
                <w:rFonts w:ascii="Times New Roman" w:hAnsi="Times New Roman"/>
                <w:b w:val="0"/>
                <w:sz w:val="16"/>
              </w:rPr>
              <w:t>Provisions retained unchanged, same clause numbering, in the Fire Code 2023 in force since March 2024 (MS 2.2; Table 1 Notes; MS ref [25]).</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CP 2018 Clause 3.11 applies to all occupancies; Clause 3.11.1 is a general provision without occupancy restriction. Table 1 cell: "all occupancies (CP Fire Prec. Cl. 3.11)". assessment record §4.2.6; MS 3.2.</w:t>
            </w:r>
          </w:p>
        </w:tc>
        <w:tc>
          <w:tcPr>
            <w:tcW w:type="dxa" w:w="1987"/>
          </w:tcPr>
          <w:p>
            <w:r/>
            <w:r>
              <w:rPr>
                <w:rFonts w:ascii="Times New Roman" w:hAnsi="Times New Roman"/>
                <w:b w:val="0"/>
                <w:sz w:val="16"/>
              </w:rPr>
              <w:t>Retained in Fire Code 2023.</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CP 2018 Clause 3.11.4: cavities including roof spaces shall be subdivided so the maximum distance between cavity barriers does not exceed the dimensions of Table 3.11A. assessment record §4.2.6; Table 1 Notes; MS 3.2, 6.1.</w:t>
            </w:r>
          </w:p>
        </w:tc>
        <w:tc>
          <w:tcPr>
            <w:tcW w:type="dxa" w:w="1987"/>
          </w:tcPr>
          <w:p>
            <w:r/>
            <w:r>
              <w:rPr>
                <w:rFonts w:ascii="Times New Roman" w:hAnsi="Times New Roman"/>
                <w:b w:val="0"/>
                <w:sz w:val="16"/>
              </w:rPr>
              <w:t>One of only two codes (with the UK) requiring subdivision independent of compartment boundaries (MS 6.1). Retained in Fire Code 2023.</w:t>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CP 2018 Clause 3.11.5(a): cavity barriers constructed to provide at least half-hour fire resistance rating; Clause 3.11.5(b): tight fitting to rigid construction or fire-stopped junctions per Clause 3.12. assessment record §4.2.6; Table 1 Notes.</w:t>
            </w:r>
          </w:p>
        </w:tc>
        <w:tc>
          <w:tcPr>
            <w:tcW w:type="dxa" w:w="1987"/>
          </w:tcPr>
          <w:p>
            <w:r/>
            <w:r>
              <w:rPr>
                <w:rFonts w:ascii="Times New Roman" w:hAnsi="Times New Roman"/>
                <w:b w:val="0"/>
                <w:sz w:val="16"/>
              </w:rPr>
              <w:t>Retained in Fire Code 2023.</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Fire-resisting construction specified: CP 2018 Clause 3.11.3 (cavity barriers of fire-resisting construction at least equal to the abutting fire-resistant barrier) and Clause 3.11.5(a) (minimum half-hour FRR). assessment record §4.2.6: the code "outlines specifications for material selection, design and installation".</w:t>
            </w:r>
          </w:p>
        </w:tc>
        <w:tc>
          <w:tcPr>
            <w:tcW w:type="dxa" w:w="1987"/>
          </w:tcPr>
          <w:p>
            <w:r/>
            <w:r>
              <w:rPr>
                <w:rFonts w:ascii="Times New Roman" w:hAnsi="Times New Roman"/>
                <w:b w:val="0"/>
                <w:sz w:val="16"/>
              </w:rPr>
              <w:t>Criterion 5 admits non-combustible or fire-resisting specification (MS 2.2).</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cavity barrier test standard referenced in CP 2018 Clause 3.11; assessment record comparative section (iv): Singapore's referenced standards focus on the overall wall system. MS 3.2, 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CP 2018 Clause 3.11 (Clause 3.11.6 controls openings in barriers: rated doors, compliant pipes, cables/conduits, dampered ducts).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for cavity barriers identified in CP 2018 Clause 3.11 (MS 3.2: "no element-level test standard, no open-state provision, and no performance-based alternative, yielding 5.0").</w:t>
            </w:r>
          </w:p>
        </w:tc>
        <w:tc>
          <w:tcPr>
            <w:tcW w:type="dxa" w:w="1987"/>
          </w:tcPr>
          <w:p>
            <w:r/>
            <w:r>
              <w:rPr>
                <w:rFonts w:ascii="Times New Roman" w:hAnsi="Times New Roman"/>
                <w:b w:val="0"/>
                <w:sz w:val="16"/>
              </w:rPr>
            </w:r>
          </w:p>
        </w:tc>
      </w:tr>
    </w:tbl>
    <w:p/>
    <w:p>
      <w:r>
        <w:rPr>
          <w:rFonts w:ascii="Times New Roman" w:hAnsi="Times New Roman"/>
          <w:b/>
          <w:sz w:val="24"/>
        </w:rPr>
        <w:t>S1.9 Japan (Score 2.5,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Building Standard Law (BSL), Article 87 as quoted in assessment record §4.2.7: "Cavity barriers and firestops shall be installed within concealed spaces of buildings in order to prevent spread of fire and smoke."</w:t>
            </w:r>
          </w:p>
        </w:tc>
        <w:tc>
          <w:tcPr>
            <w:tcW w:type="dxa" w:w="1987"/>
          </w:tcPr>
          <w:p>
            <w:r/>
            <w:r>
              <w:rPr>
                <w:rFonts w:ascii="Times New Roman" w:hAnsi="Times New Roman"/>
                <w:b w:val="0"/>
                <w:sz w:val="16"/>
              </w:rPr>
              <w:t>Secondary source whose primary BSL article number could not be independently confirmed; row treated conservatively and flagged (Table 1 Note d; MS 2.2, 6.5).</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Coverage unspecified in the source text (Table 1 cell: "coverage unspecified (BSL; see note d)"); conservative coding per MS 2.2.</w:t>
            </w:r>
          </w:p>
        </w:tc>
        <w:tc>
          <w:tcPr>
            <w:tcW w:type="dxa" w:w="1987"/>
          </w:tcPr>
          <w:p>
            <w:r/>
            <w:r>
              <w:rPr>
                <w:rFonts w:ascii="Times New Roman" w:hAnsi="Times New Roman"/>
                <w:b w:val="0"/>
                <w:sz w:val="16"/>
              </w:rPr>
              <w:t>Table 1 Note d secondary-source flag applies.</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BSL Enforcement Regulations Clause 187 (as quoted in assessment record §4.2.7) specifies installation locations (joints of walls, floors, ceilings; around pipes, ductwork, openings), not maximum dimensions.</w:t>
            </w:r>
          </w:p>
        </w:tc>
        <w:tc>
          <w:tcPr>
            <w:tcW w:type="dxa" w:w="1987"/>
          </w:tcPr>
          <w:p>
            <w:r/>
            <w:r>
              <w:rPr>
                <w:rFonts w:ascii="Times New Roman" w:hAnsi="Times New Roman"/>
                <w:b w:val="0"/>
                <w:sz w:val="16"/>
              </w:rPr>
              <w:t>Secondary-source flag applies.</w:t>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§4.2.7: the BSL "does not stipulate the required fire resistance ratings for cavity barriers".</w:t>
            </w:r>
          </w:p>
        </w:tc>
        <w:tc>
          <w:tcPr>
            <w:tcW w:type="dxa" w:w="1987"/>
          </w:tcPr>
          <w:p>
            <w:r/>
            <w:r>
              <w:rPr>
                <w:rFonts w:ascii="Times New Roman" w:hAnsi="Times New Roman"/>
                <w:b w:val="0"/>
                <w:sz w:val="16"/>
              </w:rPr>
              <w:t>Secondary-source flag applies.</w:t>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BSL Enforcement Regulations Clause 188 (as quoted in assessment record §4.2.7): non-combustible materials should be used; materials containing less than 15% organic components may be used if confirmed not to generate flame or smoke. Material-limited conditional per the C definition (Table 1 Notes).</w:t>
            </w:r>
          </w:p>
        </w:tc>
        <w:tc>
          <w:tcPr>
            <w:tcW w:type="dxa" w:w="1987"/>
          </w:tcPr>
          <w:p>
            <w:r/>
            <w:r>
              <w:rPr>
                <w:rFonts w:ascii="Times New Roman" w:hAnsi="Times New Roman"/>
                <w:b w:val="0"/>
                <w:sz w:val="16"/>
              </w:rPr>
              <w:t>Secondary-source flag applies.</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§4.2.7: the BSL does not "provide references to relevant testing standards" for cavity barriers.</w:t>
            </w:r>
          </w:p>
        </w:tc>
        <w:tc>
          <w:tcPr>
            <w:tcW w:type="dxa" w:w="1987"/>
          </w:tcPr>
          <w:p>
            <w:r/>
            <w:r>
              <w:rPr>
                <w:rFonts w:ascii="Times New Roman" w:hAnsi="Times New Roman"/>
                <w:b w:val="0"/>
                <w:sz w:val="16"/>
              </w:rPr>
              <w:t>JIS A 1310 (assessment record Table 4.2) is a facade screening method, not a code-referenced cavity barrier element test.</w:t>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the BSL or its Enforcement Regulations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Building Standard Law performance-based system (1998 amendment, effective 2000): Route B/C verification per MLIT Notification No. 1433 (31 May 2000); Route C requires Designated Evaluation Body + Ministerial approval.</w:t>
            </w:r>
          </w:p>
        </w:tc>
        <w:tc>
          <w:tcPr>
            <w:tcW w:type="dxa" w:w="1987"/>
          </w:tcPr>
          <w:p>
            <w:r/>
            <w:r>
              <w:rPr>
                <w:rFonts w:ascii="Times New Roman" w:hAnsi="Times New Roman"/>
                <w:b w:val="0"/>
                <w:sz w:val="16"/>
              </w:rPr>
              <w:t>Old Article 38 repealed in the 1998 reform; cite BSL + Notification 1433. C coding consistent with the conservative Japan treatment (note d). Verified June 2026 via Japanese Law Translation / BCJ.</w:t>
            </w:r>
          </w:p>
        </w:tc>
      </w:tr>
    </w:tbl>
    <w:p/>
    <w:p>
      <w:r>
        <w:rPr>
          <w:rFonts w:ascii="Times New Roman" w:hAnsi="Times New Roman"/>
          <w:b/>
          <w:sz w:val="24"/>
        </w:rPr>
        <w:t>S1.10 Canada (Score 2.5,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NBCC Article 3.1.11 (concealed spaces; MS Table 1 cell, referee-verified). Underlying assessment record §4.2.8 quotes the NBCC text: "Fire stops shall be used to seal around all concealed spaces in which combustible materials form part of the structure" (cited there as Article 3.1.9.1), with design/installation intent (3.1.9.2) and junction locations (3.1.9.4).</w:t>
            </w:r>
          </w:p>
        </w:tc>
        <w:tc>
          <w:tcPr>
            <w:tcW w:type="dxa" w:w="1987"/>
          </w:tcPr>
          <w:p>
            <w:r/>
            <w:r>
              <w:rPr>
                <w:rFonts w:ascii="Times New Roman" w:hAnsi="Times New Roman"/>
                <w:b w:val="0"/>
                <w:sz w:val="16"/>
              </w:rPr>
              <w:t>Numbering discrepancy on record: manuscript uses NBCC 3.1.11; the assessment record cites NBCC 2019 Section 3.1.9 (MS assembly record, conflict item 2).</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Conditional: provisions attach to concealed spaces of combustible construction only (assessment record §4.2.8 quoted text: "concealed spaces in which combustible materials form part of the structure"; Table 1 cell: "combustible-construction concealed spaces (NBCC 3.1.11)").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the NBCC concealed-space provisions as reviewed (assessment record §4.2.8).</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§4.2.8: "details regarding ... performance parameters ... are lacking"; MS 3.2: NBCC "is silent on materials performance and testing".</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§4.2.8: "details regarding materials ... are lacking"; MS 3.2: silent on materials.</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cavity barrier element test referenced in the NBCC provisions as reviewed (assessment record §4.2.8); CAN/ULC S134 (assessment record Table 4.2) is a full-scale facade system method, not an element-level barrier test. MS 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the NBCC concealed-space provisions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NBCC Division A, Article 1.2.1.1.(1)(b): alternative solutions achieving at least the level of performance of Division B acceptable solutions; procedures in Division C, Article 2.3.1.</w:t>
            </w:r>
          </w:p>
        </w:tc>
        <w:tc>
          <w:tcPr>
            <w:tcW w:type="dxa" w:w="1987"/>
          </w:tcPr>
          <w:p>
            <w:r/>
            <w:r>
              <w:rPr>
                <w:rFonts w:ascii="Times New Roman" w:hAnsi="Times New Roman"/>
                <w:b w:val="0"/>
                <w:sz w:val="16"/>
              </w:rPr>
              <w:t>Principle sits in Division A (procedure in Division C). Verified June 2026 via NRC publications.</w:t>
            </w:r>
          </w:p>
        </w:tc>
      </w:tr>
    </w:tbl>
    <w:p/>
    <w:p>
      <w:r>
        <w:rPr>
          <w:rFonts w:ascii="Times New Roman" w:hAnsi="Times New Roman"/>
          <w:b/>
          <w:sz w:val="24"/>
        </w:rPr>
        <w:t>S1.11 Hong Kong (Score 3.0,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Code of Practice for Fire Safety in Buildings 2011 (June 2023 Edition), p. 98: gaps between curtain wall and building perimeter must be sealed to form an effective fire barrier with FRR equivalent to the floors; external wall systems exceeding a storey in height must be of non-combustible materials. assessment record §4.2.9.</w:t>
            </w:r>
          </w:p>
        </w:tc>
        <w:tc>
          <w:tcPr>
            <w:tcW w:type="dxa" w:w="1987"/>
          </w:tcPr>
          <w:p>
            <w:r/>
            <w:r>
              <w:rPr>
                <w:rFonts w:ascii="Times New Roman" w:hAnsi="Times New Roman"/>
                <w:b w:val="0"/>
                <w:sz w:val="16"/>
              </w:rPr>
              <w:t>Table 1 cell now cites CP FS 2011 (2023 ed.) directly (corrected June 2026); a legacy working-file pointer to the CP for Minimum Fire Service Installations and Equipment could not be matched to a quoted passage and was retired.</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CP FS 2011 (2023 Edition) external wall provisions apply to buildings generally (any external wall system exceeding a storey in height; p. 98). Table 1 cell: "all (CP FS 2011, 2023 ed.)". assessment record §4.2.9.</w:t>
            </w:r>
          </w:p>
        </w:tc>
        <w:tc>
          <w:tcPr>
            <w:tcW w:type="dxa" w:w="1987"/>
          </w:tcPr>
          <w:p>
            <w:r/>
            <w:r>
              <w:rPr>
                <w:rFonts w:ascii="Times New Roman" w:hAnsi="Times New Roman"/>
                <w:b w:val="0"/>
                <w:sz w:val="16"/>
              </w:rPr>
              <w:t>Basis is the CP FS 2011 (2023 ed.) provisions, as in row 1. Coding justification: the provision applies to external wall systems generally; the storey-height phrasing describes the cavity configuration to be subdivided, not an occupancy or height threshold limiting coverage, so Y rather than C.</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cavity spacing provision identified in CP FS 2011 (2023 Edition) as reviewed. Subsection C11's 900 mm spandrel / 500 mm horizontal projection requirements are floor-edge separation measures, not cavity subdivision spacing. assessment record §4.2.9.</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FRL prescribed for cavity barriers as elements; the FRR-equal-to-floor requirements at p. 98 and Subsection C11 attach to curtain-wall perimeter seals and spandrels, not to cavity barriers generally. assessment record §4.2.9 records "gaps in terms of performance metrics".</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CP FS 2011 (2023 Edition), p. 98: external wall systems exceeding a storey in height must be constructed of non-combustible materials (window sealants and gaskets excepted). assessment record §4.2.9; Table 1 cell.</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element-level cavity barrier test referenced; Subsection E12 directs facade testing to BS EN 1364-3:2006 and BS EN 1364-4:2007, curtain-walling (wall-system) fire resistance tests in which barrier performance is incidental. assessment record §4.2.9; MS 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CP FS 2011 (2023 Edition)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for cavity barriers identified in CP FS 2011 (2023 Edition) as reviewed.</w:t>
            </w:r>
          </w:p>
        </w:tc>
        <w:tc>
          <w:tcPr>
            <w:tcW w:type="dxa" w:w="1987"/>
          </w:tcPr>
          <w:p>
            <w:r/>
            <w:r>
              <w:rPr>
                <w:rFonts w:ascii="Times New Roman" w:hAnsi="Times New Roman"/>
                <w:b w:val="0"/>
                <w:sz w:val="16"/>
              </w:rPr>
            </w:r>
          </w:p>
        </w:tc>
      </w:tr>
    </w:tbl>
    <w:p/>
    <w:p>
      <w:r>
        <w:rPr>
          <w:rFonts w:ascii="Times New Roman" w:hAnsi="Times New Roman"/>
          <w:b/>
          <w:sz w:val="24"/>
        </w:rPr>
        <w:t>S1.12 UAE (Dubai) (Score 3.0,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UAE Fire and Life Safety Code of Practice 2018, Section 4.5.4 (p. 142): cavity fire barriers required at each floor level, horizontally around window openings on all sides, and vertically at every floor where wall cavities are continuous. assessment record §4.2.11; MS 3.2.</w:t>
            </w:r>
          </w:p>
        </w:tc>
        <w:tc>
          <w:tcPr>
            <w:tcW w:type="dxa" w:w="1987"/>
          </w:tcPr>
          <w:p>
            <w:r/>
            <w:r>
              <w:rPr>
                <w:rFonts w:ascii="Times New Roman" w:hAnsi="Times New Roman"/>
                <w:b w:val="0"/>
                <w:sz w:val="16"/>
              </w:rPr>
              <w:t>Table 1 cell pointer is "DCD COP 7.4". The working papers carry two UAE documents (DCD Code of Practice for Indoor Fire Safety 2018 and UAE Fire and Life Safety Code 2018); whether they are one code is flagged for confirmation (MS assembly record).</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Section 4.5.4 facade provisions apply to buildings with external wall cavities generally (assessment record §4.2.11 frames the requirement for multi-storey buildings with cavities in external walls); Table 1 cell: "all (DCD COP 7.4)".</w:t>
            </w:r>
          </w:p>
        </w:tc>
        <w:tc>
          <w:tcPr>
            <w:tcW w:type="dxa" w:w="1987"/>
          </w:tcPr>
          <w:p>
            <w:r/>
            <w:r>
              <w:rPr>
                <w:rFonts w:ascii="Times New Roman" w:hAnsi="Times New Roman"/>
                <w:b w:val="0"/>
                <w:sz w:val="16"/>
              </w:rPr>
              <w:t>Same dual-document caveat as row 1. Coding justification: the requirement attaches to any building with a cladding cavity rather than to an enumerated occupancy subset; height references describe the building stock, not a coverage limit, so Y rather than C.</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maximum-spacing dimension independent of floor levels and openings identified in Section 4.5.4; barriers are prescribed at floor levels and around window openings, which track compartment boundaries rather than a free-standing subdivision interval. assessment record §4.2.11.</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FRR or performance metric specified for the barriers: assessment record §4.2.11 records that the code "lacks specific provisions to validate and ensure the fire resistance and performance of cavity barriers" and "does not specify testing standards, performance metrics".</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Section 4.5.4: cavity fire barriers must be "constructed from non-combustible materials to offer the most effective fire resistance". assessment record §4.2.11;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test standard specified for cavity barriers (assessment record §4.2.11; MS 3.2: "specifies no test standard, performance metric, or closure criterion").</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Section 4.5.4 requires approved intumescent systems where ventilated-facade cavities must be preserved, but prescribes no activation temperature, closure speed, or expansion criterion; coded N against the Criterion 7 definition (MS 2.2, 3.2).</w:t>
            </w:r>
          </w:p>
        </w:tc>
        <w:tc>
          <w:tcPr>
            <w:tcW w:type="dxa" w:w="1987"/>
          </w:tcPr>
          <w:p>
            <w:r/>
            <w:r>
              <w:rPr>
                <w:rFonts w:ascii="Times New Roman" w:hAnsi="Times New Roman"/>
                <w:b w:val="0"/>
                <w:sz w:val="16"/>
              </w:rPr>
              <w:t>The intumescent-band requirement exists but lacks every performance parameter Criterion 7 demands.</w:t>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identified; assessment record §4.2.11: "the regulations lack a performance-based focus and rigour in validating fire resistance".</w:t>
            </w:r>
          </w:p>
        </w:tc>
        <w:tc>
          <w:tcPr>
            <w:tcW w:type="dxa" w:w="1987"/>
          </w:tcPr>
          <w:p>
            <w:r/>
            <w:r>
              <w:rPr>
                <w:rFonts w:ascii="Times New Roman" w:hAnsi="Times New Roman"/>
                <w:b w:val="0"/>
                <w:sz w:val="16"/>
              </w:rPr>
            </w:r>
          </w:p>
        </w:tc>
      </w:tr>
    </w:tbl>
    <w:p/>
    <w:p>
      <w:r>
        <w:rPr>
          <w:rFonts w:ascii="Times New Roman" w:hAnsi="Times New Roman"/>
          <w:b/>
          <w:sz w:val="24"/>
        </w:rPr>
        <w:t>S1.13 USA (Score 3.0,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IBC Section 718: concealed-space (fireblocking/draftstopping) requirements conditional on building occupancy and construction type (MS 3.2: "conditional architecture"; assessment record §4.2.10: requirements "vary depending on the type of construction and the specific occupancy classification"). State-by-state adoption further fragments application (MS 3.2).</w:t>
            </w:r>
          </w:p>
        </w:tc>
        <w:tc>
          <w:tcPr>
            <w:tcW w:type="dxa" w:w="1987"/>
          </w:tcPr>
          <w:p>
            <w:r/>
            <w:r>
              <w:rPr>
                <w:rFonts w:ascii="Times New Roman" w:hAnsi="Times New Roman"/>
                <w:b w:val="0"/>
                <w:sz w:val="16"/>
              </w:rPr>
              <w:t>Manuscript uses IBC Section 718 (referee-verified); the assessment record's narrative cites IBC Section 707 (MS assembly record, conflict item 3).</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Conditional by occupancy: IBC Section 718; NFPA 5000 Section 8.5 ("Concealed Spaces") in parallel; NFPA 101 provides occupancy-classification-based guidance (assessment record §4.2.10 and comparative Section (i);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cavity spacing provision identified in IBC Section 718 or NFPA 5000 Section 8.5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Fire-resistance requirements apply conditionally: assessment record §4.2.10 records that specific requirements vary with construction type and occupancy classification; coded C per the conditional definition (Table 1 Notes).</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Material requirements likewise conditional on construction type and occupancy (assessment record §4.2.10, same passage); coded C (material-limited/conditional per Table 1 Notes definition).</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Referenced methods attach to other elements, not to cavity barriers as elements: ASTM E814 and UL 1479 are penetration-firestop tests (assessment record §4.2.10); ASTM E119 and ANSI/FM Approvals 4411-2020 appear in assessment record Table 4.3, the latter an insurance approvals scheme outside the building code (MS 3.2, 5.1).</w:t>
            </w:r>
          </w:p>
        </w:tc>
        <w:tc>
          <w:tcPr>
            <w:tcW w:type="dxa" w:w="1987"/>
          </w:tcPr>
          <w:p>
            <w:r/>
            <w:r>
              <w:rPr>
                <w:rFonts w:ascii="Times New Roman" w:hAnsi="Times New Roman"/>
                <w:b w:val="0"/>
                <w:sz w:val="16"/>
              </w:rPr>
              <w:t>ASTM E2912-13 (open-state method) exists as a national standard but is not mandated by the IBC or NFPA 5000 (MS 4.3, 6.3).</w:t>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IBC Section 718 or NFPA 5000 Section 8.5 as reviewed (MS 6.3: no jurisdiction assessed mandates ASTM E2912-13).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IBC Section 104.11 (2021 edition; Section 104.2.3 in IBC 2024): alternative materials, design and methods, including alternative fire-resistance routes; ICC Performance Code available.</w:t>
            </w:r>
          </w:p>
        </w:tc>
        <w:tc>
          <w:tcPr>
            <w:tcW w:type="dxa" w:w="1987"/>
          </w:tcPr>
          <w:p>
            <w:r/>
            <w:r>
              <w:rPr>
                <w:rFonts w:ascii="Times New Roman" w:hAnsi="Times New Roman"/>
                <w:b w:val="0"/>
                <w:sz w:val="16"/>
              </w:rPr>
              <w:t>Verified June 2026 via codes.iccsafe.org.</w:t>
            </w:r>
          </w:p>
        </w:tc>
      </w:tr>
    </w:tbl>
    <w:p/>
    <w:p>
      <w:r>
        <w:rPr>
          <w:rFonts w:ascii="Times New Roman" w:hAnsi="Times New Roman"/>
          <w:b/>
          <w:sz w:val="24"/>
        </w:rPr>
        <w:t>S1.14 China (Score 2.5,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GB 50016-2014 (Code of Design of Building Fire Protection and Prevention): general provisions related to cavity barriers; GB 50045-2012 (Code for Fire Protection Design of Tall Buildings) requires barriers at intersections of walls, floors and ceilings, at pipe penetrations, around ventilation ducts, and at other locations isolating concealed spaces. assessment record §4.2.13 (China);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Conditional: detailed provisions attach to high-rise buildings only (GB 50045) atop the general code (GB 50016) (MS 3.2: "China's coverage is conditional ... attaching detailed provisions to high-rise buildings"). Table 1 cell: "high-rise only (GB 50016; GB 50045)".</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cavity spacing provision identified in GB 50016-2014 or GB 50045-2012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§4.2.13 (China): the codes "appear to lack details regarding ... precise performance metrics"; no FRL value for cavity barriers identified.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GB 50045-2012: non-combustible materials specified for cavity barriers, such as mineral wool, calcium silicate boards and gypsum boards. assessment record §4.2.13 (China).</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§4.2.13 (China): "less focus on testing standards"; no cavity barrier test standard referenced in GB 50016/GB 50045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GB 50016-2014 or GB 50045-2012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identified in GB 50016-2014 or GB 50045-2012 as reviewed.</w:t>
            </w:r>
          </w:p>
        </w:tc>
        <w:tc>
          <w:tcPr>
            <w:tcW w:type="dxa" w:w="1987"/>
          </w:tcPr>
          <w:p>
            <w:r/>
            <w:r>
              <w:rPr>
                <w:rFonts w:ascii="Times New Roman" w:hAnsi="Times New Roman"/>
                <w:b w:val="0"/>
                <w:sz w:val="16"/>
              </w:rPr>
            </w:r>
          </w:p>
        </w:tc>
      </w:tr>
    </w:tbl>
    <w:p/>
    <w:p>
      <w:r>
        <w:rPr>
          <w:rFonts w:ascii="Times New Roman" w:hAnsi="Times New Roman"/>
          <w:b/>
          <w:sz w:val="24"/>
        </w:rPr>
        <w:t>S1.15 Russia (Score 2.0, Tier 3)</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SP 2.13130.2020 (Fire Protection Systems - Ensuring Fire Resistance of Objects of Protection): barriers required to isolate concealed spaces and potential fire spread pathways. assessment record §4.2.14; MS 3.2.</w:t>
            </w:r>
          </w:p>
        </w:tc>
        <w:tc>
          <w:tcPr>
            <w:tcW w:type="dxa" w:w="1987"/>
          </w:tcPr>
          <w:p>
            <w:r/>
            <w:r>
              <w:rPr>
                <w:rFonts w:ascii="Times New Roman" w:hAnsi="Times New Roman"/>
                <w:b w:val="0"/>
                <w:sz w:val="16"/>
              </w:rPr>
              <w:t>Russia assessed from SP 2.13130.2020 via English-language secondary sources (Table 1 Notes); secondary-source reliance flagged. Conservative coding case per MS 2.2.</w:t>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Coverage unspecified in the source text (Table 1 cell: "concealed spaces, coverage unspecified (SP 2.13130.2020)"); conservative coding per MS 2.2 (Russia named as a principal conservative-coding case).</w:t>
            </w:r>
          </w:p>
        </w:tc>
        <w:tc>
          <w:tcPr>
            <w:tcW w:type="dxa" w:w="1987"/>
          </w:tcPr>
          <w:p>
            <w:r/>
            <w:r>
              <w:rPr>
                <w:rFonts w:ascii="Times New Roman" w:hAnsi="Times New Roman"/>
                <w:b w:val="0"/>
                <w:sz w:val="16"/>
              </w:rPr>
              <w:t>Secondary-source flag applies.</w:t>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SP 2.13130.2020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§4.2.14: SP 2.13130.2020 provides "limited details regarding fire resistance ratings for cavity barriers"; no FRL value identified.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SP 2.13130.2020 permits barriers of non-combustible or moderately combustible materials (assessment record §4.2.14); the admission of moderately combustible classifications is scored C (Table 1 Notes: "its material requirement permits moderately combustible classifications and is scored C accordingly").</w:t>
            </w:r>
          </w:p>
        </w:tc>
        <w:tc>
          <w:tcPr>
            <w:tcW w:type="dxa" w:w="1987"/>
          </w:tcPr>
          <w:p>
            <w:r/>
            <w:r>
              <w:rPr>
                <w:rFonts w:ascii="Times New Roman" w:hAnsi="Times New Roman"/>
                <w:b w:val="0"/>
                <w:sz w:val="16"/>
              </w:rPr>
              <w:t>Secondary-source flag applies.</w:t>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§4.2.14: "nor are there any references to relevant testing standards or metrics for cavity barrier performance".</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SP 2.13130.2020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identified in SP 2.13130.2020 as reviewed.</w:t>
            </w:r>
          </w:p>
        </w:tc>
        <w:tc>
          <w:tcPr>
            <w:tcW w:type="dxa" w:w="1987"/>
          </w:tcPr>
          <w:p>
            <w:r/>
            <w:r>
              <w:rPr>
                <w:rFonts w:ascii="Times New Roman" w:hAnsi="Times New Roman"/>
                <w:b w:val="0"/>
                <w:sz w:val="16"/>
              </w:rPr>
            </w:r>
          </w:p>
        </w:tc>
      </w:tr>
    </w:tbl>
    <w:p/>
    <w:p>
      <w:r>
        <w:rPr>
          <w:rFonts w:ascii="Times New Roman" w:hAnsi="Times New Roman"/>
          <w:b/>
          <w:sz w:val="24"/>
        </w:rPr>
        <w:t>S1.16 India (Score 1.5, Tier 4)</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987"/>
        <w:gridCol w:w="1987"/>
        <w:gridCol w:w="1987"/>
        <w:gridCol w:w="1987"/>
        <w:gridCol w:w="1987"/>
      </w:tblGrid>
      <w:tr>
        <w:tc>
          <w:tcPr>
            <w:tcW w:type="dxa" w:w="1987"/>
          </w:tcPr>
          <w:p>
            <w:r/>
            <w:r>
              <w:rPr>
                <w:rFonts w:ascii="Times New Roman" w:hAnsi="Times New Roman"/>
                <w:b/>
                <w:sz w:val="16"/>
              </w:rPr>
              <w:t>#</w:t>
            </w:r>
          </w:p>
        </w:tc>
        <w:tc>
          <w:tcPr>
            <w:tcW w:type="dxa" w:w="1987"/>
          </w:tcPr>
          <w:p>
            <w:r/>
            <w:r>
              <w:rPr>
                <w:rFonts w:ascii="Times New Roman" w:hAnsi="Times New Roman"/>
                <w:b/>
                <w:sz w:val="16"/>
              </w:rPr>
              <w:t>Criterion</w:t>
            </w:r>
          </w:p>
        </w:tc>
        <w:tc>
          <w:tcPr>
            <w:tcW w:type="dxa" w:w="1987"/>
          </w:tcPr>
          <w:p>
            <w:r/>
            <w:r>
              <w:rPr>
                <w:rFonts w:ascii="Times New Roman" w:hAnsi="Times New Roman"/>
                <w:b/>
                <w:sz w:val="16"/>
              </w:rPr>
              <w:t>Coding</w:t>
            </w:r>
          </w:p>
        </w:tc>
        <w:tc>
          <w:tcPr>
            <w:tcW w:type="dxa" w:w="1987"/>
          </w:tcPr>
          <w:p>
            <w:r/>
            <w:r>
              <w:rPr>
                <w:rFonts w:ascii="Times New Roman" w:hAnsi="Times New Roman"/>
                <w:b/>
                <w:sz w:val="16"/>
              </w:rPr>
              <w:t>Basis (clause / source)</w:t>
            </w:r>
          </w:p>
        </w:tc>
        <w:tc>
          <w:tcPr>
            <w:tcW w:type="dxa" w:w="1987"/>
          </w:tcPr>
          <w:p>
            <w:r/>
            <w:r>
              <w:rPr>
                <w:rFonts w:ascii="Times New Roman" w:hAnsi="Times New Roman"/>
                <w:b/>
                <w:sz w:val="16"/>
              </w:rPr>
              <w:t>Note</w:t>
            </w:r>
          </w:p>
        </w:tc>
      </w:tr>
      <w:tr>
        <w:tc>
          <w:tcPr>
            <w:tcW w:type="dxa" w:w="1987"/>
          </w:tcPr>
          <w:p>
            <w:r/>
            <w:r>
              <w:rPr>
                <w:rFonts w:ascii="Times New Roman" w:hAnsi="Times New Roman"/>
                <w:b w:val="0"/>
                <w:sz w:val="16"/>
              </w:rPr>
              <w:t>1</w:t>
            </w:r>
          </w:p>
        </w:tc>
        <w:tc>
          <w:tcPr>
            <w:tcW w:type="dxa" w:w="1987"/>
          </w:tcPr>
          <w:p>
            <w:r/>
            <w:r>
              <w:rPr>
                <w:rFonts w:ascii="Times New Roman" w:hAnsi="Times New Roman"/>
                <w:b w:val="0"/>
                <w:sz w:val="16"/>
              </w:rPr>
              <w:t>Mandatory status</w:t>
            </w:r>
          </w:p>
        </w:tc>
        <w:tc>
          <w:tcPr>
            <w:tcW w:type="dxa" w:w="1987"/>
          </w:tcPr>
          <w:p>
            <w:r/>
            <w:r>
              <w:rPr>
                <w:rFonts w:ascii="Times New Roman" w:hAnsi="Times New Roman"/>
                <w:b w:val="0"/>
                <w:sz w:val="16"/>
              </w:rPr>
              <w:t>Y</w:t>
            </w:r>
          </w:p>
        </w:tc>
        <w:tc>
          <w:tcPr>
            <w:tcW w:type="dxa" w:w="1987"/>
          </w:tcPr>
          <w:p>
            <w:r/>
            <w:r>
              <w:rPr>
                <w:rFonts w:ascii="Times New Roman" w:hAnsi="Times New Roman"/>
                <w:b w:val="0"/>
                <w:sz w:val="16"/>
              </w:rPr>
              <w:t>NBC 2016, Part 4 (Fire and Life Safety), Clause 3.5.3: "To prevent spread of fire and smoke through concealed spaces or cavities like air ducts, pipes, service shafts, crawl spaces, ceiling/wall spaces, etc., fire barriers (e.g. fire stops and smoke stops) shall be provided." assessment record §4.2.13 (India); MS 3.2.</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2</w:t>
            </w:r>
          </w:p>
        </w:tc>
        <w:tc>
          <w:tcPr>
            <w:tcW w:type="dxa" w:w="1987"/>
          </w:tcPr>
          <w:p>
            <w:r/>
            <w:r>
              <w:rPr>
                <w:rFonts w:ascii="Times New Roman" w:hAnsi="Times New Roman"/>
                <w:b w:val="0"/>
                <w:sz w:val="16"/>
              </w:rPr>
              <w:t>Building types covered</w:t>
            </w:r>
          </w:p>
        </w:tc>
        <w:tc>
          <w:tcPr>
            <w:tcW w:type="dxa" w:w="1987"/>
          </w:tcPr>
          <w:p>
            <w:r/>
            <w:r>
              <w:rPr>
                <w:rFonts w:ascii="Times New Roman" w:hAnsi="Times New Roman"/>
                <w:b w:val="0"/>
                <w:sz w:val="16"/>
              </w:rPr>
              <w:t>C</w:t>
            </w:r>
          </w:p>
        </w:tc>
        <w:tc>
          <w:tcPr>
            <w:tcW w:type="dxa" w:w="1987"/>
          </w:tcPr>
          <w:p>
            <w:r/>
            <w:r>
              <w:rPr>
                <w:rFonts w:ascii="Times New Roman" w:hAnsi="Times New Roman"/>
                <w:b w:val="0"/>
                <w:sz w:val="16"/>
              </w:rPr>
              <w:t>Coverage unspecified: assessment record §4.2.13 (India) records "limited details regarding locations where cavity barriers must be installed"; MS 3.2: "coverage is unspecified, and the code gives minimal implementation guidance". Table 1 cell: "coverage unspecified (NBC 2016 Cl. 3.5.3)".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3</w:t>
            </w:r>
          </w:p>
        </w:tc>
        <w:tc>
          <w:tcPr>
            <w:tcW w:type="dxa" w:w="1987"/>
          </w:tcPr>
          <w:p>
            <w:r/>
            <w:r>
              <w:rPr>
                <w:rFonts w:ascii="Times New Roman" w:hAnsi="Times New Roman"/>
                <w:b w:val="0"/>
                <w:sz w:val="16"/>
              </w:rPr>
              <w:t>Max spacing</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maximum spacing provision identified in NBC 2016 Part 4, Clause 3.5.3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4</w:t>
            </w:r>
          </w:p>
        </w:tc>
        <w:tc>
          <w:tcPr>
            <w:tcW w:type="dxa" w:w="1987"/>
          </w:tcPr>
          <w:p>
            <w:r/>
            <w:r>
              <w:rPr>
                <w:rFonts w:ascii="Times New Roman" w:hAnsi="Times New Roman"/>
                <w:b w:val="0"/>
                <w:sz w:val="16"/>
              </w:rPr>
              <w:t>FRL required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§4.2.13 (India): limited details on "required fire resistance ratings"; no FRL value identified in NBC 2016 Part 4.</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5</w:t>
            </w:r>
          </w:p>
        </w:tc>
        <w:tc>
          <w:tcPr>
            <w:tcW w:type="dxa" w:w="1987"/>
          </w:tcPr>
          <w:p>
            <w:r/>
            <w:r>
              <w:rPr>
                <w:rFonts w:ascii="Times New Roman" w:hAnsi="Times New Roman"/>
                <w:b w:val="0"/>
                <w:sz w:val="16"/>
              </w:rPr>
              <w:t>Material specification</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§4.2.13 (India): limited details on "materials specifications"; no material requirement identified in NBC 2016 Part 4, Clause 3.5.3.</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6</w:t>
            </w:r>
          </w:p>
        </w:tc>
        <w:tc>
          <w:tcPr>
            <w:tcW w:type="dxa" w:w="1987"/>
          </w:tcPr>
          <w:p>
            <w:r/>
            <w:r>
              <w:rPr>
                <w:rFonts w:ascii="Times New Roman" w:hAnsi="Times New Roman"/>
                <w:b w:val="0"/>
                <w:sz w:val="16"/>
              </w:rPr>
              <w:t>Dedicated test standard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assessment record §4.2.13 (India): no "specific references to relevant testing standards for cavity barrier performance".</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7</w:t>
            </w:r>
          </w:p>
        </w:tc>
        <w:tc>
          <w:tcPr>
            <w:tcW w:type="dxa" w:w="1987"/>
          </w:tcPr>
          <w:p>
            <w:r/>
            <w:r>
              <w:rPr>
                <w:rFonts w:ascii="Times New Roman" w:hAnsi="Times New Roman"/>
                <w:b w:val="0"/>
                <w:sz w:val="16"/>
              </w:rPr>
              <w:t>Open-state addressed</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open-state provision identified in NBC 2016 Part 4 as reviewed.</w:t>
            </w:r>
          </w:p>
        </w:tc>
        <w:tc>
          <w:tcPr>
            <w:tcW w:type="dxa" w:w="1987"/>
          </w:tcPr>
          <w:p>
            <w:r/>
            <w:r>
              <w:rPr>
                <w:rFonts w:ascii="Times New Roman" w:hAnsi="Times New Roman"/>
                <w:b w:val="0"/>
                <w:sz w:val="16"/>
              </w:rPr>
            </w:r>
          </w:p>
        </w:tc>
      </w:tr>
      <w:tr>
        <w:tc>
          <w:tcPr>
            <w:tcW w:type="dxa" w:w="1987"/>
          </w:tcPr>
          <w:p>
            <w:r/>
            <w:r>
              <w:rPr>
                <w:rFonts w:ascii="Times New Roman" w:hAnsi="Times New Roman"/>
                <w:b w:val="0"/>
                <w:sz w:val="16"/>
              </w:rPr>
              <w:t>8</w:t>
            </w:r>
          </w:p>
        </w:tc>
        <w:tc>
          <w:tcPr>
            <w:tcW w:type="dxa" w:w="1987"/>
          </w:tcPr>
          <w:p>
            <w:r/>
            <w:r>
              <w:rPr>
                <w:rFonts w:ascii="Times New Roman" w:hAnsi="Times New Roman"/>
                <w:b w:val="0"/>
                <w:sz w:val="16"/>
              </w:rPr>
              <w:t>PB alternative</w:t>
            </w:r>
          </w:p>
        </w:tc>
        <w:tc>
          <w:tcPr>
            <w:tcW w:type="dxa" w:w="1987"/>
          </w:tcPr>
          <w:p>
            <w:r/>
            <w:r>
              <w:rPr>
                <w:rFonts w:ascii="Times New Roman" w:hAnsi="Times New Roman"/>
                <w:b w:val="0"/>
                <w:sz w:val="16"/>
              </w:rPr>
              <w:t>N</w:t>
            </w:r>
          </w:p>
        </w:tc>
        <w:tc>
          <w:tcPr>
            <w:tcW w:type="dxa" w:w="1987"/>
          </w:tcPr>
          <w:p>
            <w:r/>
            <w:r>
              <w:rPr>
                <w:rFonts w:ascii="Times New Roman" w:hAnsi="Times New Roman"/>
                <w:b w:val="0"/>
                <w:sz w:val="16"/>
              </w:rPr>
              <w:t>No performance-based compliance alternative identified in NBC 2016 Part 4 as reviewed.</w:t>
            </w:r>
          </w:p>
        </w:tc>
        <w:tc>
          <w:tcPr>
            <w:tcW w:type="dxa" w:w="1987"/>
          </w:tcPr>
          <w:p>
            <w:r/>
            <w:r>
              <w:rPr>
                <w:rFonts w:ascii="Times New Roman" w:hAnsi="Times New Roman"/>
                <w:b w:val="0"/>
                <w:sz w:val="16"/>
              </w:rPr>
            </w:r>
          </w:p>
        </w:tc>
      </w:tr>
    </w:tbl>
    <w:p/>
    <w:p>
      <w:r>
        <w:rPr>
          <w:rFonts w:ascii="Times New Roman" w:hAnsi="Times New Roman"/>
        </w:rPr>
        <w:t>*End of Supplementary Material S1. Total cells: 128 (16 jurisdictions x 8 criteria). Fully documented: 128 (120 from the assessment record and manuscript; 8 Criterion 8 cells externally verified against authoritative code-body sources, June 2026).*</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