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D6F44" w:rsidRPr="00884F12" w:rsidRDefault="00F70356" w:rsidP="00471B42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36"/>
        </w:rPr>
      </w:pPr>
      <w:r w:rsidRPr="00884F12">
        <w:rPr>
          <w:rFonts w:ascii="Times New Roman" w:hAnsi="Times New Roman" w:cs="Times New Roman"/>
          <w:b/>
          <w:bCs/>
          <w:color w:val="000000" w:themeColor="text1"/>
          <w:sz w:val="28"/>
          <w:szCs w:val="36"/>
        </w:rPr>
        <w:t>Supplementa</w:t>
      </w:r>
      <w:r w:rsidR="00123A37" w:rsidRPr="00884F12">
        <w:rPr>
          <w:rFonts w:ascii="Times New Roman" w:hAnsi="Times New Roman" w:cs="Times New Roman"/>
          <w:b/>
          <w:bCs/>
          <w:color w:val="000000" w:themeColor="text1"/>
          <w:sz w:val="28"/>
          <w:szCs w:val="36"/>
        </w:rPr>
        <w:t>l</w:t>
      </w:r>
      <w:r w:rsidRPr="00884F12">
        <w:rPr>
          <w:rFonts w:ascii="Times New Roman" w:hAnsi="Times New Roman" w:cs="Times New Roman"/>
          <w:b/>
          <w:bCs/>
          <w:color w:val="000000" w:themeColor="text1"/>
          <w:sz w:val="28"/>
          <w:szCs w:val="36"/>
        </w:rPr>
        <w:t xml:space="preserve"> Material</w:t>
      </w:r>
      <w:r w:rsidR="008D519E">
        <w:rPr>
          <w:rFonts w:ascii="Times New Roman" w:hAnsi="Times New Roman" w:cs="Times New Roman" w:hint="eastAsia"/>
          <w:b/>
          <w:bCs/>
          <w:color w:val="000000" w:themeColor="text1"/>
          <w:sz w:val="28"/>
          <w:szCs w:val="36"/>
        </w:rPr>
        <w:t>s</w:t>
      </w:r>
    </w:p>
    <w:p w:rsidR="006512D7" w:rsidRPr="00DB30FC" w:rsidRDefault="00000000" w:rsidP="00912397">
      <w:pPr>
        <w:pStyle w:val="a9"/>
        <w:numPr>
          <w:ilvl w:val="0"/>
          <w:numId w:val="1"/>
        </w:numPr>
        <w:spacing w:before="240" w:after="240" w:line="480" w:lineRule="auto"/>
        <w:ind w:left="0" w:firstLine="0"/>
        <w:jc w:val="left"/>
        <w:rPr>
          <w:rFonts w:ascii="Times New Roman" w:hAnsi="Times New Roman" w:cs="Times New Roman"/>
          <w:b/>
          <w:bCs/>
          <w:color w:val="000000" w:themeColor="text1"/>
          <w:sz w:val="24"/>
        </w:rPr>
      </w:pPr>
      <w:hyperlink w:anchor="_Supplementary_Discussions" w:history="1">
        <w:r w:rsidR="006512D7" w:rsidRPr="00DB30FC">
          <w:rPr>
            <w:rStyle w:val="ae"/>
            <w:rFonts w:ascii="Times New Roman" w:hAnsi="Times New Roman" w:cs="Times New Roman"/>
            <w:b/>
            <w:bCs/>
            <w:color w:val="000000" w:themeColor="text1"/>
            <w:sz w:val="24"/>
          </w:rPr>
          <w:t>Supplementary Discussion</w:t>
        </w:r>
        <w:r w:rsidR="00352A20" w:rsidRPr="00DB30FC">
          <w:rPr>
            <w:rStyle w:val="ae"/>
            <w:rFonts w:ascii="Times New Roman" w:hAnsi="Times New Roman" w:cs="Times New Roman"/>
            <w:b/>
            <w:bCs/>
            <w:color w:val="000000" w:themeColor="text1"/>
            <w:sz w:val="24"/>
          </w:rPr>
          <w:t>s</w:t>
        </w:r>
      </w:hyperlink>
    </w:p>
    <w:p w:rsidR="00187E44" w:rsidRPr="00DB30FC" w:rsidRDefault="00000000" w:rsidP="00912397">
      <w:pPr>
        <w:pStyle w:val="a9"/>
        <w:numPr>
          <w:ilvl w:val="0"/>
          <w:numId w:val="1"/>
        </w:numPr>
        <w:spacing w:before="240" w:after="240" w:line="480" w:lineRule="auto"/>
        <w:ind w:left="0" w:firstLine="0"/>
        <w:jc w:val="left"/>
        <w:rPr>
          <w:rFonts w:ascii="Times New Roman" w:hAnsi="Times New Roman" w:cs="Times New Roman"/>
          <w:b/>
          <w:bCs/>
          <w:color w:val="000000" w:themeColor="text1"/>
          <w:sz w:val="24"/>
        </w:rPr>
      </w:pPr>
      <w:hyperlink w:anchor="_Supplementary_Figures_2" w:history="1">
        <w:r w:rsidR="002A1A1E" w:rsidRPr="00DB30FC">
          <w:rPr>
            <w:rStyle w:val="ae"/>
            <w:rFonts w:ascii="Times New Roman" w:hAnsi="Times New Roman" w:cs="Times New Roman"/>
            <w:b/>
            <w:bCs/>
            <w:color w:val="000000" w:themeColor="text1"/>
            <w:sz w:val="24"/>
          </w:rPr>
          <w:t xml:space="preserve">Supplementary </w:t>
        </w:r>
        <w:r w:rsidR="00C508BB" w:rsidRPr="00DB30FC">
          <w:rPr>
            <w:rStyle w:val="ae"/>
            <w:rFonts w:ascii="Times New Roman" w:hAnsi="Times New Roman" w:cs="Times New Roman"/>
            <w:b/>
            <w:bCs/>
            <w:color w:val="000000" w:themeColor="text1"/>
            <w:sz w:val="24"/>
          </w:rPr>
          <w:t>Figures</w:t>
        </w:r>
      </w:hyperlink>
    </w:p>
    <w:p w:rsidR="002A1A1E" w:rsidRPr="00DB30FC" w:rsidRDefault="00000000" w:rsidP="00912397">
      <w:pPr>
        <w:pStyle w:val="a9"/>
        <w:numPr>
          <w:ilvl w:val="0"/>
          <w:numId w:val="1"/>
        </w:numPr>
        <w:spacing w:before="240" w:after="240" w:line="480" w:lineRule="auto"/>
        <w:ind w:left="0" w:firstLine="0"/>
        <w:jc w:val="left"/>
        <w:rPr>
          <w:rFonts w:ascii="Times New Roman" w:hAnsi="Times New Roman" w:cs="Times New Roman"/>
          <w:b/>
          <w:bCs/>
          <w:color w:val="000000" w:themeColor="text1"/>
          <w:sz w:val="24"/>
        </w:rPr>
      </w:pPr>
      <w:hyperlink w:anchor="_Supplementary_Figures" w:history="1">
        <w:r w:rsidR="002A1A1E" w:rsidRPr="00DB30FC">
          <w:rPr>
            <w:rStyle w:val="ae"/>
            <w:rFonts w:ascii="Times New Roman" w:hAnsi="Times New Roman" w:cs="Times New Roman"/>
            <w:b/>
            <w:bCs/>
            <w:color w:val="000000" w:themeColor="text1"/>
            <w:sz w:val="24"/>
          </w:rPr>
          <w:t xml:space="preserve">Supplementary </w:t>
        </w:r>
        <w:r w:rsidR="00C508BB" w:rsidRPr="00DB30FC">
          <w:rPr>
            <w:rStyle w:val="ae"/>
            <w:rFonts w:ascii="Times New Roman" w:hAnsi="Times New Roman" w:cs="Times New Roman"/>
            <w:b/>
            <w:bCs/>
            <w:color w:val="000000" w:themeColor="text1"/>
            <w:sz w:val="24"/>
          </w:rPr>
          <w:t>Tables</w:t>
        </w:r>
      </w:hyperlink>
    </w:p>
    <w:p w:rsidR="002A1A1E" w:rsidRPr="00DB30FC" w:rsidRDefault="00000000" w:rsidP="00912397">
      <w:pPr>
        <w:pStyle w:val="a9"/>
        <w:numPr>
          <w:ilvl w:val="0"/>
          <w:numId w:val="1"/>
        </w:numPr>
        <w:spacing w:before="240" w:after="240" w:line="480" w:lineRule="auto"/>
        <w:ind w:left="0" w:firstLine="0"/>
        <w:jc w:val="left"/>
        <w:rPr>
          <w:rFonts w:ascii="Times New Roman" w:hAnsi="Times New Roman" w:cs="Times New Roman"/>
          <w:b/>
          <w:bCs/>
          <w:color w:val="000000" w:themeColor="text1"/>
          <w:sz w:val="24"/>
        </w:rPr>
      </w:pPr>
      <w:hyperlink w:anchor="_Supplementary_References" w:history="1">
        <w:r w:rsidR="002A1A1E" w:rsidRPr="00DB30FC">
          <w:rPr>
            <w:rStyle w:val="ae"/>
            <w:rFonts w:ascii="Times New Roman" w:hAnsi="Times New Roman" w:cs="Times New Roman"/>
            <w:b/>
            <w:bCs/>
            <w:color w:val="000000" w:themeColor="text1"/>
            <w:sz w:val="24"/>
          </w:rPr>
          <w:t>Supplementary References</w:t>
        </w:r>
      </w:hyperlink>
    </w:p>
    <w:p w:rsidR="00385BF4" w:rsidRPr="00884F12" w:rsidRDefault="00385BF4" w:rsidP="0089112A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sectPr w:rsidR="00385BF4" w:rsidRPr="00884F12" w:rsidSect="006C3ECC">
          <w:pgSz w:w="11900" w:h="16840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</w:p>
    <w:p w:rsidR="00FB61A0" w:rsidRDefault="00500903" w:rsidP="00FB61A0">
      <w:pPr>
        <w:pStyle w:val="1"/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0" w:name="_Supplementary_Tables"/>
      <w:bookmarkStart w:id="1" w:name="_Supplementary_Discussions"/>
      <w:bookmarkStart w:id="2" w:name="_Supplementary_Figures_1"/>
      <w:bookmarkEnd w:id="0"/>
      <w:bookmarkEnd w:id="1"/>
      <w:bookmarkEnd w:id="2"/>
      <w:r w:rsidRPr="00884F1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Supplementary Discussions</w:t>
      </w:r>
    </w:p>
    <w:p w:rsidR="00D12FC0" w:rsidRPr="00C54E67" w:rsidRDefault="00F40F8D" w:rsidP="00006BD5">
      <w:pPr>
        <w:pStyle w:val="a9"/>
        <w:numPr>
          <w:ilvl w:val="0"/>
          <w:numId w:val="8"/>
        </w:numPr>
        <w:spacing w:beforeLines="50" w:before="156" w:afterLines="50" w:after="156" w:line="288" w:lineRule="auto"/>
        <w:ind w:left="357" w:hanging="357"/>
        <w:rPr>
          <w:rFonts w:ascii="Times New Roman" w:hAnsi="Times New Roman" w:cs="Times New Roman"/>
          <w:b/>
          <w:bCs/>
          <w:sz w:val="24"/>
          <w:szCs w:val="32"/>
        </w:rPr>
      </w:pPr>
      <w:r>
        <w:rPr>
          <w:rFonts w:ascii="Times New Roman" w:hAnsi="Times New Roman" w:cs="Times New Roman"/>
          <w:b/>
          <w:bCs/>
          <w:sz w:val="24"/>
          <w:szCs w:val="32"/>
        </w:rPr>
        <w:t>C</w:t>
      </w:r>
      <w:r w:rsidR="009105EE" w:rsidRPr="00C54E67">
        <w:rPr>
          <w:rFonts w:ascii="Times New Roman" w:hAnsi="Times New Roman" w:cs="Times New Roman"/>
          <w:b/>
          <w:bCs/>
          <w:sz w:val="24"/>
          <w:szCs w:val="32"/>
        </w:rPr>
        <w:t xml:space="preserve">onstruction of </w:t>
      </w:r>
      <w:r w:rsidR="001E5458" w:rsidRPr="001E5458">
        <w:rPr>
          <w:rFonts w:ascii="Times New Roman" w:hAnsi="Times New Roman" w:cs="Times New Roman"/>
          <w:b/>
          <w:bCs/>
          <w:sz w:val="24"/>
          <w:szCs w:val="32"/>
        </w:rPr>
        <w:t xml:space="preserve">nationally equitable </w:t>
      </w:r>
      <w:r w:rsidR="009105EE" w:rsidRPr="00C54E67">
        <w:rPr>
          <w:rFonts w:ascii="Times New Roman" w:hAnsi="Times New Roman" w:cs="Times New Roman"/>
          <w:b/>
          <w:bCs/>
          <w:sz w:val="24"/>
          <w:szCs w:val="32"/>
        </w:rPr>
        <w:t>emissions pathways</w:t>
      </w:r>
    </w:p>
    <w:p w:rsidR="009D5EAD" w:rsidRDefault="00FC2885" w:rsidP="00405E36">
      <w:pPr>
        <w:spacing w:line="288" w:lineRule="auto"/>
        <w:rPr>
          <w:rFonts w:ascii="Times New Roman" w:hAnsi="Times New Roman" w:cs="Times New Roman"/>
          <w:sz w:val="24"/>
          <w:szCs w:val="32"/>
        </w:rPr>
      </w:pPr>
      <w:r w:rsidRPr="00FC2885">
        <w:rPr>
          <w:rFonts w:ascii="Times New Roman" w:hAnsi="Times New Roman" w:cs="Times New Roman"/>
          <w:sz w:val="24"/>
          <w:szCs w:val="32"/>
        </w:rPr>
        <w:t xml:space="preserve">We construct nationally equitable emissions pathways consistent with the 1.5°C </w:t>
      </w:r>
      <w:r w:rsidR="00D812AF">
        <w:rPr>
          <w:rFonts w:ascii="Times New Roman" w:hAnsi="Times New Roman" w:cs="Times New Roman"/>
          <w:sz w:val="24"/>
          <w:szCs w:val="32"/>
        </w:rPr>
        <w:t>target</w:t>
      </w:r>
      <w:r w:rsidRPr="00FC2885">
        <w:rPr>
          <w:rFonts w:ascii="Times New Roman" w:hAnsi="Times New Roman" w:cs="Times New Roman"/>
          <w:sz w:val="24"/>
          <w:szCs w:val="32"/>
        </w:rPr>
        <w:t xml:space="preserve"> by comparing, for each target country, a population-proportional equity baseline against a calibrated temperature-preserving counterfactual that replaces the country’s historical </w:t>
      </w:r>
      <w:r w:rsidR="00E658EA">
        <w:rPr>
          <w:rFonts w:ascii="Times New Roman" w:hAnsi="Times New Roman" w:cs="Times New Roman"/>
          <w:sz w:val="24"/>
          <w:szCs w:val="32"/>
        </w:rPr>
        <w:t>emissions</w:t>
      </w:r>
      <w:r w:rsidRPr="00FC2885">
        <w:rPr>
          <w:rFonts w:ascii="Times New Roman" w:hAnsi="Times New Roman" w:cs="Times New Roman"/>
          <w:sz w:val="24"/>
          <w:szCs w:val="32"/>
        </w:rPr>
        <w:t xml:space="preserve"> with its equ</w:t>
      </w:r>
      <w:r w:rsidR="00854D26">
        <w:rPr>
          <w:rFonts w:ascii="Times New Roman" w:hAnsi="Times New Roman" w:cs="Times New Roman"/>
          <w:sz w:val="24"/>
          <w:szCs w:val="32"/>
        </w:rPr>
        <w:t>al</w:t>
      </w:r>
      <w:r w:rsidRPr="00FC2885">
        <w:rPr>
          <w:rFonts w:ascii="Times New Roman" w:hAnsi="Times New Roman" w:cs="Times New Roman"/>
          <w:sz w:val="24"/>
          <w:szCs w:val="32"/>
        </w:rPr>
        <w:t xml:space="preserve"> </w:t>
      </w:r>
      <w:r w:rsidR="00343DF8">
        <w:rPr>
          <w:rFonts w:ascii="Times New Roman" w:hAnsi="Times New Roman" w:cs="Times New Roman"/>
          <w:sz w:val="24"/>
          <w:szCs w:val="32"/>
        </w:rPr>
        <w:t>per-capita</w:t>
      </w:r>
      <w:r w:rsidRPr="00FC2885">
        <w:rPr>
          <w:rFonts w:ascii="Times New Roman" w:hAnsi="Times New Roman" w:cs="Times New Roman"/>
          <w:sz w:val="24"/>
          <w:szCs w:val="32"/>
        </w:rPr>
        <w:t xml:space="preserve"> share. The procedure is applied to all countries; for exposition we illustrate the steps with the </w:t>
      </w:r>
      <w:r w:rsidR="00B26302">
        <w:rPr>
          <w:rFonts w:ascii="Times New Roman" w:hAnsi="Times New Roman" w:cs="Times New Roman"/>
          <w:sz w:val="24"/>
          <w:szCs w:val="32"/>
        </w:rPr>
        <w:t>United States</w:t>
      </w:r>
      <w:r w:rsidR="000E52E3">
        <w:rPr>
          <w:rFonts w:ascii="Times New Roman" w:hAnsi="Times New Roman" w:cs="Times New Roman"/>
          <w:sz w:val="24"/>
          <w:szCs w:val="32"/>
        </w:rPr>
        <w:t xml:space="preserve"> (US)</w:t>
      </w:r>
      <w:r w:rsidR="00781B27" w:rsidRPr="00405E36">
        <w:rPr>
          <w:rFonts w:ascii="Times New Roman" w:hAnsi="Times New Roman" w:cs="Times New Roman"/>
          <w:sz w:val="24"/>
          <w:szCs w:val="32"/>
        </w:rPr>
        <w:t>.</w:t>
      </w:r>
      <w:r w:rsidR="000B6878" w:rsidRPr="00405E36">
        <w:rPr>
          <w:rFonts w:ascii="Times New Roman" w:hAnsi="Times New Roman" w:cs="Times New Roman"/>
          <w:sz w:val="24"/>
          <w:szCs w:val="32"/>
        </w:rPr>
        <w:t xml:space="preserve"> </w:t>
      </w:r>
    </w:p>
    <w:p w:rsidR="009D5EAD" w:rsidRDefault="009D5EAD" w:rsidP="00405E36">
      <w:pPr>
        <w:spacing w:line="288" w:lineRule="auto"/>
        <w:rPr>
          <w:rFonts w:ascii="Times New Roman" w:hAnsi="Times New Roman" w:cs="Times New Roman"/>
          <w:sz w:val="24"/>
          <w:szCs w:val="32"/>
        </w:rPr>
      </w:pPr>
    </w:p>
    <w:p w:rsidR="00625807" w:rsidRDefault="00625807" w:rsidP="00405E36">
      <w:pPr>
        <w:spacing w:line="288" w:lineRule="auto"/>
        <w:rPr>
          <w:rFonts w:ascii="Times New Roman" w:hAnsi="Times New Roman" w:cs="Times New Roman"/>
          <w:sz w:val="24"/>
          <w:szCs w:val="32"/>
        </w:rPr>
      </w:pPr>
      <w:r w:rsidRPr="00625807">
        <w:rPr>
          <w:rFonts w:ascii="Times New Roman" w:hAnsi="Times New Roman" w:cs="Times New Roman"/>
          <w:sz w:val="24"/>
          <w:szCs w:val="32"/>
        </w:rPr>
        <w:t xml:space="preserve">The </w:t>
      </w:r>
      <w:r w:rsidR="0016355C">
        <w:rPr>
          <w:rFonts w:ascii="Times New Roman" w:hAnsi="Times New Roman" w:cs="Times New Roman"/>
          <w:sz w:val="24"/>
          <w:szCs w:val="32"/>
        </w:rPr>
        <w:t>United States</w:t>
      </w:r>
      <w:r w:rsidR="0016355C" w:rsidRPr="00625807">
        <w:rPr>
          <w:rFonts w:ascii="Times New Roman" w:hAnsi="Times New Roman" w:cs="Times New Roman"/>
          <w:sz w:val="24"/>
          <w:szCs w:val="32"/>
        </w:rPr>
        <w:t xml:space="preserve"> </w:t>
      </w:r>
      <w:r w:rsidRPr="00625807">
        <w:rPr>
          <w:rFonts w:ascii="Times New Roman" w:hAnsi="Times New Roman" w:cs="Times New Roman"/>
          <w:sz w:val="24"/>
          <w:szCs w:val="32"/>
        </w:rPr>
        <w:t>has historically emitted well above a population-proportional (equ</w:t>
      </w:r>
      <w:r w:rsidR="000A7C42">
        <w:rPr>
          <w:rFonts w:ascii="Times New Roman" w:hAnsi="Times New Roman" w:cs="Times New Roman"/>
          <w:sz w:val="24"/>
          <w:szCs w:val="32"/>
        </w:rPr>
        <w:t>al</w:t>
      </w:r>
      <w:r w:rsidRPr="00625807">
        <w:rPr>
          <w:rFonts w:ascii="Times New Roman" w:hAnsi="Times New Roman" w:cs="Times New Roman"/>
          <w:sz w:val="24"/>
          <w:szCs w:val="32"/>
        </w:rPr>
        <w:t xml:space="preserve"> </w:t>
      </w:r>
      <w:r w:rsidR="00343DF8">
        <w:rPr>
          <w:rFonts w:ascii="Times New Roman" w:hAnsi="Times New Roman" w:cs="Times New Roman"/>
          <w:sz w:val="24"/>
          <w:szCs w:val="32"/>
        </w:rPr>
        <w:t>per-capita</w:t>
      </w:r>
      <w:r w:rsidRPr="00625807">
        <w:rPr>
          <w:rFonts w:ascii="Times New Roman" w:hAnsi="Times New Roman" w:cs="Times New Roman"/>
          <w:sz w:val="24"/>
          <w:szCs w:val="32"/>
        </w:rPr>
        <w:t>) share</w:t>
      </w:r>
      <w:r w:rsidR="00AA5F76">
        <w:rPr>
          <w:rFonts w:ascii="Times New Roman" w:hAnsi="Times New Roman" w:cs="Times New Roman"/>
          <w:sz w:val="24"/>
          <w:szCs w:val="32"/>
        </w:rPr>
        <w:t xml:space="preserve"> </w:t>
      </w:r>
      <w:r w:rsidR="00AA5F76" w:rsidRPr="00FC2885">
        <w:rPr>
          <w:rFonts w:ascii="Times New Roman" w:hAnsi="Times New Roman" w:cs="Times New Roman"/>
          <w:sz w:val="24"/>
          <w:szCs w:val="32"/>
        </w:rPr>
        <w:t>(</w:t>
      </w:r>
      <w:r w:rsidR="00AA5F76" w:rsidRPr="00405E36">
        <w:rPr>
          <w:rFonts w:ascii="Times New Roman" w:hAnsi="Times New Roman" w:cs="Times New Roman"/>
          <w:sz w:val="24"/>
          <w:szCs w:val="32"/>
        </w:rPr>
        <w:t xml:space="preserve">Supplementary Figure </w:t>
      </w:r>
      <w:r w:rsidR="00AA5F76">
        <w:rPr>
          <w:rFonts w:ascii="Times New Roman" w:hAnsi="Times New Roman" w:cs="Times New Roman"/>
          <w:sz w:val="24"/>
          <w:szCs w:val="32"/>
        </w:rPr>
        <w:t>1)</w:t>
      </w:r>
      <w:r w:rsidRPr="00625807">
        <w:rPr>
          <w:rFonts w:ascii="Times New Roman" w:hAnsi="Times New Roman" w:cs="Times New Roman"/>
          <w:sz w:val="24"/>
          <w:szCs w:val="32"/>
        </w:rPr>
        <w:t xml:space="preserve">. A natural question is: what if the </w:t>
      </w:r>
      <w:r w:rsidR="000E52E3">
        <w:rPr>
          <w:rFonts w:ascii="Times New Roman" w:hAnsi="Times New Roman" w:cs="Times New Roman"/>
          <w:sz w:val="24"/>
          <w:szCs w:val="32"/>
        </w:rPr>
        <w:t>US</w:t>
      </w:r>
      <w:r w:rsidR="00865308" w:rsidRPr="00625807">
        <w:rPr>
          <w:rFonts w:ascii="Times New Roman" w:hAnsi="Times New Roman" w:cs="Times New Roman"/>
          <w:sz w:val="24"/>
          <w:szCs w:val="32"/>
        </w:rPr>
        <w:t xml:space="preserve"> </w:t>
      </w:r>
      <w:r w:rsidRPr="00625807">
        <w:rPr>
          <w:rFonts w:ascii="Times New Roman" w:hAnsi="Times New Roman" w:cs="Times New Roman"/>
          <w:sz w:val="24"/>
          <w:szCs w:val="32"/>
        </w:rPr>
        <w:t>had emitted only its equ</w:t>
      </w:r>
      <w:r w:rsidR="0003465D">
        <w:rPr>
          <w:rFonts w:ascii="Times New Roman" w:hAnsi="Times New Roman" w:cs="Times New Roman"/>
          <w:sz w:val="24"/>
          <w:szCs w:val="32"/>
        </w:rPr>
        <w:t>al</w:t>
      </w:r>
      <w:r w:rsidRPr="00625807">
        <w:rPr>
          <w:rFonts w:ascii="Times New Roman" w:hAnsi="Times New Roman" w:cs="Times New Roman"/>
          <w:sz w:val="24"/>
          <w:szCs w:val="32"/>
        </w:rPr>
        <w:t xml:space="preserve"> </w:t>
      </w:r>
      <w:r w:rsidR="00343DF8">
        <w:rPr>
          <w:rFonts w:ascii="Times New Roman" w:hAnsi="Times New Roman" w:cs="Times New Roman"/>
          <w:sz w:val="24"/>
          <w:szCs w:val="32"/>
        </w:rPr>
        <w:t>per-capita</w:t>
      </w:r>
      <w:r w:rsidRPr="00625807">
        <w:rPr>
          <w:rFonts w:ascii="Times New Roman" w:hAnsi="Times New Roman" w:cs="Times New Roman"/>
          <w:sz w:val="24"/>
          <w:szCs w:val="32"/>
        </w:rPr>
        <w:t xml:space="preserve"> share relative to the rest of the world? Under that counterfactual, </w:t>
      </w:r>
      <w:r w:rsidR="00D524D3">
        <w:rPr>
          <w:rFonts w:ascii="Times New Roman" w:hAnsi="Times New Roman" w:cs="Times New Roman"/>
          <w:sz w:val="24"/>
          <w:szCs w:val="32"/>
        </w:rPr>
        <w:t>US</w:t>
      </w:r>
      <w:r w:rsidRPr="00625807">
        <w:rPr>
          <w:rFonts w:ascii="Times New Roman" w:hAnsi="Times New Roman" w:cs="Times New Roman"/>
          <w:sz w:val="24"/>
          <w:szCs w:val="32"/>
        </w:rPr>
        <w:t xml:space="preserve"> historical emissions would have been markedly lower. Because the end-of-century temperature target is fixed (1.5°C), lower past emissions by the </w:t>
      </w:r>
      <w:r w:rsidR="00D524D3">
        <w:rPr>
          <w:rFonts w:ascii="Times New Roman" w:hAnsi="Times New Roman" w:cs="Times New Roman"/>
          <w:sz w:val="24"/>
          <w:szCs w:val="32"/>
        </w:rPr>
        <w:t>US</w:t>
      </w:r>
      <w:r w:rsidRPr="00625807">
        <w:rPr>
          <w:rFonts w:ascii="Times New Roman" w:hAnsi="Times New Roman" w:cs="Times New Roman"/>
          <w:sz w:val="24"/>
          <w:szCs w:val="32"/>
        </w:rPr>
        <w:t xml:space="preserve"> would have freed up headroom for higher global emissions later in the century—if we can construct a global future pathway that keeps the 2100 GMST exactly the same as in the original 1.5°C pathway.</w:t>
      </w:r>
    </w:p>
    <w:p w:rsidR="000C2CD0" w:rsidRDefault="000C2CD0" w:rsidP="00405E36">
      <w:pPr>
        <w:spacing w:line="288" w:lineRule="auto"/>
        <w:rPr>
          <w:rFonts w:ascii="Times New Roman" w:hAnsi="Times New Roman" w:cs="Times New Roman"/>
          <w:sz w:val="24"/>
          <w:szCs w:val="32"/>
        </w:rPr>
      </w:pPr>
    </w:p>
    <w:p w:rsidR="00625807" w:rsidRDefault="000C2CD0" w:rsidP="00CD7CB9">
      <w:pPr>
        <w:spacing w:line="288" w:lineRule="auto"/>
        <w:rPr>
          <w:rFonts w:ascii="Times New Roman" w:hAnsi="Times New Roman" w:cs="Times New Roman"/>
          <w:sz w:val="24"/>
          <w:szCs w:val="32"/>
        </w:rPr>
      </w:pPr>
      <w:r w:rsidRPr="000C2CD0">
        <w:rPr>
          <w:rFonts w:ascii="Times New Roman" w:hAnsi="Times New Roman" w:cs="Times New Roman"/>
          <w:sz w:val="24"/>
          <w:szCs w:val="32"/>
        </w:rPr>
        <w:t xml:space="preserve">To build that pathway, we proceed as follows. First, we replace </w:t>
      </w:r>
      <w:r w:rsidR="00D524D3">
        <w:rPr>
          <w:rFonts w:ascii="Times New Roman" w:hAnsi="Times New Roman" w:cs="Times New Roman"/>
          <w:sz w:val="24"/>
          <w:szCs w:val="32"/>
        </w:rPr>
        <w:t>US</w:t>
      </w:r>
      <w:r w:rsidR="007C58E8">
        <w:rPr>
          <w:rFonts w:ascii="Times New Roman" w:hAnsi="Times New Roman" w:cs="Times New Roman"/>
          <w:sz w:val="24"/>
          <w:szCs w:val="32"/>
        </w:rPr>
        <w:t>’s</w:t>
      </w:r>
      <w:r w:rsidRPr="000C2CD0">
        <w:rPr>
          <w:rFonts w:ascii="Times New Roman" w:hAnsi="Times New Roman" w:cs="Times New Roman"/>
          <w:sz w:val="24"/>
          <w:szCs w:val="32"/>
        </w:rPr>
        <w:t xml:space="preserve"> historical record (1950–2023) with its equitable per-capita history (the “counterfactual history”) and recompute global totals</w:t>
      </w:r>
      <w:r w:rsidR="0091743A">
        <w:rPr>
          <w:rFonts w:ascii="Times New Roman" w:hAnsi="Times New Roman" w:cs="Times New Roman"/>
          <w:sz w:val="24"/>
          <w:szCs w:val="32"/>
        </w:rPr>
        <w:t xml:space="preserve"> </w:t>
      </w:r>
      <w:r w:rsidR="0091743A">
        <w:rPr>
          <w:rFonts w:ascii="Times New Roman" w:hAnsi="Times New Roman" w:cs="Times New Roman"/>
          <w:sz w:val="24"/>
        </w:rPr>
        <w:fldChar w:fldCharType="begin">
          <w:fldData xml:space="preserve">PEVuZE5vdGU+PENpdGU+PEF1dGhvcj5NYXR0aGV3czwvQXV0aG9yPjxZZWFyPjIwMTY8L1llYXI+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</w:fldData>
        </w:fldChar>
      </w:r>
      <w:r w:rsidR="00B66894">
        <w:rPr>
          <w:rFonts w:ascii="Times New Roman" w:hAnsi="Times New Roman" w:cs="Times New Roman"/>
          <w:sz w:val="24"/>
        </w:rPr>
        <w:instrText xml:space="preserve"> ADDIN EN.CITE </w:instrText>
      </w:r>
      <w:r w:rsidR="00B66894">
        <w:rPr>
          <w:rFonts w:ascii="Times New Roman" w:hAnsi="Times New Roman" w:cs="Times New Roman"/>
          <w:sz w:val="24"/>
        </w:rPr>
        <w:fldChar w:fldCharType="begin">
          <w:fldData xml:space="preserve">PEVuZE5vdGU+PENpdGU+PEF1dGhvcj5NYXR0aGV3czwvQXV0aG9yPjxZZWFyPjIwMTY8L1llYXI+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</w:fldData>
        </w:fldChar>
      </w:r>
      <w:r w:rsidR="00B66894">
        <w:rPr>
          <w:rFonts w:ascii="Times New Roman" w:hAnsi="Times New Roman" w:cs="Times New Roman"/>
          <w:sz w:val="24"/>
        </w:rPr>
        <w:instrText xml:space="preserve"> ADDIN EN.CITE.DATA </w:instrText>
      </w:r>
      <w:r w:rsidR="00B66894">
        <w:rPr>
          <w:rFonts w:ascii="Times New Roman" w:hAnsi="Times New Roman" w:cs="Times New Roman"/>
          <w:sz w:val="24"/>
        </w:rPr>
      </w:r>
      <w:r w:rsidR="00B66894">
        <w:rPr>
          <w:rFonts w:ascii="Times New Roman" w:hAnsi="Times New Roman" w:cs="Times New Roman"/>
          <w:sz w:val="24"/>
        </w:rPr>
        <w:fldChar w:fldCharType="end"/>
      </w:r>
      <w:r w:rsidR="0091743A">
        <w:rPr>
          <w:rFonts w:ascii="Times New Roman" w:hAnsi="Times New Roman" w:cs="Times New Roman"/>
          <w:sz w:val="24"/>
        </w:rPr>
      </w:r>
      <w:r w:rsidR="0091743A">
        <w:rPr>
          <w:rFonts w:ascii="Times New Roman" w:hAnsi="Times New Roman" w:cs="Times New Roman"/>
          <w:sz w:val="24"/>
        </w:rPr>
        <w:fldChar w:fldCharType="separate"/>
      </w:r>
      <w:r w:rsidR="00B66894" w:rsidRPr="00B66894">
        <w:rPr>
          <w:rFonts w:ascii="Times New Roman" w:hAnsi="Times New Roman" w:cs="Times New Roman"/>
          <w:noProof/>
          <w:sz w:val="24"/>
          <w:vertAlign w:val="superscript"/>
        </w:rPr>
        <w:t>1-4</w:t>
      </w:r>
      <w:r w:rsidR="0091743A">
        <w:rPr>
          <w:rFonts w:ascii="Times New Roman" w:hAnsi="Times New Roman" w:cs="Times New Roman"/>
          <w:sz w:val="24"/>
        </w:rPr>
        <w:fldChar w:fldCharType="end"/>
      </w:r>
      <w:r w:rsidRPr="000C2CD0">
        <w:rPr>
          <w:rFonts w:ascii="Times New Roman" w:hAnsi="Times New Roman" w:cs="Times New Roman"/>
          <w:sz w:val="24"/>
          <w:szCs w:val="32"/>
        </w:rPr>
        <w:t>. This historical substitution shifts the global temperature response. We then search for a temperature-preserving counterfactual future by holding the post-2023 shape (relative trend) of the original 1.5°C pathway and rescaling its overall level so that the simulated 2100 GMST matches exactly. Operationally, FAIR is used with a bisection search on the 2100 fossil</w:t>
      </w:r>
      <w:r w:rsidR="00413E99">
        <w:rPr>
          <w:rFonts w:ascii="Times New Roman" w:hAnsi="Times New Roman" w:cs="Times New Roman"/>
          <w:sz w:val="24"/>
          <w:szCs w:val="32"/>
        </w:rPr>
        <w:t xml:space="preserve"> </w:t>
      </w:r>
      <w:r w:rsidRPr="000C2CD0">
        <w:rPr>
          <w:rFonts w:ascii="Times New Roman" w:hAnsi="Times New Roman" w:cs="Times New Roman"/>
          <w:sz w:val="24"/>
          <w:szCs w:val="32"/>
        </w:rPr>
        <w:t>CO</w:t>
      </w:r>
      <w:r w:rsidR="00976126" w:rsidRPr="0018023D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0C2CD0">
        <w:rPr>
          <w:rFonts w:ascii="Times New Roman" w:hAnsi="Times New Roman" w:cs="Times New Roman"/>
          <w:sz w:val="24"/>
          <w:szCs w:val="32"/>
        </w:rPr>
        <w:t xml:space="preserve"> level to find the unique rescaling that restores the original 2100 temperature</w:t>
      </w:r>
      <w:r w:rsidR="00B66894">
        <w:rPr>
          <w:rFonts w:ascii="Times New Roman" w:hAnsi="Times New Roman" w:cs="Times New Roman"/>
          <w:sz w:val="24"/>
          <w:szCs w:val="32"/>
        </w:rPr>
        <w:t xml:space="preserve"> </w:t>
      </w:r>
      <w:r w:rsidR="00B66894">
        <w:rPr>
          <w:rFonts w:ascii="Times New Roman" w:hAnsi="Times New Roman" w:cs="Times New Roman"/>
          <w:sz w:val="24"/>
          <w:szCs w:val="32"/>
        </w:rPr>
        <w:fldChar w:fldCharType="begin">
          <w:fldData xml:space="preserve">PEVuZE5vdGU+PENpdGU+PEF1dGhvcj5TbWl0aDwvQXV0aG9yPjxZZWFyPjIwMTg8L1llYXI+PFJl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</w:fldData>
        </w:fldChar>
      </w:r>
      <w:r w:rsidR="00B66894">
        <w:rPr>
          <w:rFonts w:ascii="Times New Roman" w:hAnsi="Times New Roman" w:cs="Times New Roman"/>
          <w:sz w:val="24"/>
          <w:szCs w:val="32"/>
        </w:rPr>
        <w:instrText xml:space="preserve"> ADDIN EN.CITE </w:instrText>
      </w:r>
      <w:r w:rsidR="00B66894">
        <w:rPr>
          <w:rFonts w:ascii="Times New Roman" w:hAnsi="Times New Roman" w:cs="Times New Roman"/>
          <w:sz w:val="24"/>
          <w:szCs w:val="32"/>
        </w:rPr>
        <w:fldChar w:fldCharType="begin">
          <w:fldData xml:space="preserve">PEVuZE5vdGU+PENpdGU+PEF1dGhvcj5TbWl0aDwvQXV0aG9yPjxZZWFyPjIwMTg8L1llYXI+PFJl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</w:fldData>
        </w:fldChar>
      </w:r>
      <w:r w:rsidR="00B66894">
        <w:rPr>
          <w:rFonts w:ascii="Times New Roman" w:hAnsi="Times New Roman" w:cs="Times New Roman"/>
          <w:sz w:val="24"/>
          <w:szCs w:val="32"/>
        </w:rPr>
        <w:instrText xml:space="preserve"> ADDIN EN.CITE.DATA </w:instrText>
      </w:r>
      <w:r w:rsidR="00B66894">
        <w:rPr>
          <w:rFonts w:ascii="Times New Roman" w:hAnsi="Times New Roman" w:cs="Times New Roman"/>
          <w:sz w:val="24"/>
          <w:szCs w:val="32"/>
        </w:rPr>
      </w:r>
      <w:r w:rsidR="00B66894">
        <w:rPr>
          <w:rFonts w:ascii="Times New Roman" w:hAnsi="Times New Roman" w:cs="Times New Roman"/>
          <w:sz w:val="24"/>
          <w:szCs w:val="32"/>
        </w:rPr>
        <w:fldChar w:fldCharType="end"/>
      </w:r>
      <w:r w:rsidR="00B66894">
        <w:rPr>
          <w:rFonts w:ascii="Times New Roman" w:hAnsi="Times New Roman" w:cs="Times New Roman"/>
          <w:sz w:val="24"/>
          <w:szCs w:val="32"/>
        </w:rPr>
      </w:r>
      <w:r w:rsidR="00B66894">
        <w:rPr>
          <w:rFonts w:ascii="Times New Roman" w:hAnsi="Times New Roman" w:cs="Times New Roman"/>
          <w:sz w:val="24"/>
          <w:szCs w:val="32"/>
        </w:rPr>
        <w:fldChar w:fldCharType="separate"/>
      </w:r>
      <w:r w:rsidR="00B66894" w:rsidRPr="00B66894">
        <w:rPr>
          <w:rFonts w:ascii="Times New Roman" w:hAnsi="Times New Roman" w:cs="Times New Roman"/>
          <w:noProof/>
          <w:sz w:val="24"/>
          <w:szCs w:val="32"/>
          <w:vertAlign w:val="superscript"/>
        </w:rPr>
        <w:t>5,6</w:t>
      </w:r>
      <w:r w:rsidR="00B66894">
        <w:rPr>
          <w:rFonts w:ascii="Times New Roman" w:hAnsi="Times New Roman" w:cs="Times New Roman"/>
          <w:sz w:val="24"/>
          <w:szCs w:val="32"/>
        </w:rPr>
        <w:fldChar w:fldCharType="end"/>
      </w:r>
      <w:r w:rsidRPr="000C2CD0">
        <w:rPr>
          <w:rFonts w:ascii="Times New Roman" w:hAnsi="Times New Roman" w:cs="Times New Roman"/>
          <w:sz w:val="24"/>
          <w:szCs w:val="32"/>
        </w:rPr>
        <w:t>.</w:t>
      </w:r>
      <w:r w:rsidR="009B433E">
        <w:rPr>
          <w:rFonts w:ascii="Times New Roman" w:hAnsi="Times New Roman" w:cs="Times New Roman"/>
          <w:sz w:val="24"/>
          <w:szCs w:val="32"/>
        </w:rPr>
        <w:t xml:space="preserve"> </w:t>
      </w:r>
      <w:r w:rsidR="008B1D26" w:rsidRPr="008B1D26">
        <w:rPr>
          <w:rFonts w:ascii="Times New Roman" w:hAnsi="Times New Roman" w:cs="Times New Roman"/>
          <w:sz w:val="24"/>
          <w:szCs w:val="32"/>
        </w:rPr>
        <w:t>The rescaling is implemented by a simple linear transformation</w:t>
      </w:r>
      <w:r w:rsidR="00C458E3">
        <w:rPr>
          <w:rFonts w:ascii="Times New Roman" w:hAnsi="Times New Roman" w:cs="Times New Roman"/>
          <w:sz w:val="24"/>
          <w:szCs w:val="32"/>
        </w:rPr>
        <w:t xml:space="preserve"> </w:t>
      </w:r>
      <w:r w:rsidR="008B1D26" w:rsidRPr="008B1D26">
        <w:rPr>
          <w:rFonts w:ascii="Times New Roman" w:hAnsi="Times New Roman" w:cs="Times New Roman"/>
          <w:sz w:val="24"/>
          <w:szCs w:val="32"/>
        </w:rPr>
        <w:t xml:space="preserve">that keeps the curve’s shape but shifts its level. Let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32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32"/>
              </w:rPr>
              <m:t>t</m:t>
            </m:r>
          </m:sub>
          <m:sup>
            <m:r>
              <w:rPr>
                <w:rFonts w:ascii="Cambria Math" w:hAnsi="Cambria Math" w:cs="Times New Roman"/>
                <w:sz w:val="24"/>
                <w:szCs w:val="32"/>
              </w:rPr>
              <m:t>ori</m:t>
            </m:r>
          </m:sup>
        </m:sSubSup>
      </m:oMath>
      <w:r w:rsidR="008B1D26" w:rsidRPr="008B1D26">
        <w:rPr>
          <w:rFonts w:ascii="Times New Roman" w:hAnsi="Times New Roman" w:cs="Times New Roman"/>
          <w:sz w:val="24"/>
          <w:szCs w:val="32"/>
        </w:rPr>
        <w:t xml:space="preserve"> be the original global fossil-CO</w:t>
      </w:r>
      <w:r w:rsidR="00F233D6" w:rsidRPr="0018023D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="008B1D26" w:rsidRPr="008B1D26">
        <w:rPr>
          <w:rFonts w:ascii="Times New Roman" w:hAnsi="Times New Roman" w:cs="Times New Roman"/>
          <w:sz w:val="24"/>
          <w:szCs w:val="32"/>
        </w:rPr>
        <w:t xml:space="preserve"> emissions</w:t>
      </w:r>
      <w:r w:rsidR="006F61FD">
        <w:rPr>
          <w:rFonts w:ascii="Times New Roman" w:hAnsi="Times New Roman" w:cs="Times New Roman"/>
          <w:sz w:val="24"/>
          <w:szCs w:val="32"/>
        </w:rPr>
        <w:t xml:space="preserve"> at the year </w:t>
      </w:r>
      <w:r w:rsidR="006F61FD" w:rsidRPr="0018023D">
        <w:rPr>
          <w:rFonts w:ascii="Times New Roman" w:hAnsi="Times New Roman" w:cs="Times New Roman"/>
          <w:i/>
          <w:iCs/>
          <w:sz w:val="24"/>
          <w:szCs w:val="32"/>
        </w:rPr>
        <w:t>t</w:t>
      </w:r>
      <w:r w:rsidR="008B1D26" w:rsidRPr="008B1D26">
        <w:rPr>
          <w:rFonts w:ascii="Times New Roman" w:hAnsi="Times New Roman" w:cs="Times New Roman"/>
          <w:sz w:val="24"/>
          <w:szCs w:val="32"/>
        </w:rPr>
        <w:t xml:space="preserve">,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32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32"/>
              </w:rPr>
              <m:t>2023</m:t>
            </m:r>
          </m:sub>
          <m:sup>
            <m:r>
              <w:rPr>
                <w:rFonts w:ascii="Cambria Math" w:hAnsi="Cambria Math" w:cs="Times New Roman"/>
                <w:sz w:val="24"/>
                <w:szCs w:val="32"/>
              </w:rPr>
              <m:t>cf</m:t>
            </m:r>
          </m:sup>
        </m:sSubSup>
      </m:oMath>
      <w:r w:rsidR="008B1D26" w:rsidRPr="008B1D26">
        <w:rPr>
          <w:rFonts w:ascii="Times New Roman" w:hAnsi="Times New Roman" w:cs="Times New Roman"/>
          <w:sz w:val="24"/>
          <w:szCs w:val="32"/>
        </w:rPr>
        <w:t xml:space="preserve"> the counterfactual global emissions in 2023 (after replacing </w:t>
      </w:r>
      <w:r w:rsidR="00D524D3">
        <w:rPr>
          <w:rFonts w:ascii="Times New Roman" w:hAnsi="Times New Roman" w:cs="Times New Roman"/>
          <w:sz w:val="24"/>
          <w:szCs w:val="32"/>
        </w:rPr>
        <w:t>US</w:t>
      </w:r>
      <w:r w:rsidR="008B1D26" w:rsidRPr="008B1D26">
        <w:rPr>
          <w:rFonts w:ascii="Times New Roman" w:hAnsi="Times New Roman" w:cs="Times New Roman"/>
          <w:sz w:val="24"/>
          <w:szCs w:val="32"/>
        </w:rPr>
        <w:t xml:space="preserve"> history), and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32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32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32"/>
              </w:rPr>
              <m:t>2100</m:t>
            </m:r>
          </m:sub>
          <m:sup>
            <m:r>
              <w:rPr>
                <w:rFonts w:ascii="Cambria Math" w:hAnsi="Cambria Math" w:cs="Times New Roman"/>
                <w:sz w:val="24"/>
                <w:szCs w:val="32"/>
              </w:rPr>
              <m:t>target</m:t>
            </m:r>
          </m:sup>
        </m:sSubSup>
      </m:oMath>
      <w:r w:rsidR="008B1D26" w:rsidRPr="008B1D26">
        <w:rPr>
          <w:rFonts w:ascii="Times New Roman" w:hAnsi="Times New Roman" w:cs="Times New Roman"/>
          <w:sz w:val="24"/>
          <w:szCs w:val="32"/>
        </w:rPr>
        <w:t xml:space="preserve"> the bisection-selected 2100 emission level that preserves the 2100 GMST. </w:t>
      </w:r>
      <w:r w:rsidR="00F925F9">
        <w:rPr>
          <w:rFonts w:ascii="Times New Roman" w:hAnsi="Times New Roman" w:cs="Times New Roman"/>
          <w:sz w:val="24"/>
          <w:szCs w:val="32"/>
        </w:rPr>
        <w:t>The Equation (</w:t>
      </w:r>
      <w:r w:rsidR="003C3251">
        <w:rPr>
          <w:rFonts w:ascii="Times New Roman" w:hAnsi="Times New Roman" w:cs="Times New Roman"/>
          <w:sz w:val="24"/>
          <w:szCs w:val="32"/>
        </w:rPr>
        <w:t>S</w:t>
      </w:r>
      <w:r w:rsidR="00F925F9">
        <w:rPr>
          <w:rFonts w:ascii="Times New Roman" w:hAnsi="Times New Roman" w:cs="Times New Roman"/>
          <w:sz w:val="24"/>
          <w:szCs w:val="32"/>
        </w:rPr>
        <w:t>1) d</w:t>
      </w:r>
      <w:r w:rsidR="008B1D26" w:rsidRPr="008B1D26">
        <w:rPr>
          <w:rFonts w:ascii="Times New Roman" w:hAnsi="Times New Roman" w:cs="Times New Roman"/>
          <w:sz w:val="24"/>
          <w:szCs w:val="32"/>
        </w:rPr>
        <w:t>efine</w:t>
      </w:r>
      <w:r w:rsidR="00F925F9">
        <w:rPr>
          <w:rFonts w:ascii="Times New Roman" w:hAnsi="Times New Roman" w:cs="Times New Roman"/>
          <w:sz w:val="24"/>
          <w:szCs w:val="32"/>
        </w:rPr>
        <w:t>s</w:t>
      </w:r>
      <w:r w:rsidR="008B1D26" w:rsidRPr="008B1D26">
        <w:rPr>
          <w:rFonts w:ascii="Times New Roman" w:hAnsi="Times New Roman" w:cs="Times New Roman"/>
          <w:sz w:val="24"/>
          <w:szCs w:val="32"/>
        </w:rPr>
        <w:t xml:space="preserve"> a single, year-invariant scale</w:t>
      </w:r>
      <w:r w:rsidR="00F925F9">
        <w:rPr>
          <w:rFonts w:ascii="Times New Roman" w:hAnsi="Times New Roman" w:cs="Times New Roman"/>
          <w:sz w:val="24"/>
          <w:szCs w:val="32"/>
        </w:rPr>
        <w:t>.</w:t>
      </w:r>
      <w:r w:rsidR="005907F8">
        <w:rPr>
          <w:rFonts w:ascii="Times New Roman" w:hAnsi="Times New Roman" w:cs="Times New Roman"/>
          <w:sz w:val="24"/>
          <w:szCs w:val="32"/>
        </w:rPr>
        <w:t xml:space="preserve"> </w:t>
      </w:r>
      <w:r w:rsidR="001F2192" w:rsidRPr="001F2192">
        <w:rPr>
          <w:rFonts w:ascii="Times New Roman" w:hAnsi="Times New Roman" w:cs="Times New Roman"/>
          <w:sz w:val="24"/>
          <w:szCs w:val="32"/>
        </w:rPr>
        <w:t xml:space="preserve">Then for any </w:t>
      </w:r>
      <w:r w:rsidR="001F2192">
        <w:rPr>
          <w:rFonts w:ascii="Times New Roman" w:hAnsi="Times New Roman" w:cs="Times New Roman"/>
          <w:sz w:val="24"/>
          <w:szCs w:val="32"/>
        </w:rPr>
        <w:t xml:space="preserve">future </w:t>
      </w:r>
      <w:r w:rsidR="001F2192" w:rsidRPr="001F2192">
        <w:rPr>
          <w:rFonts w:ascii="Times New Roman" w:hAnsi="Times New Roman" w:cs="Times New Roman"/>
          <w:sz w:val="24"/>
          <w:szCs w:val="32"/>
        </w:rPr>
        <w:t xml:space="preserve">year </w:t>
      </w:r>
      <w:r w:rsidR="001F2192" w:rsidRPr="0018023D">
        <w:rPr>
          <w:rFonts w:ascii="Times New Roman" w:hAnsi="Times New Roman" w:cs="Times New Roman"/>
          <w:i/>
          <w:iCs/>
          <w:sz w:val="24"/>
          <w:szCs w:val="32"/>
        </w:rPr>
        <w:t>t</w:t>
      </w:r>
      <w:r w:rsidR="001F2192">
        <w:rPr>
          <w:rFonts w:ascii="Times New Roman" w:hAnsi="Times New Roman" w:cs="Times New Roman"/>
          <w:sz w:val="24"/>
          <w:szCs w:val="32"/>
        </w:rPr>
        <w:t xml:space="preserve"> until 2100</w:t>
      </w:r>
      <w:r w:rsidR="001F2192" w:rsidRPr="001F2192">
        <w:rPr>
          <w:rFonts w:ascii="Times New Roman" w:hAnsi="Times New Roman" w:cs="Times New Roman"/>
          <w:sz w:val="24"/>
          <w:szCs w:val="32"/>
        </w:rPr>
        <w:t>, the counterfactual global future is</w:t>
      </w:r>
      <w:r w:rsidR="00BD18DC">
        <w:rPr>
          <w:rFonts w:ascii="Times New Roman" w:hAnsi="Times New Roman" w:cs="Times New Roman"/>
          <w:sz w:val="24"/>
          <w:szCs w:val="32"/>
        </w:rPr>
        <w:t xml:space="preserve"> adjusted according to the Equation (</w:t>
      </w:r>
      <w:r w:rsidR="003C3251">
        <w:rPr>
          <w:rFonts w:ascii="Times New Roman" w:hAnsi="Times New Roman" w:cs="Times New Roman"/>
          <w:sz w:val="24"/>
          <w:szCs w:val="32"/>
        </w:rPr>
        <w:t>S</w:t>
      </w:r>
      <w:r w:rsidR="00BD18DC">
        <w:rPr>
          <w:rFonts w:ascii="Times New Roman" w:hAnsi="Times New Roman" w:cs="Times New Roman"/>
          <w:sz w:val="24"/>
          <w:szCs w:val="32"/>
        </w:rPr>
        <w:t>2).</w:t>
      </w:r>
    </w:p>
    <w:p w:rsidR="00CD7CB9" w:rsidRDefault="00CD7CB9" w:rsidP="00CD7CB9">
      <w:pPr>
        <w:spacing w:line="288" w:lineRule="auto"/>
        <w:rPr>
          <w:rFonts w:ascii="Times New Roman" w:hAnsi="Times New Roman" w:cs="Times New Roman"/>
          <w:sz w:val="24"/>
          <w:szCs w:val="32"/>
        </w:rPr>
      </w:pPr>
    </w:p>
    <w:p w:rsidR="00CD7CB9" w:rsidRDefault="006E24E2" w:rsidP="00F14C10">
      <w:pPr>
        <w:wordWrap w:val="0"/>
        <w:spacing w:line="288" w:lineRule="auto"/>
        <w:jc w:val="right"/>
        <w:rPr>
          <w:rFonts w:ascii="Times New Roman" w:hAnsi="Times New Roman" w:cs="Times New Roman"/>
          <w:iCs/>
          <w:sz w:val="24"/>
          <w:szCs w:val="32"/>
        </w:rPr>
      </w:pPr>
      <m:oMath>
        <m:r>
          <w:rPr>
            <w:rFonts w:ascii="Cambria Math" w:hAnsi="Cambria Math" w:cs="Times New Roman"/>
            <w:sz w:val="24"/>
            <w:szCs w:val="32"/>
          </w:rPr>
          <m:t xml:space="preserve">Scale=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32"/>
              </w:rPr>
            </m:ctrlPr>
          </m:fPr>
          <m:num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32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32"/>
                  </w:rPr>
                  <m:t>E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32"/>
                  </w:rPr>
                  <m:t>2100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32"/>
                  </w:rPr>
                  <m:t>target</m:t>
                </m:r>
              </m:sup>
            </m:sSubSup>
            <m:r>
              <w:rPr>
                <w:rFonts w:ascii="Cambria Math" w:hAnsi="Cambria Math" w:cs="Times New Roman"/>
                <w:sz w:val="24"/>
                <w:szCs w:val="32"/>
              </w:rPr>
              <m:t>-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32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32"/>
                  </w:rPr>
                  <m:t>E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32"/>
                  </w:rPr>
                  <m:t>2023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32"/>
                  </w:rPr>
                  <m:t>cf</m:t>
                </m:r>
              </m:sup>
            </m:sSubSup>
          </m:num>
          <m:den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32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32"/>
                  </w:rPr>
                  <m:t>E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32"/>
                  </w:rPr>
                  <m:t>2100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32"/>
                  </w:rPr>
                  <m:t>ori</m:t>
                </m:r>
              </m:sup>
            </m:sSubSup>
            <m:r>
              <w:rPr>
                <w:rFonts w:ascii="Cambria Math" w:hAnsi="Cambria Math" w:cs="Times New Roman"/>
                <w:sz w:val="24"/>
                <w:szCs w:val="32"/>
              </w:rPr>
              <m:t>-</m:t>
            </m:r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32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32"/>
                  </w:rPr>
                  <m:t>E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32"/>
                  </w:rPr>
                  <m:t>2023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32"/>
                  </w:rPr>
                  <m:t>ori</m:t>
                </m:r>
              </m:sup>
            </m:sSubSup>
          </m:den>
        </m:f>
        <m:r>
          <w:rPr>
            <w:rFonts w:ascii="Cambria Math" w:hAnsi="Cambria Math" w:cs="Times New Roman"/>
            <w:sz w:val="24"/>
            <w:szCs w:val="32"/>
          </w:rPr>
          <m:t xml:space="preserve"> </m:t>
        </m:r>
      </m:oMath>
      <w:r w:rsidR="00F14C10">
        <w:rPr>
          <w:rFonts w:ascii="Times New Roman" w:hAnsi="Times New Roman" w:cs="Times New Roman" w:hint="eastAsia"/>
          <w:i/>
          <w:sz w:val="24"/>
          <w:szCs w:val="32"/>
        </w:rPr>
        <w:t xml:space="preserve"> </w:t>
      </w:r>
      <w:r w:rsidR="00F14C10">
        <w:rPr>
          <w:rFonts w:ascii="Times New Roman" w:hAnsi="Times New Roman" w:cs="Times New Roman"/>
          <w:iCs/>
          <w:sz w:val="24"/>
          <w:szCs w:val="32"/>
        </w:rPr>
        <w:t xml:space="preserve">                     (S1)</w:t>
      </w:r>
    </w:p>
    <w:p w:rsidR="00F96FD3" w:rsidRPr="00F14C10" w:rsidRDefault="00000000" w:rsidP="0018023D">
      <w:pPr>
        <w:wordWrap w:val="0"/>
        <w:spacing w:line="288" w:lineRule="auto"/>
        <w:jc w:val="right"/>
        <w:rPr>
          <w:rFonts w:ascii="Times New Roman" w:hAnsi="Times New Roman" w:cs="Times New Roman"/>
          <w:iCs/>
          <w:sz w:val="24"/>
          <w:szCs w:val="32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iCs/>
                <w:sz w:val="24"/>
                <w:szCs w:val="32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32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32"/>
              </w:rPr>
              <m:t>t</m:t>
            </m:r>
          </m:sub>
          <m:sup>
            <m:r>
              <w:rPr>
                <w:rFonts w:ascii="Cambria Math" w:hAnsi="Cambria Math" w:cs="Times New Roman"/>
                <w:sz w:val="24"/>
                <w:szCs w:val="32"/>
              </w:rPr>
              <m:t>cf</m:t>
            </m:r>
          </m:sup>
        </m:sSubSup>
        <m:r>
          <w:rPr>
            <w:rFonts w:ascii="Cambria Math" w:hAnsi="Cambria Math" w:cs="Times New Roman"/>
            <w:sz w:val="24"/>
            <w:szCs w:val="32"/>
          </w:rPr>
          <m:t>=</m:t>
        </m:r>
        <m:sSubSup>
          <m:sSubSupPr>
            <m:ctrlPr>
              <w:rPr>
                <w:rFonts w:ascii="Cambria Math" w:hAnsi="Cambria Math" w:cs="Times New Roman"/>
                <w:i/>
                <w:iCs/>
                <w:sz w:val="24"/>
                <w:szCs w:val="32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32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32"/>
              </w:rPr>
              <m:t>2023</m:t>
            </m:r>
          </m:sub>
          <m:sup>
            <m:r>
              <w:rPr>
                <w:rFonts w:ascii="Cambria Math" w:hAnsi="Cambria Math" w:cs="Times New Roman"/>
                <w:sz w:val="24"/>
                <w:szCs w:val="32"/>
              </w:rPr>
              <m:t>cf</m:t>
            </m:r>
          </m:sup>
        </m:sSubSup>
        <m:r>
          <w:rPr>
            <w:rFonts w:ascii="Cambria Math" w:hAnsi="Cambria Math" w:cs="Times New Roman"/>
            <w:sz w:val="24"/>
            <w:szCs w:val="32"/>
          </w:rPr>
          <m:t>+Scale×(</m:t>
        </m:r>
        <m:sSubSup>
          <m:sSubSupPr>
            <m:ctrlPr>
              <w:rPr>
                <w:rFonts w:ascii="Cambria Math" w:hAnsi="Cambria Math" w:cs="Times New Roman"/>
                <w:i/>
                <w:iCs/>
                <w:sz w:val="24"/>
                <w:szCs w:val="32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32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32"/>
              </w:rPr>
              <m:t>t</m:t>
            </m:r>
          </m:sub>
          <m:sup>
            <m:r>
              <w:rPr>
                <w:rFonts w:ascii="Cambria Math" w:hAnsi="Cambria Math" w:cs="Times New Roman"/>
                <w:sz w:val="24"/>
                <w:szCs w:val="32"/>
              </w:rPr>
              <m:t>ori</m:t>
            </m:r>
          </m:sup>
        </m:sSubSup>
        <m:r>
          <w:rPr>
            <w:rFonts w:ascii="Cambria Math" w:hAnsi="Cambria Math" w:cs="Times New Roman"/>
            <w:sz w:val="24"/>
            <w:szCs w:val="32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iCs/>
                <w:sz w:val="24"/>
                <w:szCs w:val="32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32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32"/>
              </w:rPr>
              <m:t>2023</m:t>
            </m:r>
          </m:sub>
          <m:sup>
            <m:r>
              <w:rPr>
                <w:rFonts w:ascii="Cambria Math" w:hAnsi="Cambria Math" w:cs="Times New Roman"/>
                <w:sz w:val="24"/>
                <w:szCs w:val="32"/>
              </w:rPr>
              <m:t>ori</m:t>
            </m:r>
          </m:sup>
        </m:sSubSup>
        <m:r>
          <w:rPr>
            <w:rFonts w:ascii="Cambria Math" w:hAnsi="Cambria Math" w:cs="Times New Roman"/>
            <w:sz w:val="24"/>
            <w:szCs w:val="32"/>
          </w:rPr>
          <m:t>)</m:t>
        </m:r>
      </m:oMath>
      <w:r w:rsidR="00442CC5">
        <w:rPr>
          <w:rFonts w:ascii="Times New Roman" w:hAnsi="Times New Roman" w:cs="Times New Roman" w:hint="eastAsia"/>
          <w:iCs/>
          <w:sz w:val="24"/>
          <w:szCs w:val="32"/>
        </w:rPr>
        <w:t xml:space="preserve"> </w:t>
      </w:r>
      <w:r w:rsidR="00442CC5">
        <w:rPr>
          <w:rFonts w:ascii="Times New Roman" w:hAnsi="Times New Roman" w:cs="Times New Roman"/>
          <w:iCs/>
          <w:sz w:val="24"/>
          <w:szCs w:val="32"/>
        </w:rPr>
        <w:t xml:space="preserve">               (S2)</w:t>
      </w:r>
    </w:p>
    <w:p w:rsidR="000B7A33" w:rsidRDefault="000B7A33" w:rsidP="00781B27">
      <w:pPr>
        <w:rPr>
          <w:rFonts w:ascii="Times New Roman" w:hAnsi="Times New Roman" w:cs="Times New Roman"/>
          <w:sz w:val="24"/>
          <w:szCs w:val="32"/>
        </w:rPr>
      </w:pPr>
    </w:p>
    <w:p w:rsidR="00F22CF5" w:rsidRDefault="00F22CF5" w:rsidP="00F22CF5">
      <w:pPr>
        <w:spacing w:line="288" w:lineRule="auto"/>
        <w:rPr>
          <w:rFonts w:ascii="Times New Roman" w:hAnsi="Times New Roman" w:cs="Times New Roman"/>
          <w:sz w:val="24"/>
          <w:szCs w:val="32"/>
        </w:rPr>
      </w:pPr>
      <w:r w:rsidRPr="006D3AF8">
        <w:rPr>
          <w:rFonts w:ascii="Times New Roman" w:hAnsi="Times New Roman" w:cs="Times New Roman"/>
          <w:sz w:val="24"/>
          <w:szCs w:val="32"/>
        </w:rPr>
        <w:t xml:space="preserve">Intuitively, each future year keeps the same inter-annual increment as in the original pathway (the term </w:t>
      </w:r>
      <m:oMath>
        <m:sSubSup>
          <m:sSubSupPr>
            <m:ctrlPr>
              <w:rPr>
                <w:rFonts w:ascii="Cambria Math" w:hAnsi="Cambria Math" w:cs="Times New Roman"/>
                <w:i/>
                <w:iCs/>
                <w:sz w:val="24"/>
                <w:szCs w:val="32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32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32"/>
              </w:rPr>
              <m:t>t</m:t>
            </m:r>
          </m:sub>
          <m:sup>
            <m:r>
              <w:rPr>
                <w:rFonts w:ascii="Cambria Math" w:hAnsi="Cambria Math" w:cs="Times New Roman"/>
                <w:sz w:val="24"/>
                <w:szCs w:val="32"/>
              </w:rPr>
              <m:t>ori</m:t>
            </m:r>
          </m:sup>
        </m:sSubSup>
        <m:r>
          <w:rPr>
            <w:rFonts w:ascii="Cambria Math" w:hAnsi="Cambria Math" w:cs="Times New Roman"/>
            <w:sz w:val="24"/>
            <w:szCs w:val="32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iCs/>
                <w:sz w:val="24"/>
                <w:szCs w:val="32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32"/>
              </w:rPr>
              <m:t>E</m:t>
            </m:r>
          </m:e>
          <m:sub>
            <m:r>
              <w:rPr>
                <w:rFonts w:ascii="Cambria Math" w:hAnsi="Cambria Math" w:cs="Times New Roman"/>
                <w:sz w:val="24"/>
                <w:szCs w:val="32"/>
              </w:rPr>
              <m:t>2023</m:t>
            </m:r>
          </m:sub>
          <m:sup>
            <m:r>
              <w:rPr>
                <w:rFonts w:ascii="Cambria Math" w:hAnsi="Cambria Math" w:cs="Times New Roman"/>
                <w:sz w:val="24"/>
                <w:szCs w:val="32"/>
              </w:rPr>
              <m:t>ori</m:t>
            </m:r>
          </m:sup>
        </m:sSubSup>
      </m:oMath>
      <w:r w:rsidRPr="006D3AF8">
        <w:rPr>
          <w:rFonts w:ascii="Times New Roman" w:hAnsi="Times New Roman" w:cs="Times New Roman"/>
          <w:sz w:val="24"/>
          <w:szCs w:val="32"/>
        </w:rPr>
        <w:t xml:space="preserve">), multiplied by a common factor that raises or lowers the entire trajectory so that the 2100 temperature is preserved. This gives a temperature-preserving counterfactual global pathway consistent with the </w:t>
      </w:r>
      <w:r w:rsidR="00D524D3">
        <w:rPr>
          <w:rFonts w:ascii="Times New Roman" w:hAnsi="Times New Roman" w:cs="Times New Roman"/>
          <w:sz w:val="24"/>
          <w:szCs w:val="32"/>
        </w:rPr>
        <w:t>US</w:t>
      </w:r>
      <w:r>
        <w:rPr>
          <w:rFonts w:ascii="Times New Roman" w:hAnsi="Times New Roman" w:cs="Times New Roman"/>
          <w:sz w:val="24"/>
          <w:szCs w:val="32"/>
        </w:rPr>
        <w:t xml:space="preserve"> </w:t>
      </w:r>
      <w:r w:rsidRPr="006D3AF8">
        <w:rPr>
          <w:rFonts w:ascii="Times New Roman" w:hAnsi="Times New Roman" w:cs="Times New Roman"/>
          <w:sz w:val="24"/>
          <w:szCs w:val="32"/>
        </w:rPr>
        <w:t xml:space="preserve">“what-if” history. </w:t>
      </w:r>
      <w:r w:rsidRPr="008143C6">
        <w:rPr>
          <w:rFonts w:ascii="Times New Roman" w:hAnsi="Times New Roman" w:cs="Times New Roman"/>
          <w:sz w:val="24"/>
          <w:szCs w:val="32"/>
        </w:rPr>
        <w:t>In constructing counterfactual histories, we considered fossil CO</w:t>
      </w:r>
      <w:r w:rsidRPr="000D4842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8143C6">
        <w:rPr>
          <w:rFonts w:ascii="Times New Roman" w:hAnsi="Times New Roman" w:cs="Times New Roman"/>
          <w:sz w:val="24"/>
          <w:szCs w:val="32"/>
        </w:rPr>
        <w:t>, CH</w:t>
      </w:r>
      <w:r w:rsidRPr="000D4842">
        <w:rPr>
          <w:rFonts w:ascii="Times New Roman" w:hAnsi="Times New Roman" w:cs="Times New Roman"/>
          <w:sz w:val="24"/>
          <w:szCs w:val="32"/>
          <w:vertAlign w:val="subscript"/>
        </w:rPr>
        <w:t>4</w:t>
      </w:r>
      <w:r w:rsidRPr="008143C6">
        <w:rPr>
          <w:rFonts w:ascii="Times New Roman" w:hAnsi="Times New Roman" w:cs="Times New Roman"/>
          <w:sz w:val="24"/>
          <w:szCs w:val="32"/>
        </w:rPr>
        <w:t>, and N</w:t>
      </w:r>
      <w:r w:rsidRPr="000D4842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8143C6">
        <w:rPr>
          <w:rFonts w:ascii="Times New Roman" w:hAnsi="Times New Roman" w:cs="Times New Roman"/>
          <w:sz w:val="24"/>
          <w:szCs w:val="32"/>
        </w:rPr>
        <w:t>O emissions. For the future, however, only fossil CO</w:t>
      </w:r>
      <w:r w:rsidRPr="000D4842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8143C6">
        <w:rPr>
          <w:rFonts w:ascii="Times New Roman" w:hAnsi="Times New Roman" w:cs="Times New Roman"/>
          <w:sz w:val="24"/>
          <w:szCs w:val="32"/>
        </w:rPr>
        <w:t xml:space="preserve"> trajectories were rescaled using the bisection-based adjustment above. CH</w:t>
      </w:r>
      <w:r w:rsidRPr="000D4842">
        <w:rPr>
          <w:rFonts w:ascii="Times New Roman" w:hAnsi="Times New Roman" w:cs="Times New Roman"/>
          <w:sz w:val="24"/>
          <w:szCs w:val="32"/>
          <w:vertAlign w:val="subscript"/>
        </w:rPr>
        <w:t>4</w:t>
      </w:r>
      <w:r>
        <w:rPr>
          <w:rFonts w:ascii="Times New Roman" w:hAnsi="Times New Roman" w:cs="Times New Roman"/>
          <w:sz w:val="24"/>
          <w:szCs w:val="32"/>
          <w:vertAlign w:val="subscript"/>
        </w:rPr>
        <w:t xml:space="preserve"> </w:t>
      </w:r>
      <w:r w:rsidRPr="008143C6">
        <w:rPr>
          <w:rFonts w:ascii="Times New Roman" w:hAnsi="Times New Roman" w:cs="Times New Roman"/>
          <w:sz w:val="24"/>
          <w:szCs w:val="32"/>
        </w:rPr>
        <w:t>and N</w:t>
      </w:r>
      <w:r w:rsidRPr="000D4842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8143C6">
        <w:rPr>
          <w:rFonts w:ascii="Times New Roman" w:hAnsi="Times New Roman" w:cs="Times New Roman"/>
          <w:sz w:val="24"/>
          <w:szCs w:val="32"/>
        </w:rPr>
        <w:t>O were simply allocated in proportion to national population shares under the 1.5°C pathway, reflecting a simplifying assumption that all countries will align their future CH</w:t>
      </w:r>
      <w:r w:rsidRPr="000D4842">
        <w:rPr>
          <w:rFonts w:ascii="Times New Roman" w:hAnsi="Times New Roman" w:cs="Times New Roman"/>
          <w:sz w:val="24"/>
          <w:szCs w:val="32"/>
          <w:vertAlign w:val="subscript"/>
        </w:rPr>
        <w:t>4</w:t>
      </w:r>
      <w:r>
        <w:rPr>
          <w:rFonts w:ascii="Times New Roman" w:hAnsi="Times New Roman" w:cs="Times New Roman"/>
          <w:sz w:val="24"/>
          <w:szCs w:val="32"/>
          <w:vertAlign w:val="subscript"/>
        </w:rPr>
        <w:t xml:space="preserve"> </w:t>
      </w:r>
      <w:r w:rsidRPr="008143C6">
        <w:rPr>
          <w:rFonts w:ascii="Times New Roman" w:hAnsi="Times New Roman" w:cs="Times New Roman"/>
          <w:sz w:val="24"/>
          <w:szCs w:val="32"/>
        </w:rPr>
        <w:t>and N</w:t>
      </w:r>
      <w:r w:rsidRPr="000D4842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8143C6">
        <w:rPr>
          <w:rFonts w:ascii="Times New Roman" w:hAnsi="Times New Roman" w:cs="Times New Roman"/>
          <w:sz w:val="24"/>
          <w:szCs w:val="32"/>
        </w:rPr>
        <w:t>O emissions with equitable quotas.</w:t>
      </w:r>
      <w:r w:rsidR="009277EF">
        <w:rPr>
          <w:rFonts w:ascii="Times New Roman" w:hAnsi="Times New Roman" w:cs="Times New Roman"/>
          <w:sz w:val="24"/>
          <w:szCs w:val="32"/>
        </w:rPr>
        <w:t xml:space="preserve"> </w:t>
      </w:r>
      <w:r w:rsidR="009277EF" w:rsidRPr="009277EF">
        <w:rPr>
          <w:rFonts w:ascii="Times New Roman" w:hAnsi="Times New Roman" w:cs="Times New Roman"/>
          <w:sz w:val="24"/>
          <w:szCs w:val="32"/>
        </w:rPr>
        <w:t>This simplifying assumption may bias the allocation in favor of historically high-emitting countries</w:t>
      </w:r>
      <w:r w:rsidR="009277EF">
        <w:rPr>
          <w:rFonts w:ascii="Times New Roman" w:hAnsi="Times New Roman" w:cs="Times New Roman"/>
          <w:sz w:val="24"/>
          <w:szCs w:val="32"/>
        </w:rPr>
        <w:t>.</w:t>
      </w:r>
      <w:r w:rsidR="00D319F6">
        <w:rPr>
          <w:rFonts w:ascii="Times New Roman" w:hAnsi="Times New Roman" w:cs="Times New Roman"/>
          <w:sz w:val="24"/>
          <w:szCs w:val="32"/>
        </w:rPr>
        <w:t xml:space="preserve"> </w:t>
      </w:r>
    </w:p>
    <w:p w:rsidR="006375A2" w:rsidRDefault="006375A2" w:rsidP="00781B27"/>
    <w:p w:rsidR="005D7ED9" w:rsidRPr="00DB41C8" w:rsidRDefault="00F565B6" w:rsidP="005D7ED9">
      <w:pPr>
        <w:spacing w:line="288" w:lineRule="auto"/>
        <w:jc w:val="left"/>
        <w:rPr>
          <w:rFonts w:ascii="Times New Roman" w:hAnsi="Times New Roman" w:cs="Times New Roman"/>
          <w:color w:val="000000" w:themeColor="text1"/>
          <w:sz w:val="22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2"/>
          <w:szCs w:val="28"/>
        </w:rPr>
        <w:drawing>
          <wp:inline distT="0" distB="0" distL="0" distR="0">
            <wp:extent cx="5270500" cy="4392295"/>
            <wp:effectExtent l="0" t="0" r="0" b="1905"/>
            <wp:docPr id="5232355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235574" name="图片 52323557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3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ED9" w:rsidRPr="0018023D" w:rsidRDefault="005D7ED9" w:rsidP="00923DB6">
      <w:pPr>
        <w:spacing w:line="288" w:lineRule="auto"/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</w:pPr>
      <w:r w:rsidRPr="00EC6C9D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Supplementary Figure </w:t>
      </w:r>
      <w:r w:rsidR="006E5AEF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1</w:t>
      </w:r>
      <w:r w:rsidRPr="00EC6C9D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. </w:t>
      </w:r>
      <w:r w:rsidR="00923DB6" w:rsidRPr="00923DB6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Constructing </w:t>
      </w:r>
      <w:r w:rsidR="009B37EF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the </w:t>
      </w:r>
      <w:r w:rsidR="007233A7" w:rsidRPr="007233A7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warming-excess equity framework</w:t>
      </w:r>
      <w:r w:rsidR="00923DB6" w:rsidRPr="00923DB6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to derive national </w:t>
      </w:r>
      <w:r w:rsidR="009B37EF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equitable </w:t>
      </w:r>
      <w:r w:rsidR="00923DB6" w:rsidRPr="00923DB6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emissions pathways.</w:t>
      </w:r>
      <w:r w:rsidR="009937EC">
        <w:rPr>
          <w:rFonts w:ascii="Times New Roman" w:hAnsi="Times New Roman" w:cs="Times New Roman" w:hint="eastAsia"/>
          <w:b/>
          <w:bCs/>
          <w:color w:val="000000" w:themeColor="text1"/>
          <w:sz w:val="22"/>
          <w:szCs w:val="28"/>
        </w:rPr>
        <w:t xml:space="preserve"> </w:t>
      </w:r>
      <w:r w:rsidR="00923DB6" w:rsidRPr="00923DB6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(a–c)</w:t>
      </w:r>
      <w:r w:rsidR="009937EC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,</w:t>
      </w:r>
      <w:r w:rsidR="00923DB6" w:rsidRPr="00923DB6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>Global and national (</w:t>
      </w:r>
      <w:r w:rsidR="00D524D3">
        <w:rPr>
          <w:rFonts w:ascii="Times New Roman" w:hAnsi="Times New Roman" w:cs="Times New Roman"/>
          <w:color w:val="000000" w:themeColor="text1"/>
          <w:sz w:val="22"/>
          <w:szCs w:val="28"/>
        </w:rPr>
        <w:t>US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>) emissions trajectories for fossil CO</w:t>
      </w:r>
      <w:r w:rsidR="00C50B8A" w:rsidRPr="0018023D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2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923DB6" w:rsidRPr="00576F56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(a)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>, CH</w:t>
      </w:r>
      <w:r w:rsidR="007B4F67" w:rsidRPr="0018023D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4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923DB6" w:rsidRPr="009F29DB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(b)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>, and N</w:t>
      </w:r>
      <w:r w:rsidR="0079529D" w:rsidRPr="0018023D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2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>O</w:t>
      </w:r>
      <w:r w:rsidR="00923DB6" w:rsidRPr="00923DB6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(c). 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>Fossil CO</w:t>
      </w:r>
      <w:r w:rsidR="00623194" w:rsidRPr="0018023D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2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counterfactuals are generated 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lastRenderedPageBreak/>
        <w:t>by rescaling the original 1.5°C pathway using the bisection method to preserve the 2100 GMST, whereas CH</w:t>
      </w:r>
      <w:r w:rsidR="00A974B7" w:rsidRPr="00A974B7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4</w:t>
      </w:r>
      <w:r w:rsidR="00A974B7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>and N</w:t>
      </w:r>
      <w:r w:rsidR="007A7CC0" w:rsidRPr="0018023D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2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O </w:t>
      </w:r>
      <w:r w:rsidR="009B14D7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futures 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>are allocated proportionally to population shares under the 1.5°C pathway without additional historical-responsibility adjustments. Orange lines denote the original 1.5°C pathway, and blue lines the counterfactual scenarios.</w:t>
      </w:r>
      <w:r w:rsidR="00923DB6" w:rsidRPr="00923DB6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(d)</w:t>
      </w:r>
      <w:r w:rsidR="00250799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,</w:t>
      </w:r>
      <w:r w:rsidR="00923DB6" w:rsidRPr="00923DB6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>GMST anomalies simulated using the FAIR model with default parameters.</w:t>
      </w:r>
      <w:r w:rsidR="00923DB6" w:rsidRPr="00923DB6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(e)</w:t>
      </w:r>
      <w:r w:rsidR="006051F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,</w:t>
      </w:r>
      <w:r w:rsidR="00923DB6" w:rsidRPr="00923DB6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="00923DB6" w:rsidRPr="0018023D">
        <w:rPr>
          <w:rFonts w:ascii="Times New Roman" w:hAnsi="Times New Roman" w:cs="Times New Roman"/>
          <w:color w:val="000000" w:themeColor="text1"/>
          <w:sz w:val="22"/>
          <w:szCs w:val="28"/>
        </w:rPr>
        <w:t>Probabilistic GMST outcomes from Monte Carlo simulations (n = 10,000) with a calibrated ensemble of FAIR parameter sets. Solid lines show the median, and shaded areas the 10th–90th percentile range.</w:t>
      </w:r>
    </w:p>
    <w:p w:rsidR="00FA2BEF" w:rsidRDefault="00FA2BEF" w:rsidP="00FA2BEF">
      <w:pPr>
        <w:spacing w:line="288" w:lineRule="auto"/>
        <w:rPr>
          <w:rFonts w:ascii="Times New Roman" w:hAnsi="Times New Roman" w:cs="Times New Roman"/>
          <w:sz w:val="24"/>
          <w:szCs w:val="32"/>
        </w:rPr>
      </w:pPr>
    </w:p>
    <w:p w:rsidR="00FA2BEF" w:rsidRDefault="00FA2BEF" w:rsidP="005D7ED9">
      <w:pPr>
        <w:spacing w:line="288" w:lineRule="auto"/>
        <w:rPr>
          <w:rFonts w:ascii="Times New Roman" w:hAnsi="Times New Roman" w:cs="Times New Roman"/>
          <w:sz w:val="24"/>
          <w:szCs w:val="32"/>
        </w:rPr>
      </w:pPr>
      <w:r w:rsidRPr="00405E36">
        <w:rPr>
          <w:rFonts w:ascii="Times New Roman" w:hAnsi="Times New Roman" w:cs="Times New Roman"/>
          <w:sz w:val="24"/>
          <w:szCs w:val="32"/>
        </w:rPr>
        <w:t xml:space="preserve">After allocating the country’s equitable share of future emissions based on population, the remaining difference between the original </w:t>
      </w:r>
      <w:r>
        <w:rPr>
          <w:rFonts w:ascii="Times New Roman" w:hAnsi="Times New Roman" w:cs="Times New Roman"/>
          <w:sz w:val="24"/>
          <w:szCs w:val="32"/>
        </w:rPr>
        <w:t xml:space="preserve">global emission </w:t>
      </w:r>
      <w:r w:rsidRPr="00405E36">
        <w:rPr>
          <w:rFonts w:ascii="Times New Roman" w:hAnsi="Times New Roman" w:cs="Times New Roman"/>
          <w:sz w:val="24"/>
          <w:szCs w:val="32"/>
        </w:rPr>
        <w:t xml:space="preserve">trajectory and the counterfactual </w:t>
      </w:r>
      <w:r>
        <w:rPr>
          <w:rFonts w:ascii="Times New Roman" w:hAnsi="Times New Roman" w:cs="Times New Roman"/>
          <w:sz w:val="24"/>
          <w:szCs w:val="32"/>
        </w:rPr>
        <w:t xml:space="preserve">emission </w:t>
      </w:r>
      <w:r w:rsidRPr="00405E36">
        <w:rPr>
          <w:rFonts w:ascii="Times New Roman" w:hAnsi="Times New Roman" w:cs="Times New Roman"/>
          <w:sz w:val="24"/>
          <w:szCs w:val="32"/>
        </w:rPr>
        <w:t>trajectory</w:t>
      </w:r>
      <w:r w:rsidRPr="00405E36" w:rsidDel="006D3C49">
        <w:rPr>
          <w:rFonts w:ascii="Times New Roman" w:hAnsi="Times New Roman" w:cs="Times New Roman"/>
          <w:sz w:val="24"/>
          <w:szCs w:val="32"/>
        </w:rPr>
        <w:t xml:space="preserve"> </w:t>
      </w:r>
      <w:r w:rsidRPr="00405E36">
        <w:rPr>
          <w:rFonts w:ascii="Times New Roman" w:hAnsi="Times New Roman" w:cs="Times New Roman"/>
          <w:sz w:val="24"/>
          <w:szCs w:val="32"/>
        </w:rPr>
        <w:t xml:space="preserve">represents the additional reductions that country must undertake to meet its historical emissions responsibility. In the </w:t>
      </w:r>
      <w:r w:rsidR="00D524D3">
        <w:rPr>
          <w:rFonts w:ascii="Times New Roman" w:hAnsi="Times New Roman" w:cs="Times New Roman"/>
          <w:sz w:val="24"/>
          <w:szCs w:val="32"/>
        </w:rPr>
        <w:t>US</w:t>
      </w:r>
      <w:r w:rsidR="001F225B">
        <w:rPr>
          <w:rFonts w:ascii="Times New Roman" w:hAnsi="Times New Roman" w:cs="Times New Roman"/>
          <w:sz w:val="24"/>
          <w:szCs w:val="32"/>
        </w:rPr>
        <w:t xml:space="preserve"> </w:t>
      </w:r>
      <w:r w:rsidRPr="00405E36">
        <w:rPr>
          <w:rFonts w:ascii="Times New Roman" w:hAnsi="Times New Roman" w:cs="Times New Roman"/>
          <w:sz w:val="24"/>
          <w:szCs w:val="32"/>
        </w:rPr>
        <w:t xml:space="preserve">case, this results in a more stringent emissions reduction trajectory, reaching net-negative emissions </w:t>
      </w:r>
      <w:r>
        <w:rPr>
          <w:rFonts w:ascii="Times New Roman" w:hAnsi="Times New Roman" w:cs="Times New Roman"/>
          <w:sz w:val="24"/>
          <w:szCs w:val="32"/>
        </w:rPr>
        <w:t>before</w:t>
      </w:r>
      <w:r w:rsidRPr="00405E36">
        <w:rPr>
          <w:rFonts w:ascii="Times New Roman" w:hAnsi="Times New Roman" w:cs="Times New Roman"/>
          <w:sz w:val="24"/>
          <w:szCs w:val="32"/>
        </w:rPr>
        <w:t xml:space="preserve"> mid-century (</w:t>
      </w:r>
      <w:r w:rsidR="00E302C3">
        <w:rPr>
          <w:rFonts w:ascii="Times New Roman" w:hAnsi="Times New Roman" w:cs="Times New Roman"/>
          <w:sz w:val="24"/>
          <w:szCs w:val="32"/>
        </w:rPr>
        <w:t>Supplementary Figure 1</w:t>
      </w:r>
      <w:r w:rsidRPr="00405E36">
        <w:rPr>
          <w:rFonts w:ascii="Times New Roman" w:hAnsi="Times New Roman" w:cs="Times New Roman"/>
          <w:sz w:val="24"/>
          <w:szCs w:val="32"/>
        </w:rPr>
        <w:t xml:space="preserve">a, dashed </w:t>
      </w:r>
      <w:r w:rsidR="00325C7C">
        <w:rPr>
          <w:rFonts w:ascii="Times New Roman" w:hAnsi="Times New Roman" w:cs="Times New Roman" w:hint="eastAsia"/>
          <w:sz w:val="24"/>
          <w:szCs w:val="32"/>
        </w:rPr>
        <w:t>orange</w:t>
      </w:r>
      <w:r w:rsidR="00325C7C">
        <w:rPr>
          <w:rFonts w:ascii="Times New Roman" w:hAnsi="Times New Roman" w:cs="Times New Roman"/>
          <w:sz w:val="24"/>
          <w:szCs w:val="32"/>
        </w:rPr>
        <w:t xml:space="preserve"> </w:t>
      </w:r>
      <w:r w:rsidRPr="00405E36">
        <w:rPr>
          <w:rFonts w:ascii="Times New Roman" w:hAnsi="Times New Roman" w:cs="Times New Roman"/>
          <w:sz w:val="24"/>
          <w:szCs w:val="32"/>
        </w:rPr>
        <w:t xml:space="preserve">curve). Quantitatively, the </w:t>
      </w:r>
      <w:r w:rsidR="00D524D3">
        <w:rPr>
          <w:rFonts w:ascii="Times New Roman" w:hAnsi="Times New Roman" w:cs="Times New Roman"/>
          <w:sz w:val="24"/>
          <w:szCs w:val="32"/>
        </w:rPr>
        <w:t>US</w:t>
      </w:r>
      <w:r w:rsidR="001F225B">
        <w:rPr>
          <w:rFonts w:ascii="Times New Roman" w:hAnsi="Times New Roman" w:cs="Times New Roman"/>
          <w:sz w:val="24"/>
          <w:szCs w:val="32"/>
        </w:rPr>
        <w:t xml:space="preserve"> </w:t>
      </w:r>
      <w:r w:rsidRPr="00405E36">
        <w:rPr>
          <w:rFonts w:ascii="Times New Roman" w:hAnsi="Times New Roman" w:cs="Times New Roman"/>
          <w:sz w:val="24"/>
          <w:szCs w:val="32"/>
        </w:rPr>
        <w:t xml:space="preserve">would need to achieve approximately </w:t>
      </w:r>
      <w:r w:rsidR="007F5E05" w:rsidRPr="00616F29">
        <w:rPr>
          <w:rFonts w:ascii="Times New Roman" w:hAnsi="Times New Roman" w:cs="Times New Roman"/>
          <w:sz w:val="24"/>
          <w:szCs w:val="32"/>
        </w:rPr>
        <w:t>−</w:t>
      </w:r>
      <w:r w:rsidRPr="00405E36">
        <w:rPr>
          <w:rFonts w:ascii="Times New Roman" w:hAnsi="Times New Roman" w:cs="Times New Roman"/>
          <w:sz w:val="24"/>
          <w:szCs w:val="32"/>
        </w:rPr>
        <w:t>30</w:t>
      </w:r>
      <w:r w:rsidR="00043A6A">
        <w:rPr>
          <w:rFonts w:ascii="Times New Roman" w:hAnsi="Times New Roman" w:cs="Times New Roman"/>
          <w:sz w:val="24"/>
          <w:szCs w:val="32"/>
        </w:rPr>
        <w:t>5</w:t>
      </w:r>
      <w:r w:rsidRPr="00405E36">
        <w:rPr>
          <w:rFonts w:ascii="Times New Roman" w:hAnsi="Times New Roman" w:cs="Times New Roman"/>
          <w:sz w:val="24"/>
          <w:szCs w:val="32"/>
        </w:rPr>
        <w:t xml:space="preserve"> Gt CO</w:t>
      </w:r>
      <w:r w:rsidRPr="00B01691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405E36">
        <w:rPr>
          <w:rFonts w:ascii="Times New Roman" w:hAnsi="Times New Roman" w:cs="Times New Roman"/>
          <w:sz w:val="24"/>
          <w:szCs w:val="32"/>
        </w:rPr>
        <w:t xml:space="preserve"> cumulative </w:t>
      </w:r>
      <w:r w:rsidR="00881BBD">
        <w:rPr>
          <w:rFonts w:ascii="Times New Roman" w:hAnsi="Times New Roman" w:cs="Times New Roman"/>
          <w:sz w:val="24"/>
          <w:szCs w:val="32"/>
        </w:rPr>
        <w:t>net-</w:t>
      </w:r>
      <w:r w:rsidRPr="00405E36">
        <w:rPr>
          <w:rFonts w:ascii="Times New Roman" w:hAnsi="Times New Roman" w:cs="Times New Roman"/>
          <w:sz w:val="24"/>
          <w:szCs w:val="32"/>
        </w:rPr>
        <w:t>negative emissions by 2100.</w:t>
      </w:r>
      <w:r>
        <w:rPr>
          <w:rFonts w:ascii="Times New Roman" w:hAnsi="Times New Roman" w:cs="Times New Roman" w:hint="eastAsia"/>
          <w:sz w:val="24"/>
          <w:szCs w:val="32"/>
        </w:rPr>
        <w:t xml:space="preserve"> </w:t>
      </w:r>
      <w:r w:rsidRPr="000A3B0A">
        <w:rPr>
          <w:rFonts w:ascii="Times New Roman" w:hAnsi="Times New Roman" w:cs="Times New Roman"/>
          <w:sz w:val="24"/>
          <w:szCs w:val="32"/>
        </w:rPr>
        <w:t xml:space="preserve">Repeating the same “what-if” construction country by country yields diagnostic, country-specific responsibility requirements while keeping the global 2100 temperature unchanged. These responsibility pathways are </w:t>
      </w:r>
      <w:r>
        <w:rPr>
          <w:rFonts w:ascii="Times New Roman" w:hAnsi="Times New Roman" w:cs="Times New Roman" w:hint="eastAsia"/>
          <w:sz w:val="24"/>
          <w:szCs w:val="32"/>
        </w:rPr>
        <w:t>country</w:t>
      </w:r>
      <w:r>
        <w:rPr>
          <w:rFonts w:ascii="Times New Roman" w:hAnsi="Times New Roman" w:cs="Times New Roman"/>
          <w:sz w:val="24"/>
          <w:szCs w:val="32"/>
        </w:rPr>
        <w:t>-specific</w:t>
      </w:r>
      <w:r w:rsidRPr="000A3B0A">
        <w:rPr>
          <w:rFonts w:ascii="Times New Roman" w:hAnsi="Times New Roman" w:cs="Times New Roman"/>
          <w:sz w:val="24"/>
          <w:szCs w:val="32"/>
        </w:rPr>
        <w:t>, since each arises from a distinct historical substitution.</w:t>
      </w:r>
    </w:p>
    <w:p w:rsidR="008B7EA4" w:rsidRPr="0018023D" w:rsidRDefault="008B7EA4" w:rsidP="005D7ED9">
      <w:pPr>
        <w:spacing w:line="288" w:lineRule="auto"/>
        <w:rPr>
          <w:rFonts w:ascii="Times New Roman" w:hAnsi="Times New Roman" w:cs="Times New Roman"/>
          <w:sz w:val="24"/>
          <w:szCs w:val="32"/>
        </w:rPr>
      </w:pPr>
    </w:p>
    <w:p w:rsidR="009404B1" w:rsidRPr="00261C9B" w:rsidRDefault="00AF0352" w:rsidP="009404B1">
      <w:pPr>
        <w:pStyle w:val="a9"/>
        <w:numPr>
          <w:ilvl w:val="0"/>
          <w:numId w:val="8"/>
        </w:numPr>
        <w:spacing w:beforeLines="50" w:before="156" w:afterLines="50" w:after="156" w:line="288" w:lineRule="auto"/>
        <w:ind w:left="357" w:hanging="357"/>
        <w:rPr>
          <w:rFonts w:ascii="Times New Roman" w:hAnsi="Times New Roman" w:cs="Times New Roman"/>
          <w:b/>
          <w:bCs/>
          <w:sz w:val="24"/>
          <w:szCs w:val="32"/>
        </w:rPr>
      </w:pPr>
      <w:r w:rsidRPr="00261C9B">
        <w:rPr>
          <w:rFonts w:ascii="Times New Roman" w:hAnsi="Times New Roman" w:cs="Times New Roman"/>
          <w:b/>
          <w:bCs/>
          <w:sz w:val="24"/>
          <w:szCs w:val="32"/>
        </w:rPr>
        <w:t xml:space="preserve">Sensitivity to the </w:t>
      </w:r>
      <w:r w:rsidR="0073645F">
        <w:rPr>
          <w:rFonts w:ascii="Times New Roman" w:hAnsi="Times New Roman" w:cs="Times New Roman"/>
          <w:b/>
          <w:bCs/>
          <w:sz w:val="24"/>
          <w:szCs w:val="32"/>
        </w:rPr>
        <w:t>equity principle</w:t>
      </w:r>
      <w:r w:rsidR="009531F6">
        <w:rPr>
          <w:rFonts w:ascii="Times New Roman" w:hAnsi="Times New Roman" w:cs="Times New Roman"/>
          <w:b/>
          <w:bCs/>
          <w:sz w:val="24"/>
          <w:szCs w:val="32"/>
        </w:rPr>
        <w:t xml:space="preserve"> and </w:t>
      </w:r>
      <w:r w:rsidR="009531F6" w:rsidRPr="00261C9B">
        <w:rPr>
          <w:rFonts w:ascii="Times New Roman" w:hAnsi="Times New Roman" w:cs="Times New Roman"/>
          <w:b/>
          <w:bCs/>
          <w:sz w:val="24"/>
          <w:szCs w:val="32"/>
        </w:rPr>
        <w:t>historical responsibility starting year</w:t>
      </w:r>
    </w:p>
    <w:p w:rsidR="00861AAC" w:rsidRDefault="00861AAC" w:rsidP="00861AAC">
      <w:pPr>
        <w:spacing w:line="288" w:lineRule="auto"/>
        <w:rPr>
          <w:rFonts w:ascii="Times New Roman" w:hAnsi="Times New Roman" w:cs="Times New Roman"/>
          <w:sz w:val="24"/>
          <w:szCs w:val="32"/>
        </w:rPr>
      </w:pPr>
      <w:r w:rsidRPr="002B2728">
        <w:rPr>
          <w:rFonts w:ascii="Times New Roman" w:hAnsi="Times New Roman" w:cs="Times New Roman" w:hint="eastAsia"/>
          <w:sz w:val="24"/>
          <w:szCs w:val="32"/>
        </w:rPr>
        <w:t>The</w:t>
      </w:r>
      <w:r w:rsidRPr="002B2728">
        <w:rPr>
          <w:rFonts w:ascii="Times New Roman" w:hAnsi="Times New Roman" w:cs="Times New Roman"/>
          <w:sz w:val="24"/>
          <w:szCs w:val="32"/>
        </w:rPr>
        <w:t xml:space="preserve"> analysis in the main text adopts the </w:t>
      </w:r>
      <w:r>
        <w:rPr>
          <w:rFonts w:ascii="Times New Roman" w:hAnsi="Times New Roman" w:cs="Times New Roman"/>
          <w:sz w:val="24"/>
          <w:szCs w:val="32"/>
        </w:rPr>
        <w:t>equal</w:t>
      </w:r>
      <w:r w:rsidRPr="002B2728">
        <w:rPr>
          <w:rFonts w:ascii="Times New Roman" w:hAnsi="Times New Roman" w:cs="Times New Roman"/>
          <w:sz w:val="24"/>
          <w:szCs w:val="32"/>
        </w:rPr>
        <w:t xml:space="preserve"> </w:t>
      </w:r>
      <w:r w:rsidR="00343DF8">
        <w:rPr>
          <w:rFonts w:ascii="Times New Roman" w:hAnsi="Times New Roman" w:cs="Times New Roman"/>
          <w:sz w:val="24"/>
          <w:szCs w:val="32"/>
        </w:rPr>
        <w:t>per-capita</w:t>
      </w:r>
      <w:r w:rsidRPr="002B2728">
        <w:rPr>
          <w:rFonts w:ascii="Times New Roman" w:hAnsi="Times New Roman" w:cs="Times New Roman"/>
          <w:sz w:val="24"/>
          <w:szCs w:val="32"/>
        </w:rPr>
        <w:t xml:space="preserve"> principle, </w:t>
      </w:r>
      <w:r w:rsidRPr="002B2728">
        <w:rPr>
          <w:rFonts w:ascii="Times New Roman" w:hAnsi="Times New Roman" w:cs="Times New Roman" w:hint="eastAsia"/>
          <w:sz w:val="24"/>
          <w:szCs w:val="32"/>
        </w:rPr>
        <w:t>assuming</w:t>
      </w:r>
      <w:r w:rsidRPr="002B2728">
        <w:rPr>
          <w:rFonts w:ascii="Times New Roman" w:hAnsi="Times New Roman" w:cs="Times New Roman"/>
          <w:sz w:val="24"/>
          <w:szCs w:val="32"/>
        </w:rPr>
        <w:t xml:space="preserve"> </w:t>
      </w:r>
      <w:r w:rsidRPr="002B2728">
        <w:rPr>
          <w:rFonts w:ascii="Times New Roman" w:hAnsi="Times New Roman" w:cs="Times New Roman" w:hint="eastAsia"/>
          <w:sz w:val="24"/>
          <w:szCs w:val="32"/>
        </w:rPr>
        <w:t>tha</w:t>
      </w:r>
      <w:r w:rsidRPr="002B2728">
        <w:rPr>
          <w:rFonts w:ascii="Times New Roman" w:hAnsi="Times New Roman" w:cs="Times New Roman"/>
          <w:sz w:val="24"/>
          <w:szCs w:val="32"/>
        </w:rPr>
        <w:t>t   everyone in the world has the same emission allowance.</w:t>
      </w:r>
      <w:r>
        <w:rPr>
          <w:rFonts w:ascii="Times New Roman" w:hAnsi="Times New Roman" w:cs="Times New Roman"/>
          <w:sz w:val="24"/>
          <w:szCs w:val="32"/>
        </w:rPr>
        <w:t xml:space="preserve"> T</w:t>
      </w:r>
      <w:r>
        <w:rPr>
          <w:rFonts w:ascii="Times New Roman" w:hAnsi="Times New Roman" w:cs="Times New Roman" w:hint="eastAsia"/>
          <w:sz w:val="24"/>
          <w:szCs w:val="32"/>
        </w:rPr>
        <w:t>o</w:t>
      </w:r>
      <w:r>
        <w:rPr>
          <w:rFonts w:ascii="Times New Roman" w:hAnsi="Times New Roman" w:cs="Times New Roman"/>
          <w:sz w:val="24"/>
          <w:szCs w:val="32"/>
        </w:rPr>
        <w:t xml:space="preserve"> accommodate diverse ethical perspectives on climate justice, we introduce two alternative frameworks for sensitivity analysis, including the national capacity principle and the contraction and convergence principle. W</w:t>
      </w:r>
      <w:r>
        <w:rPr>
          <w:rFonts w:ascii="Times New Roman" w:hAnsi="Times New Roman" w:cs="Times New Roman" w:hint="eastAsia"/>
          <w:sz w:val="24"/>
          <w:szCs w:val="32"/>
        </w:rPr>
        <w:t>e</w:t>
      </w:r>
      <w:r>
        <w:rPr>
          <w:rFonts w:ascii="Times New Roman" w:hAnsi="Times New Roman" w:cs="Times New Roman"/>
          <w:sz w:val="24"/>
          <w:szCs w:val="32"/>
        </w:rPr>
        <w:t xml:space="preserve"> further compare how these alternative principles translate into differences in national net-negative emissions pathways.</w:t>
      </w:r>
    </w:p>
    <w:p w:rsidR="00861AAC" w:rsidRDefault="00861AAC" w:rsidP="00861AAC">
      <w:pPr>
        <w:spacing w:line="288" w:lineRule="auto"/>
        <w:rPr>
          <w:rFonts w:ascii="Times New Roman" w:hAnsi="Times New Roman" w:cs="Times New Roman"/>
          <w:sz w:val="24"/>
          <w:szCs w:val="32"/>
        </w:rPr>
      </w:pPr>
    </w:p>
    <w:p w:rsidR="00861AAC" w:rsidRDefault="00861AAC" w:rsidP="00861AAC">
      <w:pPr>
        <w:spacing w:line="288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 w:hint="eastAsia"/>
          <w:sz w:val="24"/>
          <w:szCs w:val="32"/>
        </w:rPr>
        <w:t>The</w:t>
      </w:r>
      <w:r>
        <w:rPr>
          <w:rFonts w:ascii="Times New Roman" w:hAnsi="Times New Roman" w:cs="Times New Roman"/>
          <w:sz w:val="24"/>
          <w:szCs w:val="32"/>
        </w:rPr>
        <w:t xml:space="preserve"> alternative equity principles substantially reshape national emission pathways compared with the equal </w:t>
      </w:r>
      <w:r w:rsidR="00343DF8">
        <w:rPr>
          <w:rFonts w:ascii="Times New Roman" w:hAnsi="Times New Roman" w:cs="Times New Roman"/>
          <w:sz w:val="24"/>
          <w:szCs w:val="32"/>
        </w:rPr>
        <w:t>per-capita</w:t>
      </w:r>
      <w:r>
        <w:rPr>
          <w:rFonts w:ascii="Times New Roman" w:hAnsi="Times New Roman" w:cs="Times New Roman"/>
          <w:sz w:val="24"/>
          <w:szCs w:val="32"/>
        </w:rPr>
        <w:t xml:space="preserve"> baseline (Supplementary Figure</w:t>
      </w:r>
      <w:r w:rsidR="00240308">
        <w:rPr>
          <w:rFonts w:ascii="Times New Roman" w:hAnsi="Times New Roman" w:cs="Times New Roman" w:hint="eastAsia"/>
          <w:sz w:val="24"/>
          <w:szCs w:val="32"/>
        </w:rPr>
        <w:t>s</w:t>
      </w:r>
      <w:r>
        <w:rPr>
          <w:rFonts w:ascii="Times New Roman" w:hAnsi="Times New Roman" w:cs="Times New Roman"/>
          <w:sz w:val="24"/>
          <w:szCs w:val="32"/>
        </w:rPr>
        <w:t xml:space="preserve"> </w:t>
      </w:r>
      <w:r w:rsidR="006443A8">
        <w:rPr>
          <w:rFonts w:ascii="Times New Roman" w:hAnsi="Times New Roman" w:cs="Times New Roman"/>
          <w:sz w:val="24"/>
          <w:szCs w:val="32"/>
        </w:rPr>
        <w:t>2</w:t>
      </w:r>
      <w:r w:rsidR="00240308">
        <w:rPr>
          <w:rFonts w:ascii="Times New Roman" w:hAnsi="Times New Roman" w:cs="Times New Roman"/>
          <w:sz w:val="24"/>
          <w:szCs w:val="32"/>
        </w:rPr>
        <w:t>-</w:t>
      </w:r>
      <w:r w:rsidR="006443A8">
        <w:rPr>
          <w:rFonts w:ascii="Times New Roman" w:hAnsi="Times New Roman" w:cs="Times New Roman"/>
          <w:sz w:val="24"/>
          <w:szCs w:val="32"/>
        </w:rPr>
        <w:t>3</w:t>
      </w:r>
      <w:r>
        <w:rPr>
          <w:rFonts w:ascii="Times New Roman" w:hAnsi="Times New Roman" w:cs="Times New Roman"/>
          <w:sz w:val="24"/>
          <w:szCs w:val="32"/>
        </w:rPr>
        <w:t>). The national capacity principle tightens the late-century requirements for high-income countries. B</w:t>
      </w:r>
      <w:r w:rsidRPr="00616F29">
        <w:rPr>
          <w:rFonts w:ascii="Times New Roman" w:hAnsi="Times New Roman" w:cs="Times New Roman"/>
          <w:sz w:val="24"/>
          <w:szCs w:val="32"/>
        </w:rPr>
        <w:t>y 2100, the United States reaches roughly −</w:t>
      </w:r>
      <w:r>
        <w:rPr>
          <w:rFonts w:ascii="Times New Roman" w:hAnsi="Times New Roman" w:cs="Times New Roman"/>
          <w:sz w:val="24"/>
          <w:szCs w:val="32"/>
        </w:rPr>
        <w:t>7.0</w:t>
      </w:r>
      <w:r w:rsidRPr="00616F29">
        <w:rPr>
          <w:rFonts w:ascii="Times New Roman" w:hAnsi="Times New Roman" w:cs="Times New Roman"/>
          <w:sz w:val="24"/>
          <w:szCs w:val="32"/>
        </w:rPr>
        <w:t xml:space="preserve"> Gt CO</w:t>
      </w:r>
      <w:r w:rsidRPr="00BA2303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616F29">
        <w:rPr>
          <w:rFonts w:ascii="Times New Roman" w:hAnsi="Times New Roman" w:cs="Times New Roman"/>
          <w:sz w:val="24"/>
          <w:szCs w:val="32"/>
        </w:rPr>
        <w:t xml:space="preserve"> yr⁻¹ under </w:t>
      </w:r>
      <w:r>
        <w:rPr>
          <w:rFonts w:ascii="Times New Roman" w:hAnsi="Times New Roman" w:cs="Times New Roman"/>
          <w:sz w:val="24"/>
          <w:szCs w:val="32"/>
        </w:rPr>
        <w:t>n</w:t>
      </w:r>
      <w:r w:rsidRPr="00616F29">
        <w:rPr>
          <w:rFonts w:ascii="Times New Roman" w:hAnsi="Times New Roman" w:cs="Times New Roman"/>
          <w:sz w:val="24"/>
          <w:szCs w:val="32"/>
        </w:rPr>
        <w:t xml:space="preserve">ational </w:t>
      </w:r>
      <w:r>
        <w:rPr>
          <w:rFonts w:ascii="Times New Roman" w:hAnsi="Times New Roman" w:cs="Times New Roman"/>
          <w:sz w:val="24"/>
          <w:szCs w:val="32"/>
        </w:rPr>
        <w:t>c</w:t>
      </w:r>
      <w:r w:rsidRPr="00616F29">
        <w:rPr>
          <w:rFonts w:ascii="Times New Roman" w:hAnsi="Times New Roman" w:cs="Times New Roman"/>
          <w:sz w:val="24"/>
          <w:szCs w:val="32"/>
        </w:rPr>
        <w:t>apacity versus about −6</w:t>
      </w:r>
      <w:r>
        <w:rPr>
          <w:rFonts w:ascii="Times New Roman" w:hAnsi="Times New Roman" w:cs="Times New Roman"/>
          <w:sz w:val="24"/>
          <w:szCs w:val="32"/>
        </w:rPr>
        <w:t>.3</w:t>
      </w:r>
      <w:r w:rsidRPr="00616F29">
        <w:rPr>
          <w:rFonts w:ascii="Times New Roman" w:hAnsi="Times New Roman" w:cs="Times New Roman"/>
          <w:sz w:val="24"/>
          <w:szCs w:val="32"/>
        </w:rPr>
        <w:t xml:space="preserve"> Gt CO</w:t>
      </w:r>
      <w:r w:rsidRPr="004F7720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616F29">
        <w:rPr>
          <w:rFonts w:ascii="Times New Roman" w:hAnsi="Times New Roman" w:cs="Times New Roman"/>
          <w:sz w:val="24"/>
          <w:szCs w:val="32"/>
        </w:rPr>
        <w:t xml:space="preserve"> yr⁻¹ under </w:t>
      </w:r>
      <w:r>
        <w:rPr>
          <w:rFonts w:ascii="Times New Roman" w:hAnsi="Times New Roman" w:cs="Times New Roman"/>
          <w:sz w:val="24"/>
          <w:szCs w:val="32"/>
        </w:rPr>
        <w:t>equal</w:t>
      </w:r>
      <w:r w:rsidRPr="00616F29">
        <w:rPr>
          <w:rFonts w:ascii="Times New Roman" w:hAnsi="Times New Roman" w:cs="Times New Roman"/>
          <w:sz w:val="24"/>
          <w:szCs w:val="32"/>
        </w:rPr>
        <w:t xml:space="preserve"> </w:t>
      </w:r>
      <w:r w:rsidR="00343DF8">
        <w:rPr>
          <w:rFonts w:ascii="Times New Roman" w:hAnsi="Times New Roman" w:cs="Times New Roman"/>
          <w:sz w:val="24"/>
          <w:szCs w:val="32"/>
        </w:rPr>
        <w:t>per-capita</w:t>
      </w:r>
      <w:r w:rsidRPr="00616F29">
        <w:rPr>
          <w:rFonts w:ascii="Times New Roman" w:hAnsi="Times New Roman" w:cs="Times New Roman"/>
          <w:sz w:val="24"/>
          <w:szCs w:val="32"/>
        </w:rPr>
        <w:t xml:space="preserve"> (a deepening of </w:t>
      </w:r>
      <w:r>
        <w:rPr>
          <w:rFonts w:ascii="Times New Roman" w:hAnsi="Times New Roman" w:cs="Times New Roman"/>
          <w:sz w:val="24"/>
          <w:szCs w:val="32"/>
        </w:rPr>
        <w:t>0.7</w:t>
      </w:r>
      <w:r w:rsidRPr="00616F29">
        <w:rPr>
          <w:rFonts w:ascii="Times New Roman" w:hAnsi="Times New Roman" w:cs="Times New Roman"/>
          <w:sz w:val="24"/>
          <w:szCs w:val="32"/>
        </w:rPr>
        <w:t xml:space="preserve"> Gt CO</w:t>
      </w:r>
      <w:r w:rsidR="00092BE8" w:rsidRPr="00092BE8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616F29">
        <w:rPr>
          <w:rFonts w:ascii="Times New Roman" w:hAnsi="Times New Roman" w:cs="Times New Roman"/>
          <w:sz w:val="24"/>
          <w:szCs w:val="32"/>
        </w:rPr>
        <w:t xml:space="preserve"> yr⁻¹), with Germany</w:t>
      </w:r>
      <w:r>
        <w:rPr>
          <w:rFonts w:ascii="Times New Roman" w:hAnsi="Times New Roman" w:cs="Times New Roman"/>
          <w:sz w:val="24"/>
          <w:szCs w:val="32"/>
        </w:rPr>
        <w:t xml:space="preserve">, </w:t>
      </w:r>
      <w:r w:rsidRPr="00616F29">
        <w:rPr>
          <w:rFonts w:ascii="Times New Roman" w:hAnsi="Times New Roman" w:cs="Times New Roman"/>
          <w:sz w:val="24"/>
          <w:szCs w:val="32"/>
        </w:rPr>
        <w:t>Japan</w:t>
      </w:r>
      <w:r>
        <w:rPr>
          <w:rFonts w:ascii="Times New Roman" w:hAnsi="Times New Roman" w:cs="Times New Roman"/>
          <w:sz w:val="24"/>
          <w:szCs w:val="32"/>
        </w:rPr>
        <w:t xml:space="preserve">, and </w:t>
      </w:r>
      <w:r w:rsidRPr="00616F29">
        <w:rPr>
          <w:rFonts w:ascii="Times New Roman" w:hAnsi="Times New Roman" w:cs="Times New Roman"/>
          <w:sz w:val="24"/>
          <w:szCs w:val="32"/>
        </w:rPr>
        <w:t>Russia becoming about 0.3</w:t>
      </w:r>
      <w:r w:rsidRPr="003D0527">
        <w:rPr>
          <w:rFonts w:ascii="Times New Roman" w:hAnsi="Times New Roman" w:cs="Times New Roman"/>
          <w:sz w:val="24"/>
          <w:szCs w:val="32"/>
        </w:rPr>
        <w:t>–0.4</w:t>
      </w:r>
      <w:r w:rsidRPr="00616F29">
        <w:rPr>
          <w:rFonts w:ascii="Times New Roman" w:hAnsi="Times New Roman" w:cs="Times New Roman"/>
          <w:sz w:val="24"/>
          <w:szCs w:val="32"/>
        </w:rPr>
        <w:t xml:space="preserve"> Gt CO</w:t>
      </w:r>
      <w:r w:rsidRPr="00A67E2A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616F29">
        <w:rPr>
          <w:rFonts w:ascii="Times New Roman" w:hAnsi="Times New Roman" w:cs="Times New Roman"/>
          <w:sz w:val="24"/>
          <w:szCs w:val="32"/>
        </w:rPr>
        <w:t xml:space="preserve"> yr⁻¹ more negative than under </w:t>
      </w:r>
      <w:r>
        <w:rPr>
          <w:rFonts w:ascii="Times New Roman" w:hAnsi="Times New Roman" w:cs="Times New Roman"/>
          <w:sz w:val="24"/>
          <w:szCs w:val="32"/>
        </w:rPr>
        <w:t>equal</w:t>
      </w:r>
      <w:r w:rsidRPr="00616F29">
        <w:rPr>
          <w:rFonts w:ascii="Times New Roman" w:hAnsi="Times New Roman" w:cs="Times New Roman"/>
          <w:sz w:val="24"/>
          <w:szCs w:val="32"/>
        </w:rPr>
        <w:t xml:space="preserve"> </w:t>
      </w:r>
      <w:r w:rsidR="00343DF8">
        <w:rPr>
          <w:rFonts w:ascii="Times New Roman" w:hAnsi="Times New Roman" w:cs="Times New Roman"/>
          <w:sz w:val="24"/>
          <w:szCs w:val="32"/>
        </w:rPr>
        <w:t>per-capita</w:t>
      </w:r>
      <w:r w:rsidRPr="00616F29">
        <w:rPr>
          <w:rFonts w:ascii="Times New Roman" w:hAnsi="Times New Roman" w:cs="Times New Roman"/>
          <w:sz w:val="24"/>
          <w:szCs w:val="32"/>
        </w:rPr>
        <w:t xml:space="preserve">. </w:t>
      </w:r>
      <w:r w:rsidRPr="0075266A">
        <w:rPr>
          <w:rFonts w:ascii="Times New Roman" w:hAnsi="Times New Roman" w:cs="Times New Roman"/>
          <w:sz w:val="24"/>
          <w:szCs w:val="32"/>
        </w:rPr>
        <w:t>This tightening also slightly advances the onset of net-negative allowances for several high-income countries</w:t>
      </w:r>
      <w:r>
        <w:rPr>
          <w:rFonts w:ascii="Times New Roman" w:hAnsi="Times New Roman" w:cs="Times New Roman" w:hint="eastAsia"/>
          <w:sz w:val="24"/>
          <w:szCs w:val="32"/>
        </w:rPr>
        <w:t>.</w:t>
      </w:r>
    </w:p>
    <w:p w:rsidR="00815A10" w:rsidRPr="00E63DB8" w:rsidRDefault="00815A10" w:rsidP="00815A10">
      <w:pPr>
        <w:widowControl/>
        <w:spacing w:line="288" w:lineRule="auto"/>
        <w:rPr>
          <w:rFonts w:ascii="Times New Roman" w:eastAsia="宋体" w:hAnsi="Times New Roman" w:cs="Times New Roman"/>
          <w:color w:val="000000" w:themeColor="text1"/>
          <w:kern w:val="0"/>
          <w:sz w:val="24"/>
        </w:rPr>
      </w:pPr>
    </w:p>
    <w:p w:rsidR="00815A10" w:rsidRPr="008D5458" w:rsidRDefault="008D5458" w:rsidP="00815A10">
      <w:pPr>
        <w:widowControl/>
        <w:spacing w:line="288" w:lineRule="auto"/>
        <w:rPr>
          <w:rFonts w:ascii="Times New Roman" w:eastAsia="宋体" w:hAnsi="Times New Roman" w:cs="Times New Roman" w:hint="eastAsia"/>
          <w:color w:val="000000" w:themeColor="text1"/>
          <w:kern w:val="0"/>
          <w:sz w:val="24"/>
        </w:rPr>
      </w:pPr>
      <w:r>
        <w:rPr>
          <w:rFonts w:ascii="Times New Roman" w:eastAsia="宋体" w:hAnsi="Times New Roman" w:cs="Times New Roman"/>
          <w:noProof/>
          <w:color w:val="000000" w:themeColor="text1"/>
          <w:kern w:val="0"/>
          <w:sz w:val="24"/>
        </w:rPr>
        <w:drawing>
          <wp:inline distT="0" distB="0" distL="0" distR="0">
            <wp:extent cx="5270500" cy="3952875"/>
            <wp:effectExtent l="0" t="0" r="0" b="0"/>
            <wp:docPr id="9641534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153402" name="图片 96415340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A10" w:rsidRDefault="00815A10" w:rsidP="00815A10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</w:pPr>
      <w:r w:rsidRPr="00EC6C9D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2</w:t>
      </w:r>
      <w:r w:rsidRPr="00E17114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.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="008C0CEF" w:rsidRPr="008C0CEF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Fair-share-corrected fossil CO</w:t>
      </w:r>
      <w:r w:rsidR="008C0CEF" w:rsidRPr="008C0CEF">
        <w:rPr>
          <w:rFonts w:ascii="Times New Roman" w:hAnsi="Times New Roman" w:cs="Times New Roman"/>
          <w:b/>
          <w:bCs/>
          <w:color w:val="000000" w:themeColor="text1"/>
          <w:sz w:val="22"/>
          <w:szCs w:val="28"/>
          <w:vertAlign w:val="subscript"/>
        </w:rPr>
        <w:t>2</w:t>
      </w:r>
      <w:r w:rsidR="008C0CEF" w:rsidRPr="008C0CEF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emission pathways for ten world regions </w:t>
      </w:r>
      <w:r w:rsidRPr="008B671E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under three different equity principles.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2"/>
          <w:szCs w:val="28"/>
        </w:rPr>
        <w:t xml:space="preserve"> </w:t>
      </w:r>
      <w:r w:rsidRPr="00AC782A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The panels show historical and projected fossil CO₂ emission pathways from 1950 to 2100 for the </w:t>
      </w:r>
      <w:r w:rsidR="00AE6A47" w:rsidRPr="00326007">
        <w:rPr>
          <w:rFonts w:ascii="Times New Roman" w:hAnsi="Times New Roman" w:cs="Times New Roman"/>
          <w:sz w:val="22"/>
          <w:szCs w:val="22"/>
        </w:rPr>
        <w:t>United States (USA)</w:t>
      </w:r>
      <w:r w:rsidR="00BA3453">
        <w:rPr>
          <w:rFonts w:ascii="Times New Roman" w:hAnsi="Times New Roman" w:cs="Times New Roman"/>
          <w:sz w:val="22"/>
          <w:szCs w:val="22"/>
        </w:rPr>
        <w:t xml:space="preserve"> </w:t>
      </w:r>
      <w:r w:rsidR="00BA3453" w:rsidRPr="00E563F8">
        <w:rPr>
          <w:rFonts w:ascii="Times New Roman" w:hAnsi="Times New Roman" w:cs="Times New Roman"/>
          <w:b/>
          <w:bCs/>
          <w:sz w:val="22"/>
          <w:szCs w:val="22"/>
        </w:rPr>
        <w:t>(a)</w:t>
      </w:r>
      <w:r w:rsidR="00AE6A47" w:rsidRPr="00326007">
        <w:rPr>
          <w:rFonts w:ascii="Times New Roman" w:hAnsi="Times New Roman" w:cs="Times New Roman"/>
          <w:sz w:val="22"/>
          <w:szCs w:val="22"/>
        </w:rPr>
        <w:t>, European Union (EU27)</w:t>
      </w:r>
      <w:r w:rsidR="00E563F8">
        <w:rPr>
          <w:rFonts w:ascii="Times New Roman" w:hAnsi="Times New Roman" w:cs="Times New Roman"/>
          <w:sz w:val="22"/>
          <w:szCs w:val="22"/>
        </w:rPr>
        <w:t xml:space="preserve"> </w:t>
      </w:r>
      <w:r w:rsidR="00E563F8" w:rsidRPr="00E563F8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E563F8">
        <w:rPr>
          <w:rFonts w:ascii="Times New Roman" w:hAnsi="Times New Roman" w:cs="Times New Roman"/>
          <w:b/>
          <w:bCs/>
          <w:sz w:val="22"/>
          <w:szCs w:val="22"/>
        </w:rPr>
        <w:t>b</w:t>
      </w:r>
      <w:r w:rsidR="00E563F8" w:rsidRPr="00E563F8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AE6A47" w:rsidRPr="00326007">
        <w:rPr>
          <w:rFonts w:ascii="Times New Roman" w:hAnsi="Times New Roman" w:cs="Times New Roman"/>
          <w:sz w:val="22"/>
          <w:szCs w:val="22"/>
        </w:rPr>
        <w:t>, Russia</w:t>
      </w:r>
      <w:r w:rsidR="00942E38">
        <w:rPr>
          <w:rFonts w:ascii="Times New Roman" w:hAnsi="Times New Roman" w:cs="Times New Roman"/>
          <w:sz w:val="22"/>
          <w:szCs w:val="22"/>
        </w:rPr>
        <w:t xml:space="preserve"> </w:t>
      </w:r>
      <w:r w:rsidR="00942E38" w:rsidRPr="00E563F8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942E38">
        <w:rPr>
          <w:rFonts w:ascii="Times New Roman" w:hAnsi="Times New Roman" w:cs="Times New Roman"/>
          <w:b/>
          <w:bCs/>
          <w:sz w:val="22"/>
          <w:szCs w:val="22"/>
        </w:rPr>
        <w:t>c</w:t>
      </w:r>
      <w:r w:rsidR="00942E38" w:rsidRPr="00E563F8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AE6A47" w:rsidRPr="00326007">
        <w:rPr>
          <w:rFonts w:ascii="Times New Roman" w:hAnsi="Times New Roman" w:cs="Times New Roman"/>
          <w:sz w:val="22"/>
          <w:szCs w:val="22"/>
        </w:rPr>
        <w:t>, other OECD economies (Other OECD)</w:t>
      </w:r>
      <w:r w:rsidR="00D96DF2">
        <w:rPr>
          <w:rFonts w:ascii="Times New Roman" w:hAnsi="Times New Roman" w:cs="Times New Roman"/>
          <w:sz w:val="22"/>
          <w:szCs w:val="22"/>
        </w:rPr>
        <w:t xml:space="preserve"> </w:t>
      </w:r>
      <w:r w:rsidR="00D96DF2" w:rsidRPr="00E563F8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D96DF2">
        <w:rPr>
          <w:rFonts w:ascii="Times New Roman" w:hAnsi="Times New Roman" w:cs="Times New Roman"/>
          <w:b/>
          <w:bCs/>
          <w:sz w:val="22"/>
          <w:szCs w:val="22"/>
        </w:rPr>
        <w:t>d</w:t>
      </w:r>
      <w:r w:rsidR="00D96DF2" w:rsidRPr="00E563F8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AE6A47" w:rsidRPr="00326007">
        <w:rPr>
          <w:rFonts w:ascii="Times New Roman" w:hAnsi="Times New Roman" w:cs="Times New Roman"/>
          <w:sz w:val="22"/>
          <w:szCs w:val="22"/>
        </w:rPr>
        <w:t>, Gulf Cooperation Council countries (GCC)</w:t>
      </w:r>
      <w:r w:rsidR="00664EEC">
        <w:rPr>
          <w:rFonts w:ascii="Times New Roman" w:hAnsi="Times New Roman" w:cs="Times New Roman"/>
          <w:sz w:val="22"/>
          <w:szCs w:val="22"/>
        </w:rPr>
        <w:t xml:space="preserve"> </w:t>
      </w:r>
      <w:r w:rsidR="00664EEC" w:rsidRPr="00E563F8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664EEC">
        <w:rPr>
          <w:rFonts w:ascii="Times New Roman" w:hAnsi="Times New Roman" w:cs="Times New Roman"/>
          <w:b/>
          <w:bCs/>
          <w:sz w:val="22"/>
          <w:szCs w:val="22"/>
        </w:rPr>
        <w:t>e</w:t>
      </w:r>
      <w:r w:rsidR="00664EEC" w:rsidRPr="00E563F8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AE6A47" w:rsidRPr="00326007">
        <w:rPr>
          <w:rFonts w:ascii="Times New Roman" w:hAnsi="Times New Roman" w:cs="Times New Roman"/>
          <w:sz w:val="22"/>
          <w:szCs w:val="22"/>
        </w:rPr>
        <w:t>, China</w:t>
      </w:r>
      <w:r w:rsidR="00664EEC">
        <w:rPr>
          <w:rFonts w:ascii="Times New Roman" w:hAnsi="Times New Roman" w:cs="Times New Roman"/>
          <w:sz w:val="22"/>
          <w:szCs w:val="22"/>
        </w:rPr>
        <w:t xml:space="preserve"> </w:t>
      </w:r>
      <w:r w:rsidR="00664EEC" w:rsidRPr="00E563F8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664EEC">
        <w:rPr>
          <w:rFonts w:ascii="Times New Roman" w:hAnsi="Times New Roman" w:cs="Times New Roman"/>
          <w:b/>
          <w:bCs/>
          <w:sz w:val="22"/>
          <w:szCs w:val="22"/>
        </w:rPr>
        <w:t>f</w:t>
      </w:r>
      <w:r w:rsidR="00664EEC" w:rsidRPr="00E563F8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AE6A47" w:rsidRPr="00326007">
        <w:rPr>
          <w:rFonts w:ascii="Times New Roman" w:hAnsi="Times New Roman" w:cs="Times New Roman"/>
          <w:sz w:val="22"/>
          <w:szCs w:val="22"/>
        </w:rPr>
        <w:t>, India</w:t>
      </w:r>
      <w:r w:rsidR="007129D2">
        <w:rPr>
          <w:rFonts w:ascii="Times New Roman" w:hAnsi="Times New Roman" w:cs="Times New Roman"/>
          <w:sz w:val="22"/>
          <w:szCs w:val="22"/>
        </w:rPr>
        <w:t xml:space="preserve"> </w:t>
      </w:r>
      <w:r w:rsidR="007129D2" w:rsidRPr="00E563F8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7129D2">
        <w:rPr>
          <w:rFonts w:ascii="Times New Roman" w:hAnsi="Times New Roman" w:cs="Times New Roman"/>
          <w:b/>
          <w:bCs/>
          <w:sz w:val="22"/>
          <w:szCs w:val="22"/>
        </w:rPr>
        <w:t>g</w:t>
      </w:r>
      <w:r w:rsidR="007129D2" w:rsidRPr="00E563F8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AE6A47" w:rsidRPr="00326007">
        <w:rPr>
          <w:rFonts w:ascii="Times New Roman" w:hAnsi="Times New Roman" w:cs="Times New Roman"/>
          <w:sz w:val="22"/>
          <w:szCs w:val="22"/>
        </w:rPr>
        <w:t>, Sub-Saharan Africa (SSA)</w:t>
      </w:r>
      <w:r w:rsidR="00A00200">
        <w:rPr>
          <w:rFonts w:ascii="Times New Roman" w:hAnsi="Times New Roman" w:cs="Times New Roman"/>
          <w:sz w:val="22"/>
          <w:szCs w:val="22"/>
        </w:rPr>
        <w:t xml:space="preserve"> </w:t>
      </w:r>
      <w:r w:rsidR="00A00200" w:rsidRPr="00E563F8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A00200">
        <w:rPr>
          <w:rFonts w:ascii="Times New Roman" w:hAnsi="Times New Roman" w:cs="Times New Roman"/>
          <w:b/>
          <w:bCs/>
          <w:sz w:val="22"/>
          <w:szCs w:val="22"/>
        </w:rPr>
        <w:t>h</w:t>
      </w:r>
      <w:r w:rsidR="00A00200" w:rsidRPr="00E563F8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AE6A47" w:rsidRPr="00326007">
        <w:rPr>
          <w:rFonts w:ascii="Times New Roman" w:hAnsi="Times New Roman" w:cs="Times New Roman"/>
          <w:sz w:val="22"/>
          <w:szCs w:val="22"/>
        </w:rPr>
        <w:t>, other upper-middle-income countries (Other UMIC)</w:t>
      </w:r>
      <w:r w:rsidR="007008CD">
        <w:rPr>
          <w:rFonts w:ascii="Times New Roman" w:hAnsi="Times New Roman" w:cs="Times New Roman"/>
          <w:sz w:val="22"/>
          <w:szCs w:val="22"/>
        </w:rPr>
        <w:t xml:space="preserve"> </w:t>
      </w:r>
      <w:r w:rsidR="007008CD" w:rsidRPr="00E563F8">
        <w:rPr>
          <w:rFonts w:ascii="Times New Roman" w:hAnsi="Times New Roman" w:cs="Times New Roman"/>
          <w:b/>
          <w:bCs/>
          <w:sz w:val="22"/>
          <w:szCs w:val="22"/>
        </w:rPr>
        <w:t>(</w:t>
      </w:r>
      <w:proofErr w:type="spellStart"/>
      <w:r w:rsidR="007008CD">
        <w:rPr>
          <w:rFonts w:ascii="Times New Roman" w:hAnsi="Times New Roman" w:cs="Times New Roman"/>
          <w:b/>
          <w:bCs/>
          <w:sz w:val="22"/>
          <w:szCs w:val="22"/>
        </w:rPr>
        <w:t>i</w:t>
      </w:r>
      <w:proofErr w:type="spellEnd"/>
      <w:r w:rsidR="007008CD" w:rsidRPr="00E563F8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AE6A47" w:rsidRPr="00326007">
        <w:rPr>
          <w:rFonts w:ascii="Times New Roman" w:hAnsi="Times New Roman" w:cs="Times New Roman"/>
          <w:sz w:val="22"/>
          <w:szCs w:val="22"/>
        </w:rPr>
        <w:t>, and other lower-middle- and low-income countries (Other LMIC)</w:t>
      </w:r>
      <w:r w:rsidR="00C438F4">
        <w:rPr>
          <w:rFonts w:ascii="Times New Roman" w:hAnsi="Times New Roman" w:cs="Times New Roman"/>
          <w:sz w:val="22"/>
          <w:szCs w:val="22"/>
        </w:rPr>
        <w:t xml:space="preserve"> </w:t>
      </w:r>
      <w:r w:rsidR="00C438F4" w:rsidRPr="00E563F8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C438F4">
        <w:rPr>
          <w:rFonts w:ascii="Times New Roman" w:hAnsi="Times New Roman" w:cs="Times New Roman"/>
          <w:b/>
          <w:bCs/>
          <w:sz w:val="22"/>
          <w:szCs w:val="22"/>
        </w:rPr>
        <w:t>j</w:t>
      </w:r>
      <w:r w:rsidR="00C438F4" w:rsidRPr="00E563F8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Pr="00C6266D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. Three equity frameworks are compared, including the </w:t>
      </w:r>
      <w:r>
        <w:rPr>
          <w:rFonts w:ascii="Times New Roman" w:hAnsi="Times New Roman" w:cs="Times New Roman"/>
          <w:color w:val="000000" w:themeColor="text1"/>
          <w:sz w:val="22"/>
          <w:szCs w:val="28"/>
        </w:rPr>
        <w:t>Equal</w:t>
      </w:r>
      <w:r w:rsidRPr="00C6266D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343DF8">
        <w:rPr>
          <w:rFonts w:ascii="Times New Roman" w:hAnsi="Times New Roman" w:cs="Times New Roman"/>
          <w:color w:val="000000" w:themeColor="text1"/>
          <w:sz w:val="22"/>
          <w:szCs w:val="28"/>
        </w:rPr>
        <w:t>Per-capita</w:t>
      </w:r>
      <w:r w:rsidRPr="00C6266D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(orange),</w:t>
      </w:r>
      <w:r w:rsidRPr="00C6266D">
        <w:rPr>
          <w:rFonts w:ascii="Times New Roman" w:hAnsi="Times New Roman" w:cs="Times New Roman" w:hint="eastAsia"/>
          <w:color w:val="000000" w:themeColor="text1"/>
          <w:sz w:val="22"/>
          <w:szCs w:val="28"/>
        </w:rPr>
        <w:t xml:space="preserve"> </w:t>
      </w:r>
      <w:r w:rsidRPr="00C6266D">
        <w:rPr>
          <w:rFonts w:ascii="Times New Roman" w:hAnsi="Times New Roman" w:cs="Times New Roman"/>
          <w:color w:val="000000" w:themeColor="text1"/>
          <w:sz w:val="22"/>
          <w:szCs w:val="28"/>
        </w:rPr>
        <w:t>National Capacity (blue), and Contraction and Convergence (green) principles.</w:t>
      </w:r>
      <w:r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Pr="00826503">
        <w:rPr>
          <w:rFonts w:ascii="Times New Roman" w:hAnsi="Times New Roman" w:cs="Times New Roman"/>
          <w:color w:val="000000" w:themeColor="text1"/>
          <w:sz w:val="22"/>
          <w:szCs w:val="28"/>
        </w:rPr>
        <w:t>Thick dark lines show the median pathway for each starting year, while thin lines show all individual scenarios.</w:t>
      </w:r>
    </w:p>
    <w:p w:rsidR="00815A10" w:rsidRDefault="00815A10" w:rsidP="00815A10">
      <w:pPr>
        <w:spacing w:line="288" w:lineRule="auto"/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</w:pPr>
    </w:p>
    <w:p w:rsidR="00B2066A" w:rsidRPr="00170734" w:rsidRDefault="00B2066A" w:rsidP="00B2066A">
      <w:pPr>
        <w:spacing w:line="288" w:lineRule="auto"/>
        <w:rPr>
          <w:rFonts w:ascii="Times New Roman" w:hAnsi="Times New Roman" w:cs="Times New Roman"/>
          <w:color w:val="000000" w:themeColor="text1"/>
          <w:sz w:val="24"/>
          <w:szCs w:val="32"/>
        </w:rPr>
      </w:pPr>
      <w:r w:rsidRPr="00B17964"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The contraction and convergence principle produces an opposite redistribution after the convergence year. Because allocations </w:t>
      </w:r>
      <w:r w:rsidRPr="00B17964"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transition</w:t>
      </w:r>
      <w:r w:rsidRPr="00B17964"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from the status-quo emissions toward per-capita equality by 2050, the trajectories for today’s high emitters rapidly collapse toward the converged level and remain near-zero thereafter (e.g., the United States stays around −0.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>3</w:t>
      </w:r>
      <w:r w:rsidRPr="00B17964"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Gt CO</w:t>
      </w:r>
      <w:r w:rsidRPr="00B17964">
        <w:rPr>
          <w:rFonts w:ascii="Times New Roman" w:hAnsi="Times New Roman" w:cs="Times New Roman"/>
          <w:color w:val="000000" w:themeColor="text1"/>
          <w:sz w:val="24"/>
          <w:szCs w:val="32"/>
          <w:vertAlign w:val="subscript"/>
        </w:rPr>
        <w:t>2</w:t>
      </w:r>
      <w:r w:rsidRPr="00B17964"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yr⁻¹ by 2100). At the same time, developing economies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>’</w:t>
      </w:r>
      <w:r w:rsidRPr="00B17964"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late-century allowance space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>s are</w:t>
      </w:r>
      <w:r w:rsidRPr="00B17964"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substantially compresse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>d</w:t>
      </w:r>
      <w:r w:rsidRPr="00B17964">
        <w:rPr>
          <w:rFonts w:ascii="Times New Roman" w:hAnsi="Times New Roman" w:cs="Times New Roman"/>
          <w:color w:val="000000" w:themeColor="text1"/>
          <w:sz w:val="24"/>
          <w:szCs w:val="32"/>
        </w:rPr>
        <w:t>. India shifts from a persistently positive allowance under the other principles to a net-negative pathway (about −</w:t>
      </w:r>
      <w:r>
        <w:rPr>
          <w:rFonts w:ascii="Times New Roman" w:hAnsi="Times New Roman" w:cs="Times New Roman"/>
          <w:color w:val="000000" w:themeColor="text1"/>
          <w:sz w:val="24"/>
          <w:szCs w:val="32"/>
        </w:rPr>
        <w:t>1.2</w:t>
      </w:r>
      <w:r w:rsidRPr="00B17964"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Gt CO</w:t>
      </w:r>
      <w:r w:rsidRPr="00B17964">
        <w:rPr>
          <w:rFonts w:ascii="Times New Roman" w:hAnsi="Times New Roman" w:cs="Times New Roman"/>
          <w:color w:val="000000" w:themeColor="text1"/>
          <w:sz w:val="24"/>
          <w:szCs w:val="32"/>
          <w:vertAlign w:val="subscript"/>
        </w:rPr>
        <w:t>2</w:t>
      </w:r>
      <w:r w:rsidRPr="00B17964"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 yr⁻¹ by 2100). China’s </w:t>
      </w:r>
      <w:r w:rsidRPr="00B17964">
        <w:rPr>
          <w:rFonts w:ascii="Times New Roman" w:hAnsi="Times New Roman" w:cs="Times New Roman" w:hint="eastAsia"/>
          <w:color w:val="000000" w:themeColor="text1"/>
          <w:sz w:val="24"/>
          <w:szCs w:val="32"/>
        </w:rPr>
        <w:t>p</w:t>
      </w:r>
      <w:r w:rsidRPr="00B17964">
        <w:rPr>
          <w:rFonts w:ascii="Times New Roman" w:hAnsi="Times New Roman" w:cs="Times New Roman"/>
          <w:color w:val="000000" w:themeColor="text1"/>
          <w:sz w:val="24"/>
          <w:szCs w:val="32"/>
        </w:rPr>
        <w:t xml:space="preserve">rojected allowances are relatively similar across the three </w:t>
      </w:r>
      <w:r w:rsidRPr="00B17964">
        <w:rPr>
          <w:rFonts w:ascii="Times New Roman" w:hAnsi="Times New Roman" w:cs="Times New Roman"/>
          <w:color w:val="000000" w:themeColor="text1"/>
          <w:sz w:val="24"/>
          <w:szCs w:val="32"/>
        </w:rPr>
        <w:lastRenderedPageBreak/>
        <w:t xml:space="preserve">principles. </w:t>
      </w:r>
    </w:p>
    <w:p w:rsidR="00B2066A" w:rsidRPr="00B2066A" w:rsidRDefault="00B2066A" w:rsidP="00815A10">
      <w:pPr>
        <w:spacing w:line="288" w:lineRule="auto"/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</w:pPr>
    </w:p>
    <w:p w:rsidR="00815A10" w:rsidRDefault="00F37FC5" w:rsidP="00815A10">
      <w:pPr>
        <w:spacing w:line="288" w:lineRule="auto"/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2"/>
          <w:szCs w:val="28"/>
        </w:rPr>
        <w:drawing>
          <wp:inline distT="0" distB="0" distL="0" distR="0">
            <wp:extent cx="5270500" cy="3764915"/>
            <wp:effectExtent l="0" t="0" r="0" b="0"/>
            <wp:docPr id="53425828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258285" name="图片 53425828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6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A10" w:rsidRPr="001F0694" w:rsidRDefault="00815A10" w:rsidP="00815A10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</w:pPr>
      <w:r w:rsidRPr="00D00D4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Supplementary Figure </w:t>
      </w:r>
      <w:r w:rsidR="00C72E7F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3</w:t>
      </w:r>
      <w:r w:rsidRPr="00D00D4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. Relationship between temperature overshoot above 1.5°C and cumulative net-negative CO</w:t>
      </w:r>
      <w:r w:rsidRPr="00650B7B">
        <w:rPr>
          <w:rFonts w:ascii="Times New Roman" w:hAnsi="Times New Roman" w:cs="Times New Roman"/>
          <w:b/>
          <w:bCs/>
          <w:color w:val="000000" w:themeColor="text1"/>
          <w:sz w:val="22"/>
          <w:szCs w:val="28"/>
          <w:vertAlign w:val="subscript"/>
        </w:rPr>
        <w:t>2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Pr="00D00D4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requirements under three equity principles. </w:t>
      </w:r>
      <w:r w:rsidRPr="001F0694">
        <w:rPr>
          <w:rFonts w:ascii="Times New Roman" w:hAnsi="Times New Roman" w:cs="Times New Roman"/>
          <w:color w:val="000000" w:themeColor="text1"/>
          <w:sz w:val="22"/>
          <w:szCs w:val="28"/>
        </w:rPr>
        <w:t>Panels show the cumulative net-negative fossil CO</w:t>
      </w:r>
      <w:r w:rsidRPr="001F0694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2</w:t>
      </w:r>
      <w:r w:rsidRPr="001F0694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emissions to 2100 for </w:t>
      </w:r>
      <w:r w:rsidR="0045648A" w:rsidRPr="00327BF1">
        <w:rPr>
          <w:rFonts w:ascii="Times New Roman" w:hAnsi="Times New Roman" w:cs="Times New Roman"/>
          <w:sz w:val="22"/>
          <w:szCs w:val="22"/>
        </w:rPr>
        <w:t>eight regions: USA</w:t>
      </w:r>
      <w:r w:rsidR="00671F02">
        <w:rPr>
          <w:rFonts w:ascii="Times New Roman" w:hAnsi="Times New Roman" w:cs="Times New Roman"/>
          <w:sz w:val="22"/>
          <w:szCs w:val="22"/>
        </w:rPr>
        <w:t xml:space="preserve"> </w:t>
      </w:r>
      <w:r w:rsidR="00671F02" w:rsidRPr="00972351">
        <w:rPr>
          <w:rFonts w:ascii="Times New Roman" w:hAnsi="Times New Roman" w:cs="Times New Roman"/>
          <w:b/>
          <w:bCs/>
          <w:sz w:val="22"/>
          <w:szCs w:val="22"/>
        </w:rPr>
        <w:t>(a)</w:t>
      </w:r>
      <w:r w:rsidR="0045648A" w:rsidRPr="00327BF1">
        <w:rPr>
          <w:rFonts w:ascii="Times New Roman" w:hAnsi="Times New Roman" w:cs="Times New Roman"/>
          <w:sz w:val="22"/>
          <w:szCs w:val="22"/>
        </w:rPr>
        <w:t>, EU27</w:t>
      </w:r>
      <w:r w:rsidR="00972351">
        <w:rPr>
          <w:rFonts w:ascii="Times New Roman" w:hAnsi="Times New Roman" w:cs="Times New Roman"/>
          <w:sz w:val="22"/>
          <w:szCs w:val="22"/>
        </w:rPr>
        <w:t xml:space="preserve"> </w:t>
      </w:r>
      <w:r w:rsidR="00972351" w:rsidRPr="00972351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972351">
        <w:rPr>
          <w:rFonts w:ascii="Times New Roman" w:hAnsi="Times New Roman" w:cs="Times New Roman"/>
          <w:b/>
          <w:bCs/>
          <w:sz w:val="22"/>
          <w:szCs w:val="22"/>
        </w:rPr>
        <w:t>b</w:t>
      </w:r>
      <w:r w:rsidR="00972351" w:rsidRPr="00972351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45648A" w:rsidRPr="00327BF1">
        <w:rPr>
          <w:rFonts w:ascii="Times New Roman" w:hAnsi="Times New Roman" w:cs="Times New Roman"/>
          <w:sz w:val="22"/>
          <w:szCs w:val="22"/>
        </w:rPr>
        <w:t>, Russia</w:t>
      </w:r>
      <w:r w:rsidR="009152C1">
        <w:rPr>
          <w:rFonts w:ascii="Times New Roman" w:hAnsi="Times New Roman" w:cs="Times New Roman"/>
          <w:sz w:val="22"/>
          <w:szCs w:val="22"/>
        </w:rPr>
        <w:t xml:space="preserve"> </w:t>
      </w:r>
      <w:r w:rsidR="009152C1" w:rsidRPr="00972351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9152C1">
        <w:rPr>
          <w:rFonts w:ascii="Times New Roman" w:hAnsi="Times New Roman" w:cs="Times New Roman"/>
          <w:b/>
          <w:bCs/>
          <w:sz w:val="22"/>
          <w:szCs w:val="22"/>
        </w:rPr>
        <w:t>c</w:t>
      </w:r>
      <w:r w:rsidR="009152C1" w:rsidRPr="00972351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45648A" w:rsidRPr="00327BF1">
        <w:rPr>
          <w:rFonts w:ascii="Times New Roman" w:hAnsi="Times New Roman" w:cs="Times New Roman"/>
          <w:sz w:val="22"/>
          <w:szCs w:val="22"/>
        </w:rPr>
        <w:t>, Other OECD</w:t>
      </w:r>
      <w:r w:rsidR="00F659AC">
        <w:rPr>
          <w:rFonts w:ascii="Times New Roman" w:hAnsi="Times New Roman" w:cs="Times New Roman"/>
          <w:sz w:val="22"/>
          <w:szCs w:val="22"/>
        </w:rPr>
        <w:t xml:space="preserve"> </w:t>
      </w:r>
      <w:r w:rsidR="00F659AC" w:rsidRPr="00972351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F659AC">
        <w:rPr>
          <w:rFonts w:ascii="Times New Roman" w:hAnsi="Times New Roman" w:cs="Times New Roman"/>
          <w:b/>
          <w:bCs/>
          <w:sz w:val="22"/>
          <w:szCs w:val="22"/>
        </w:rPr>
        <w:t>d</w:t>
      </w:r>
      <w:r w:rsidR="00F659AC" w:rsidRPr="00972351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45648A" w:rsidRPr="00327BF1">
        <w:rPr>
          <w:rFonts w:ascii="Times New Roman" w:hAnsi="Times New Roman" w:cs="Times New Roman"/>
          <w:sz w:val="22"/>
          <w:szCs w:val="22"/>
        </w:rPr>
        <w:t>, GCC</w:t>
      </w:r>
      <w:r w:rsidR="0058060C">
        <w:rPr>
          <w:rFonts w:ascii="Times New Roman" w:hAnsi="Times New Roman" w:cs="Times New Roman"/>
          <w:sz w:val="22"/>
          <w:szCs w:val="22"/>
        </w:rPr>
        <w:t xml:space="preserve"> </w:t>
      </w:r>
      <w:r w:rsidR="0058060C" w:rsidRPr="00972351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58060C">
        <w:rPr>
          <w:rFonts w:ascii="Times New Roman" w:hAnsi="Times New Roman" w:cs="Times New Roman"/>
          <w:b/>
          <w:bCs/>
          <w:sz w:val="22"/>
          <w:szCs w:val="22"/>
        </w:rPr>
        <w:t>e</w:t>
      </w:r>
      <w:r w:rsidR="0058060C" w:rsidRPr="00972351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45648A" w:rsidRPr="00327BF1">
        <w:rPr>
          <w:rFonts w:ascii="Times New Roman" w:hAnsi="Times New Roman" w:cs="Times New Roman"/>
          <w:sz w:val="22"/>
          <w:szCs w:val="22"/>
        </w:rPr>
        <w:t>, China</w:t>
      </w:r>
      <w:r w:rsidR="00AA7BD9">
        <w:rPr>
          <w:rFonts w:ascii="Times New Roman" w:hAnsi="Times New Roman" w:cs="Times New Roman"/>
          <w:sz w:val="22"/>
          <w:szCs w:val="22"/>
        </w:rPr>
        <w:t xml:space="preserve"> </w:t>
      </w:r>
      <w:r w:rsidR="00AA7BD9" w:rsidRPr="00972351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AA7BD9">
        <w:rPr>
          <w:rFonts w:ascii="Times New Roman" w:hAnsi="Times New Roman" w:cs="Times New Roman"/>
          <w:b/>
          <w:bCs/>
          <w:sz w:val="22"/>
          <w:szCs w:val="22"/>
        </w:rPr>
        <w:t>f</w:t>
      </w:r>
      <w:r w:rsidR="00AA7BD9" w:rsidRPr="00972351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45648A" w:rsidRPr="00327BF1">
        <w:rPr>
          <w:rFonts w:ascii="Times New Roman" w:hAnsi="Times New Roman" w:cs="Times New Roman"/>
          <w:sz w:val="22"/>
          <w:szCs w:val="22"/>
        </w:rPr>
        <w:t>, South Africa</w:t>
      </w:r>
      <w:r w:rsidR="00836383">
        <w:rPr>
          <w:rFonts w:ascii="Times New Roman" w:hAnsi="Times New Roman" w:cs="Times New Roman"/>
          <w:sz w:val="22"/>
          <w:szCs w:val="22"/>
        </w:rPr>
        <w:t xml:space="preserve"> </w:t>
      </w:r>
      <w:r w:rsidR="00836383" w:rsidRPr="00972351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836383">
        <w:rPr>
          <w:rFonts w:ascii="Times New Roman" w:hAnsi="Times New Roman" w:cs="Times New Roman"/>
          <w:b/>
          <w:bCs/>
          <w:sz w:val="22"/>
          <w:szCs w:val="22"/>
        </w:rPr>
        <w:t>g</w:t>
      </w:r>
      <w:r w:rsidR="00836383" w:rsidRPr="00972351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45648A" w:rsidRPr="00327BF1">
        <w:rPr>
          <w:rFonts w:ascii="Times New Roman" w:hAnsi="Times New Roman" w:cs="Times New Roman"/>
          <w:sz w:val="22"/>
          <w:szCs w:val="22"/>
        </w:rPr>
        <w:t>, and Other UMIC</w:t>
      </w:r>
      <w:r w:rsidR="0045648A">
        <w:rPr>
          <w:rFonts w:ascii="Times New Roman" w:hAnsi="Times New Roman" w:cs="Times New Roman"/>
          <w:sz w:val="22"/>
          <w:szCs w:val="22"/>
        </w:rPr>
        <w:t xml:space="preserve"> </w:t>
      </w:r>
      <w:r w:rsidR="00595591" w:rsidRPr="00972351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595591">
        <w:rPr>
          <w:rFonts w:ascii="Times New Roman" w:hAnsi="Times New Roman" w:cs="Times New Roman"/>
          <w:b/>
          <w:bCs/>
          <w:sz w:val="22"/>
          <w:szCs w:val="22"/>
        </w:rPr>
        <w:t>h</w:t>
      </w:r>
      <w:r w:rsidR="00595591" w:rsidRPr="00972351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595591">
        <w:rPr>
          <w:rFonts w:ascii="Times New Roman" w:hAnsi="Times New Roman" w:cs="Times New Roman"/>
          <w:sz w:val="22"/>
          <w:szCs w:val="22"/>
        </w:rPr>
        <w:t xml:space="preserve"> </w:t>
      </w:r>
      <w:r w:rsidR="0045648A">
        <w:rPr>
          <w:rFonts w:ascii="Times New Roman" w:hAnsi="Times New Roman" w:cs="Times New Roman"/>
          <w:sz w:val="22"/>
          <w:szCs w:val="22"/>
        </w:rPr>
        <w:t>(</w:t>
      </w:r>
      <w:r w:rsidR="0045648A" w:rsidRPr="00327BF1">
        <w:rPr>
          <w:rFonts w:ascii="Times New Roman" w:hAnsi="Times New Roman" w:cs="Times New Roman"/>
          <w:sz w:val="22"/>
          <w:szCs w:val="22"/>
        </w:rPr>
        <w:t>South Africa is shown separately in place of the broader Sub-Saharan Africa group because it is the dominant net-negative emitter within that region</w:t>
      </w:r>
      <w:r w:rsidR="0045648A">
        <w:rPr>
          <w:rFonts w:ascii="Times New Roman" w:hAnsi="Times New Roman" w:cs="Times New Roman"/>
          <w:sz w:val="22"/>
          <w:szCs w:val="22"/>
        </w:rPr>
        <w:t>)</w:t>
      </w:r>
      <w:r w:rsidRPr="001F0694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. Colors denote the three equity principles: Equal </w:t>
      </w:r>
      <w:r w:rsidR="00343DF8">
        <w:rPr>
          <w:rFonts w:ascii="Times New Roman" w:hAnsi="Times New Roman" w:cs="Times New Roman"/>
          <w:color w:val="000000" w:themeColor="text1"/>
          <w:sz w:val="22"/>
          <w:szCs w:val="28"/>
        </w:rPr>
        <w:t>per-capita</w:t>
      </w:r>
      <w:r w:rsidRPr="001F0694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(orange), National capacity (blue), and Contraction and convergence (green). Each point represents one </w:t>
      </w:r>
      <w:r w:rsidR="0023627F">
        <w:rPr>
          <w:rFonts w:ascii="Times New Roman" w:hAnsi="Times New Roman" w:cs="Times New Roman"/>
          <w:color w:val="000000" w:themeColor="text1"/>
          <w:sz w:val="22"/>
          <w:szCs w:val="28"/>
        </w:rPr>
        <w:t>1.5°C-consistent</w:t>
      </w:r>
      <w:r w:rsidRPr="001F0694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pathway</w:t>
      </w:r>
      <w:r>
        <w:rPr>
          <w:rFonts w:ascii="Times New Roman" w:hAnsi="Times New Roman" w:cs="Times New Roman"/>
          <w:color w:val="000000" w:themeColor="text1"/>
          <w:sz w:val="22"/>
          <w:szCs w:val="28"/>
        </w:rPr>
        <w:t>, and</w:t>
      </w:r>
      <w:r w:rsidRPr="001F0694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2"/>
          <w:szCs w:val="28"/>
        </w:rPr>
        <w:t>i</w:t>
      </w:r>
      <w:r w:rsidRPr="001F0694">
        <w:rPr>
          <w:rFonts w:ascii="Times New Roman" w:hAnsi="Times New Roman" w:cs="Times New Roman"/>
          <w:color w:val="000000" w:themeColor="text1"/>
          <w:sz w:val="22"/>
          <w:szCs w:val="28"/>
        </w:rPr>
        <w:t>nsets report the fitted linear relationship for each principle</w:t>
      </w:r>
      <w:r w:rsidR="00C46C25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C46C25">
        <w:rPr>
          <w:rFonts w:ascii="Times New Roman" w:hAnsi="Times New Roman" w:cs="Times New Roman" w:hint="eastAsia"/>
          <w:color w:val="000000" w:themeColor="text1"/>
          <w:sz w:val="22"/>
          <w:szCs w:val="28"/>
        </w:rPr>
        <w:t>and</w:t>
      </w:r>
      <w:r w:rsidR="00C46C25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C46C25" w:rsidRPr="00C46C25">
        <w:rPr>
          <w:rFonts w:ascii="Times New Roman" w:hAnsi="Times New Roman" w:cs="Times New Roman"/>
          <w:color w:val="000000" w:themeColor="text1"/>
          <w:sz w:val="22"/>
          <w:szCs w:val="28"/>
        </w:rPr>
        <w:t>the probability density distribution of the first net-negative emission year</w:t>
      </w:r>
      <w:r w:rsidRPr="001F0694">
        <w:rPr>
          <w:rFonts w:ascii="Times New Roman" w:hAnsi="Times New Roman" w:cs="Times New Roman"/>
          <w:color w:val="000000" w:themeColor="text1"/>
          <w:sz w:val="22"/>
          <w:szCs w:val="28"/>
        </w:rPr>
        <w:t>.</w:t>
      </w:r>
    </w:p>
    <w:p w:rsidR="0088772F" w:rsidRDefault="0088772F" w:rsidP="00854E2B">
      <w:pPr>
        <w:widowControl/>
        <w:spacing w:line="288" w:lineRule="auto"/>
        <w:rPr>
          <w:rFonts w:ascii="Times New Roman" w:eastAsia="宋体" w:hAnsi="Times New Roman" w:cs="Times New Roman"/>
          <w:color w:val="000000" w:themeColor="text1"/>
          <w:kern w:val="0"/>
          <w:sz w:val="24"/>
        </w:rPr>
      </w:pPr>
    </w:p>
    <w:p w:rsidR="00FD093A" w:rsidRPr="00FD093A" w:rsidRDefault="00FD093A" w:rsidP="00FD093A">
      <w:pPr>
        <w:widowControl/>
        <w:spacing w:line="288" w:lineRule="auto"/>
        <w:rPr>
          <w:rFonts w:ascii="Times New Roman" w:eastAsia="宋体" w:hAnsi="Times New Roman" w:cs="Times New Roman"/>
          <w:color w:val="000000" w:themeColor="text1"/>
          <w:kern w:val="0"/>
          <w:sz w:val="24"/>
        </w:rPr>
      </w:pP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National pathways are also highly sensitive to the historical responsibility starting year (Supplementary Figures </w:t>
      </w:r>
      <w:r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4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–</w:t>
      </w:r>
      <w:r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5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)</w:t>
      </w:r>
      <w:r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</w:t>
      </w:r>
      <w:r w:rsidR="008F7EC7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fldChar w:fldCharType="begin">
          <w:fldData xml:space="preserve">PEVuZE5vdGU+PENpdGU+PEF1dGhvcj5IYWhuPC9BdXRob3I+PFllYXI+MjAyNDwvWWVhcj48UmVj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</w:fldData>
        </w:fldChar>
      </w:r>
      <w:r w:rsidR="001C30A7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instrText xml:space="preserve"> ADDIN EN.CITE </w:instrText>
      </w:r>
      <w:r w:rsidR="001C30A7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fldChar w:fldCharType="begin">
          <w:fldData xml:space="preserve">PEVuZE5vdGU+PENpdGU+PEF1dGhvcj5IYWhuPC9BdXRob3I+PFllYXI+MjAyNDwvWWVhcj48UmVj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</w:fldData>
        </w:fldChar>
      </w:r>
      <w:r w:rsidR="001C30A7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instrText xml:space="preserve"> ADDIN EN.CITE.DATA </w:instrText>
      </w:r>
      <w:r w:rsidR="001C30A7">
        <w:rPr>
          <w:rFonts w:ascii="Times New Roman" w:eastAsia="宋体" w:hAnsi="Times New Roman" w:cs="Times New Roman"/>
          <w:color w:val="000000" w:themeColor="text1"/>
          <w:kern w:val="0"/>
          <w:sz w:val="24"/>
        </w:rPr>
      </w:r>
      <w:r w:rsidR="001C30A7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fldChar w:fldCharType="end"/>
      </w:r>
      <w:r w:rsidR="008F7EC7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fldChar w:fldCharType="separate"/>
      </w:r>
      <w:r w:rsidR="001C30A7" w:rsidRPr="001C30A7">
        <w:rPr>
          <w:rFonts w:ascii="Times New Roman" w:eastAsia="宋体" w:hAnsi="Times New Roman" w:cs="Times New Roman"/>
          <w:noProof/>
          <w:color w:val="000000" w:themeColor="text1"/>
          <w:kern w:val="0"/>
          <w:sz w:val="24"/>
          <w:vertAlign w:val="superscript"/>
        </w:rPr>
        <w:t>7-9</w:t>
      </w:r>
      <w:r w:rsidR="008F7EC7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fldChar w:fldCharType="end"/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. </w:t>
      </w:r>
      <w:r w:rsidR="00E935A4">
        <w:rPr>
          <w:rFonts w:ascii="Times New Roman" w:eastAsia="宋体" w:hAnsi="Times New Roman" w:cs="Times New Roman" w:hint="eastAsia"/>
          <w:color w:val="000000" w:themeColor="text1"/>
          <w:kern w:val="0"/>
          <w:sz w:val="24"/>
        </w:rPr>
        <w:t>T</w:t>
      </w:r>
      <w:r w:rsidR="00E935A4" w:rsidRPr="00E935A4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his sensitivity is implemented by recalculating cumulative warming contributions from alternative baseline years (1950, 1970, or 1992) onward, while keeping the same global temperature constraint and pathway ensemble.</w:t>
      </w:r>
      <w:r w:rsidR="000E3579">
        <w:rPr>
          <w:rFonts w:ascii="Times New Roman" w:eastAsia="宋体" w:hAnsi="Times New Roman" w:cs="Times New Roman" w:hint="eastAsia"/>
          <w:color w:val="000000" w:themeColor="text1"/>
          <w:kern w:val="0"/>
          <w:sz w:val="24"/>
        </w:rPr>
        <w:t xml:space="preserve"> 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Earlier starting years place greater weight on long-run industrial emissions and therefore imply earlier and deeper net-negative pathways for long-industrialized economies. For the United States, the median 2100 fossil CO</w:t>
      </w:r>
      <w:r w:rsidR="00992395" w:rsidRPr="00992395">
        <w:rPr>
          <w:rFonts w:ascii="Times New Roman" w:eastAsia="宋体" w:hAnsi="Times New Roman" w:cs="Times New Roman"/>
          <w:color w:val="000000" w:themeColor="text1"/>
          <w:kern w:val="0"/>
          <w:sz w:val="24"/>
          <w:vertAlign w:val="subscript"/>
        </w:rPr>
        <w:t>2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level shifts from –6.3 Gt 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lastRenderedPageBreak/>
        <w:t>CO</w:t>
      </w:r>
      <w:r w:rsidR="00992395" w:rsidRPr="00992395">
        <w:rPr>
          <w:rFonts w:ascii="Times New Roman" w:eastAsia="宋体" w:hAnsi="Times New Roman" w:cs="Times New Roman"/>
          <w:color w:val="000000" w:themeColor="text1"/>
          <w:kern w:val="0"/>
          <w:sz w:val="24"/>
          <w:vertAlign w:val="subscript"/>
        </w:rPr>
        <w:t>2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yr⁻¹ under a 1950 baseline to –5.3 under 1970 and –3.8 under 1992, while the median first net-negative year moves from 2036 to 2037 and then 2040. </w:t>
      </w:r>
      <w:r w:rsidR="00A60891" w:rsidRPr="00A60891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The same pattern holds for the </w:t>
      </w:r>
      <w:r w:rsidR="00AD360A" w:rsidRPr="00AD360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European Union</w:t>
      </w:r>
      <w:r w:rsidR="00A60891" w:rsidRPr="00A60891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, with its median 2100 level becoming progressively shallower from –</w:t>
      </w:r>
      <w:r w:rsidR="005022E7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2</w:t>
      </w:r>
      <w:r w:rsidR="00A60891" w:rsidRPr="00A60891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.</w:t>
      </w:r>
      <w:r w:rsidR="005022E7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7</w:t>
      </w:r>
      <w:r w:rsidR="00A60891" w:rsidRPr="00A60891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to –</w:t>
      </w:r>
      <w:r w:rsidR="00331260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2</w:t>
      </w:r>
      <w:r w:rsidR="00A60891" w:rsidRPr="00A60891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.</w:t>
      </w:r>
      <w:r w:rsidR="00331260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2</w:t>
      </w:r>
      <w:r w:rsidR="00A60891" w:rsidRPr="00A60891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to –</w:t>
      </w:r>
      <w:r w:rsidR="00331260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1</w:t>
      </w:r>
      <w:r w:rsidR="00A60891" w:rsidRPr="00A60891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.</w:t>
      </w:r>
      <w:r w:rsidR="00331260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3</w:t>
      </w:r>
      <w:r w:rsidR="00A60891" w:rsidRPr="00A60891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Gt CO</w:t>
      </w:r>
      <w:r w:rsidR="00A60891" w:rsidRPr="00D01DD2">
        <w:rPr>
          <w:rFonts w:ascii="Times New Roman" w:eastAsia="宋体" w:hAnsi="Times New Roman" w:cs="Times New Roman"/>
          <w:color w:val="000000" w:themeColor="text1"/>
          <w:kern w:val="0"/>
          <w:sz w:val="24"/>
          <w:vertAlign w:val="subscript"/>
        </w:rPr>
        <w:t>2</w:t>
      </w:r>
      <w:r w:rsidR="00A60891" w:rsidRPr="00A60891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yr⁻¹, and for Russia, where the corresponding value changes from –2.2 to –2.0 to –1.4, with net-negative entry delayed from 2039 to 2040 and then 2044.</w:t>
      </w:r>
    </w:p>
    <w:p w:rsidR="00FD093A" w:rsidRDefault="00FD093A" w:rsidP="00FD093A">
      <w:pPr>
        <w:widowControl/>
        <w:spacing w:line="288" w:lineRule="auto"/>
        <w:rPr>
          <w:rFonts w:ascii="Times New Roman" w:eastAsia="宋体" w:hAnsi="Times New Roman" w:cs="Times New Roman"/>
          <w:color w:val="000000" w:themeColor="text1"/>
          <w:kern w:val="0"/>
          <w:sz w:val="24"/>
        </w:rPr>
      </w:pPr>
    </w:p>
    <w:p w:rsidR="00397FBE" w:rsidRDefault="00C83E18" w:rsidP="00397FBE">
      <w:pPr>
        <w:spacing w:line="288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noProof/>
          <w:sz w:val="24"/>
          <w:szCs w:val="32"/>
        </w:rPr>
        <w:drawing>
          <wp:inline distT="0" distB="0" distL="0" distR="0">
            <wp:extent cx="5270500" cy="3952875"/>
            <wp:effectExtent l="0" t="0" r="0" b="0"/>
            <wp:docPr id="71954344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543444" name="图片 71954344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FBE" w:rsidRPr="001851C1" w:rsidRDefault="00397FBE" w:rsidP="00397FBE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</w:pPr>
      <w:r w:rsidRPr="00EC6C9D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4</w:t>
      </w:r>
      <w:r w:rsidRPr="00E17114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.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Pr="000705C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Comparison of </w:t>
      </w:r>
      <w:r w:rsidR="00F73E57" w:rsidRPr="00F73E57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fair-share-corrected</w:t>
      </w:r>
      <w:r w:rsidRPr="000705C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CO</w:t>
      </w:r>
      <w:r w:rsidRPr="00437B3E">
        <w:rPr>
          <w:rFonts w:ascii="Times New Roman" w:hAnsi="Times New Roman" w:cs="Times New Roman"/>
          <w:b/>
          <w:bCs/>
          <w:color w:val="000000" w:themeColor="text1"/>
          <w:sz w:val="22"/>
          <w:szCs w:val="28"/>
          <w:vertAlign w:val="subscript"/>
        </w:rPr>
        <w:t>2</w:t>
      </w:r>
      <w:r w:rsidRPr="000705C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emission pathways under different historical responsibility starting years for representative countries. </w:t>
      </w:r>
      <w:r w:rsidRPr="00F23596">
        <w:rPr>
          <w:rFonts w:ascii="Times New Roman" w:hAnsi="Times New Roman" w:cs="Times New Roman"/>
          <w:color w:val="000000" w:themeColor="text1"/>
          <w:sz w:val="22"/>
          <w:szCs w:val="28"/>
        </w:rPr>
        <w:t>The panels show historical and projected fossil CO</w:t>
      </w:r>
      <w:r w:rsidR="00FE4678" w:rsidRPr="00FE4678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2</w:t>
      </w:r>
      <w:r w:rsidRPr="00F23596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emission pathways from 1950 to 2100 for </w:t>
      </w:r>
      <w:r w:rsidR="000663F3" w:rsidRPr="00AC782A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the </w:t>
      </w:r>
      <w:r w:rsidR="000663F3" w:rsidRPr="00326007">
        <w:rPr>
          <w:rFonts w:ascii="Times New Roman" w:hAnsi="Times New Roman" w:cs="Times New Roman"/>
          <w:sz w:val="22"/>
          <w:szCs w:val="22"/>
        </w:rPr>
        <w:t>USA</w:t>
      </w:r>
      <w:r w:rsidR="004F3954">
        <w:rPr>
          <w:rFonts w:ascii="Times New Roman" w:hAnsi="Times New Roman" w:cs="Times New Roman"/>
          <w:sz w:val="22"/>
          <w:szCs w:val="22"/>
        </w:rPr>
        <w:t xml:space="preserve"> </w:t>
      </w:r>
      <w:r w:rsidR="004F3954" w:rsidRPr="00AD3E55">
        <w:rPr>
          <w:rFonts w:ascii="Times New Roman" w:hAnsi="Times New Roman" w:cs="Times New Roman"/>
          <w:b/>
          <w:bCs/>
          <w:sz w:val="22"/>
          <w:szCs w:val="22"/>
        </w:rPr>
        <w:t>(a)</w:t>
      </w:r>
      <w:r w:rsidR="000663F3" w:rsidRPr="00326007">
        <w:rPr>
          <w:rFonts w:ascii="Times New Roman" w:hAnsi="Times New Roman" w:cs="Times New Roman"/>
          <w:sz w:val="22"/>
          <w:szCs w:val="22"/>
        </w:rPr>
        <w:t>, EU27</w:t>
      </w:r>
      <w:r w:rsidR="00AD3E55">
        <w:rPr>
          <w:rFonts w:ascii="Times New Roman" w:hAnsi="Times New Roman" w:cs="Times New Roman"/>
          <w:sz w:val="22"/>
          <w:szCs w:val="22"/>
        </w:rPr>
        <w:t xml:space="preserve"> </w:t>
      </w:r>
      <w:r w:rsidR="00AD3E55" w:rsidRPr="00AD3E55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AD3E55">
        <w:rPr>
          <w:rFonts w:ascii="Times New Roman" w:hAnsi="Times New Roman" w:cs="Times New Roman"/>
          <w:b/>
          <w:bCs/>
          <w:sz w:val="22"/>
          <w:szCs w:val="22"/>
        </w:rPr>
        <w:t>b</w:t>
      </w:r>
      <w:r w:rsidR="00AD3E55" w:rsidRPr="00AD3E55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0663F3" w:rsidRPr="00326007">
        <w:rPr>
          <w:rFonts w:ascii="Times New Roman" w:hAnsi="Times New Roman" w:cs="Times New Roman"/>
          <w:sz w:val="22"/>
          <w:szCs w:val="22"/>
        </w:rPr>
        <w:t>, Russia</w:t>
      </w:r>
      <w:r w:rsidR="0018417D">
        <w:rPr>
          <w:rFonts w:ascii="Times New Roman" w:hAnsi="Times New Roman" w:cs="Times New Roman"/>
          <w:sz w:val="22"/>
          <w:szCs w:val="22"/>
        </w:rPr>
        <w:t xml:space="preserve"> </w:t>
      </w:r>
      <w:r w:rsidR="0018417D" w:rsidRPr="00AD3E55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18417D">
        <w:rPr>
          <w:rFonts w:ascii="Times New Roman" w:hAnsi="Times New Roman" w:cs="Times New Roman"/>
          <w:b/>
          <w:bCs/>
          <w:sz w:val="22"/>
          <w:szCs w:val="22"/>
        </w:rPr>
        <w:t>c</w:t>
      </w:r>
      <w:r w:rsidR="0018417D" w:rsidRPr="00AD3E55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0663F3" w:rsidRPr="00326007">
        <w:rPr>
          <w:rFonts w:ascii="Times New Roman" w:hAnsi="Times New Roman" w:cs="Times New Roman"/>
          <w:sz w:val="22"/>
          <w:szCs w:val="22"/>
        </w:rPr>
        <w:t>, Other OECD</w:t>
      </w:r>
      <w:r w:rsidR="00556A24">
        <w:rPr>
          <w:rFonts w:ascii="Times New Roman" w:hAnsi="Times New Roman" w:cs="Times New Roman"/>
          <w:sz w:val="22"/>
          <w:szCs w:val="22"/>
        </w:rPr>
        <w:t xml:space="preserve"> </w:t>
      </w:r>
      <w:r w:rsidR="00556A24" w:rsidRPr="00AD3E55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556A24">
        <w:rPr>
          <w:rFonts w:ascii="Times New Roman" w:hAnsi="Times New Roman" w:cs="Times New Roman"/>
          <w:b/>
          <w:bCs/>
          <w:sz w:val="22"/>
          <w:szCs w:val="22"/>
        </w:rPr>
        <w:t>d</w:t>
      </w:r>
      <w:r w:rsidR="00556A24" w:rsidRPr="00AD3E55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0663F3" w:rsidRPr="00326007">
        <w:rPr>
          <w:rFonts w:ascii="Times New Roman" w:hAnsi="Times New Roman" w:cs="Times New Roman"/>
          <w:sz w:val="22"/>
          <w:szCs w:val="22"/>
        </w:rPr>
        <w:t>, GCC</w:t>
      </w:r>
      <w:r w:rsidR="004E4D78">
        <w:rPr>
          <w:rFonts w:ascii="Times New Roman" w:hAnsi="Times New Roman" w:cs="Times New Roman"/>
          <w:sz w:val="22"/>
          <w:szCs w:val="22"/>
        </w:rPr>
        <w:t xml:space="preserve"> </w:t>
      </w:r>
      <w:r w:rsidR="004E4D78" w:rsidRPr="00AD3E55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4E4D78">
        <w:rPr>
          <w:rFonts w:ascii="Times New Roman" w:hAnsi="Times New Roman" w:cs="Times New Roman"/>
          <w:b/>
          <w:bCs/>
          <w:sz w:val="22"/>
          <w:szCs w:val="22"/>
        </w:rPr>
        <w:t>e</w:t>
      </w:r>
      <w:r w:rsidR="004E4D78" w:rsidRPr="00AD3E55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0663F3" w:rsidRPr="00326007">
        <w:rPr>
          <w:rFonts w:ascii="Times New Roman" w:hAnsi="Times New Roman" w:cs="Times New Roman"/>
          <w:sz w:val="22"/>
          <w:szCs w:val="22"/>
        </w:rPr>
        <w:t>, China</w:t>
      </w:r>
      <w:r w:rsidR="004E4D78">
        <w:rPr>
          <w:rFonts w:ascii="Times New Roman" w:hAnsi="Times New Roman" w:cs="Times New Roman"/>
          <w:sz w:val="22"/>
          <w:szCs w:val="22"/>
        </w:rPr>
        <w:t xml:space="preserve"> </w:t>
      </w:r>
      <w:r w:rsidR="004E4D78" w:rsidRPr="00AD3E55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4E4D78">
        <w:rPr>
          <w:rFonts w:ascii="Times New Roman" w:hAnsi="Times New Roman" w:cs="Times New Roman"/>
          <w:b/>
          <w:bCs/>
          <w:sz w:val="22"/>
          <w:szCs w:val="22"/>
        </w:rPr>
        <w:t>f</w:t>
      </w:r>
      <w:r w:rsidR="004E4D78" w:rsidRPr="00AD3E55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0663F3" w:rsidRPr="00326007">
        <w:rPr>
          <w:rFonts w:ascii="Times New Roman" w:hAnsi="Times New Roman" w:cs="Times New Roman"/>
          <w:sz w:val="22"/>
          <w:szCs w:val="22"/>
        </w:rPr>
        <w:t>, India</w:t>
      </w:r>
      <w:r w:rsidR="00306664">
        <w:rPr>
          <w:rFonts w:ascii="Times New Roman" w:hAnsi="Times New Roman" w:cs="Times New Roman"/>
          <w:sz w:val="22"/>
          <w:szCs w:val="22"/>
        </w:rPr>
        <w:t xml:space="preserve"> </w:t>
      </w:r>
      <w:r w:rsidR="00306664" w:rsidRPr="00AD3E55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306664">
        <w:rPr>
          <w:rFonts w:ascii="Times New Roman" w:hAnsi="Times New Roman" w:cs="Times New Roman"/>
          <w:b/>
          <w:bCs/>
          <w:sz w:val="22"/>
          <w:szCs w:val="22"/>
        </w:rPr>
        <w:t>g</w:t>
      </w:r>
      <w:r w:rsidR="00306664" w:rsidRPr="00AD3E55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0663F3" w:rsidRPr="00326007">
        <w:rPr>
          <w:rFonts w:ascii="Times New Roman" w:hAnsi="Times New Roman" w:cs="Times New Roman"/>
          <w:sz w:val="22"/>
          <w:szCs w:val="22"/>
        </w:rPr>
        <w:t>, SSA</w:t>
      </w:r>
      <w:r w:rsidR="007310D9">
        <w:rPr>
          <w:rFonts w:ascii="Times New Roman" w:hAnsi="Times New Roman" w:cs="Times New Roman"/>
          <w:sz w:val="22"/>
          <w:szCs w:val="22"/>
        </w:rPr>
        <w:t xml:space="preserve"> </w:t>
      </w:r>
      <w:r w:rsidR="007310D9" w:rsidRPr="00AD3E55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7310D9">
        <w:rPr>
          <w:rFonts w:ascii="Times New Roman" w:hAnsi="Times New Roman" w:cs="Times New Roman"/>
          <w:b/>
          <w:bCs/>
          <w:sz w:val="22"/>
          <w:szCs w:val="22"/>
        </w:rPr>
        <w:t>h</w:t>
      </w:r>
      <w:r w:rsidR="007310D9" w:rsidRPr="00AD3E55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0663F3" w:rsidRPr="00326007">
        <w:rPr>
          <w:rFonts w:ascii="Times New Roman" w:hAnsi="Times New Roman" w:cs="Times New Roman"/>
          <w:sz w:val="22"/>
          <w:szCs w:val="22"/>
        </w:rPr>
        <w:t>, Other UMIC</w:t>
      </w:r>
      <w:r w:rsidR="00C26CDA">
        <w:rPr>
          <w:rFonts w:ascii="Times New Roman" w:hAnsi="Times New Roman" w:cs="Times New Roman"/>
          <w:sz w:val="22"/>
          <w:szCs w:val="22"/>
        </w:rPr>
        <w:t xml:space="preserve"> </w:t>
      </w:r>
      <w:r w:rsidR="00C26CDA" w:rsidRPr="00AD3E55">
        <w:rPr>
          <w:rFonts w:ascii="Times New Roman" w:hAnsi="Times New Roman" w:cs="Times New Roman"/>
          <w:b/>
          <w:bCs/>
          <w:sz w:val="22"/>
          <w:szCs w:val="22"/>
        </w:rPr>
        <w:t>(</w:t>
      </w:r>
      <w:proofErr w:type="spellStart"/>
      <w:r w:rsidR="00C26CDA">
        <w:rPr>
          <w:rFonts w:ascii="Times New Roman" w:hAnsi="Times New Roman" w:cs="Times New Roman"/>
          <w:b/>
          <w:bCs/>
          <w:sz w:val="22"/>
          <w:szCs w:val="22"/>
        </w:rPr>
        <w:t>i</w:t>
      </w:r>
      <w:proofErr w:type="spellEnd"/>
      <w:r w:rsidR="00C26CDA" w:rsidRPr="00AD3E55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0663F3" w:rsidRPr="00326007">
        <w:rPr>
          <w:rFonts w:ascii="Times New Roman" w:hAnsi="Times New Roman" w:cs="Times New Roman"/>
          <w:sz w:val="22"/>
          <w:szCs w:val="22"/>
        </w:rPr>
        <w:t>, Other LMIC</w:t>
      </w:r>
      <w:r w:rsidR="007D58FB">
        <w:rPr>
          <w:rFonts w:ascii="Times New Roman" w:hAnsi="Times New Roman" w:cs="Times New Roman"/>
          <w:sz w:val="22"/>
          <w:szCs w:val="22"/>
        </w:rPr>
        <w:t xml:space="preserve"> </w:t>
      </w:r>
      <w:r w:rsidR="007D58FB" w:rsidRPr="00AD3E55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7D58FB">
        <w:rPr>
          <w:rFonts w:ascii="Times New Roman" w:hAnsi="Times New Roman" w:cs="Times New Roman"/>
          <w:b/>
          <w:bCs/>
          <w:sz w:val="22"/>
          <w:szCs w:val="22"/>
        </w:rPr>
        <w:t>j</w:t>
      </w:r>
      <w:r w:rsidR="007D58FB" w:rsidRPr="00AD3E55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Pr="00F23596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. Colors denote the three historical responsibility starting years used in the allocation framework: 1950 (orange), 1970 (blue), and 1992 (brown). </w:t>
      </w:r>
      <w:r w:rsidRPr="000F097B">
        <w:rPr>
          <w:rFonts w:ascii="Times New Roman" w:hAnsi="Times New Roman" w:cs="Times New Roman"/>
          <w:color w:val="000000" w:themeColor="text1"/>
          <w:sz w:val="22"/>
          <w:szCs w:val="28"/>
        </w:rPr>
        <w:t>Thick dark lines show the median pathway for each starting year, while thin lines show all individual scenarios.</w:t>
      </w:r>
    </w:p>
    <w:p w:rsidR="00397FBE" w:rsidRPr="00397FBE" w:rsidRDefault="00397FBE" w:rsidP="00FD093A">
      <w:pPr>
        <w:widowControl/>
        <w:spacing w:line="288" w:lineRule="auto"/>
        <w:rPr>
          <w:rFonts w:ascii="Times New Roman" w:eastAsia="宋体" w:hAnsi="Times New Roman" w:cs="Times New Roman"/>
          <w:color w:val="000000" w:themeColor="text1"/>
          <w:kern w:val="0"/>
          <w:sz w:val="24"/>
        </w:rPr>
      </w:pPr>
    </w:p>
    <w:p w:rsidR="008F7195" w:rsidRDefault="00FD093A" w:rsidP="00FD093A">
      <w:pPr>
        <w:widowControl/>
        <w:spacing w:line="288" w:lineRule="auto"/>
        <w:rPr>
          <w:rFonts w:ascii="Times New Roman" w:eastAsia="宋体" w:hAnsi="Times New Roman" w:cs="Times New Roman"/>
          <w:color w:val="000000" w:themeColor="text1"/>
          <w:kern w:val="0"/>
          <w:sz w:val="24"/>
        </w:rPr>
      </w:pP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For emerging economies, the pattern differs. Because later starting years place greater weight on recent emissions growth, China’s pathway becomes substantially more stringent as the baseline shifts forward: its median 2100 fossil CO</w:t>
      </w:r>
      <w:r w:rsidR="00992395" w:rsidRPr="00992395">
        <w:rPr>
          <w:rFonts w:ascii="Times New Roman" w:eastAsia="宋体" w:hAnsi="Times New Roman" w:cs="Times New Roman"/>
          <w:color w:val="000000" w:themeColor="text1"/>
          <w:kern w:val="0"/>
          <w:sz w:val="24"/>
          <w:vertAlign w:val="subscript"/>
        </w:rPr>
        <w:t>2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level deepens from –1.6 Gt CO</w:t>
      </w:r>
      <w:r w:rsidR="00992395" w:rsidRPr="00992395">
        <w:rPr>
          <w:rFonts w:ascii="Times New Roman" w:eastAsia="宋体" w:hAnsi="Times New Roman" w:cs="Times New Roman"/>
          <w:color w:val="000000" w:themeColor="text1"/>
          <w:kern w:val="0"/>
          <w:sz w:val="24"/>
          <w:vertAlign w:val="subscript"/>
        </w:rPr>
        <w:t>2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yr⁻¹ under a 1950 baseline to –2.5 under 1970 and –3.8 under 1992, while median net-negative entry advances from 2061 to 2056 and then 2051. </w:t>
      </w:r>
      <w:r w:rsidR="000B0681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Other </w:t>
      </w:r>
      <w:r w:rsidR="000B0681"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emerging </w:t>
      </w:r>
      <w:r w:rsidR="000B0681"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lastRenderedPageBreak/>
        <w:t>economies</w:t>
      </w:r>
      <w:r w:rsidR="000B0681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, such as 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Mexico and </w:t>
      </w:r>
      <w:proofErr w:type="spellStart"/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Türkiye</w:t>
      </w:r>
      <w:proofErr w:type="spellEnd"/>
      <w:r w:rsidR="000B0681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,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show the same qualitative pattern, though at much smaller magnitudes: Mexico’s net-negative entry advanc</w:t>
      </w:r>
      <w:r w:rsidR="000634A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es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from 2059 to 2058 and 2056, </w:t>
      </w:r>
      <w:r w:rsidR="009E7E73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and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</w:t>
      </w:r>
      <w:proofErr w:type="spellStart"/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Türkiye</w:t>
      </w:r>
      <w:r w:rsidR="00933735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’s</w:t>
      </w:r>
      <w:proofErr w:type="spellEnd"/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entry advanc</w:t>
      </w:r>
      <w:r w:rsidR="00E83D0E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>es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from 2066 to 2063 and 2058. By contrast, India remains on a positive pathway under all three starting years, with median 2100 emissions declining from 3.9 to 3.4 to 2.2 Gt CO</w:t>
      </w:r>
      <w:r w:rsidR="00992395" w:rsidRPr="00992395">
        <w:rPr>
          <w:rFonts w:ascii="Times New Roman" w:eastAsia="宋体" w:hAnsi="Times New Roman" w:cs="Times New Roman"/>
          <w:color w:val="000000" w:themeColor="text1"/>
          <w:kern w:val="0"/>
          <w:sz w:val="24"/>
          <w:vertAlign w:val="subscript"/>
        </w:rPr>
        <w:t>2</w:t>
      </w:r>
      <w:r w:rsidRPr="00FD093A">
        <w:rPr>
          <w:rFonts w:ascii="Times New Roman" w:eastAsia="宋体" w:hAnsi="Times New Roman" w:cs="Times New Roman"/>
          <w:color w:val="000000" w:themeColor="text1"/>
          <w:kern w:val="0"/>
          <w:sz w:val="24"/>
        </w:rPr>
        <w:t xml:space="preserve"> yr⁻¹ but never reaching net-negative emissions. </w:t>
      </w:r>
    </w:p>
    <w:p w:rsidR="00907CC5" w:rsidRDefault="00907CC5" w:rsidP="00FD093A">
      <w:pPr>
        <w:widowControl/>
        <w:spacing w:line="288" w:lineRule="auto"/>
        <w:rPr>
          <w:rFonts w:ascii="Times New Roman" w:eastAsia="宋体" w:hAnsi="Times New Roman" w:cs="Times New Roman"/>
          <w:color w:val="000000" w:themeColor="text1"/>
          <w:kern w:val="0"/>
          <w:sz w:val="24"/>
        </w:rPr>
      </w:pPr>
    </w:p>
    <w:p w:rsidR="004A5967" w:rsidRPr="000B660F" w:rsidRDefault="000B660F" w:rsidP="008B671E">
      <w:pPr>
        <w:spacing w:line="288" w:lineRule="auto"/>
        <w:rPr>
          <w:rFonts w:ascii="Times New Roman" w:hAnsi="Times New Roman" w:cs="Times New Roman"/>
          <w:color w:val="000000" w:themeColor="text1"/>
          <w:sz w:val="24"/>
          <w:szCs w:val="32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32"/>
        </w:rPr>
        <w:drawing>
          <wp:inline distT="0" distB="0" distL="0" distR="0">
            <wp:extent cx="5270500" cy="3764915"/>
            <wp:effectExtent l="0" t="0" r="0" b="0"/>
            <wp:docPr id="15718349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834974" name="图片 157183497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6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D1B" w:rsidRPr="00904FDD" w:rsidRDefault="00DA76EF" w:rsidP="008B671E">
      <w:pPr>
        <w:spacing w:line="288" w:lineRule="auto"/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</w:pPr>
      <w:r w:rsidRPr="00904FDD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Supplementary Figure 5. Relationship between temperature overshoot above 1.5°C and cumulative net-negative C</w:t>
      </w:r>
      <w:r w:rsidR="00B87B55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O</w:t>
      </w:r>
      <w:r w:rsidR="00B87B55" w:rsidRPr="00B87B55">
        <w:rPr>
          <w:rFonts w:ascii="Times New Roman" w:hAnsi="Times New Roman" w:cs="Times New Roman"/>
          <w:b/>
          <w:bCs/>
          <w:color w:val="000000" w:themeColor="text1"/>
          <w:sz w:val="22"/>
          <w:szCs w:val="28"/>
          <w:vertAlign w:val="subscript"/>
        </w:rPr>
        <w:t>2</w:t>
      </w:r>
      <w:r w:rsidRPr="00904FDD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requirements under different historical responsibility starting years. </w:t>
      </w:r>
      <w:r w:rsidRPr="00FE4E40">
        <w:rPr>
          <w:rFonts w:ascii="Times New Roman" w:hAnsi="Times New Roman" w:cs="Times New Roman"/>
          <w:color w:val="000000" w:themeColor="text1"/>
          <w:sz w:val="22"/>
          <w:szCs w:val="28"/>
        </w:rPr>
        <w:t>Panels show cumulative net-negative fossil CO</w:t>
      </w:r>
      <w:r w:rsidR="00522E79" w:rsidRPr="00906995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2</w:t>
      </w:r>
      <w:r w:rsidRPr="00FE4E40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emissions to 2100 for </w:t>
      </w:r>
      <w:r w:rsidR="00862151" w:rsidRPr="00327BF1">
        <w:rPr>
          <w:rFonts w:ascii="Times New Roman" w:hAnsi="Times New Roman" w:cs="Times New Roman"/>
          <w:sz w:val="22"/>
          <w:szCs w:val="22"/>
        </w:rPr>
        <w:t>eight regions: USA</w:t>
      </w:r>
      <w:r w:rsidR="002E03A3">
        <w:rPr>
          <w:rFonts w:ascii="Times New Roman" w:hAnsi="Times New Roman" w:cs="Times New Roman"/>
          <w:sz w:val="22"/>
          <w:szCs w:val="22"/>
        </w:rPr>
        <w:t xml:space="preserve"> </w:t>
      </w:r>
      <w:r w:rsidR="002E03A3" w:rsidRPr="0081141B">
        <w:rPr>
          <w:rFonts w:ascii="Times New Roman" w:hAnsi="Times New Roman" w:cs="Times New Roman"/>
          <w:b/>
          <w:bCs/>
          <w:sz w:val="22"/>
          <w:szCs w:val="22"/>
        </w:rPr>
        <w:t>(a)</w:t>
      </w:r>
      <w:r w:rsidR="00862151" w:rsidRPr="00327BF1">
        <w:rPr>
          <w:rFonts w:ascii="Times New Roman" w:hAnsi="Times New Roman" w:cs="Times New Roman"/>
          <w:sz w:val="22"/>
          <w:szCs w:val="22"/>
        </w:rPr>
        <w:t>, EU27</w:t>
      </w:r>
      <w:r w:rsidR="0081141B">
        <w:rPr>
          <w:rFonts w:ascii="Times New Roman" w:hAnsi="Times New Roman" w:cs="Times New Roman"/>
          <w:sz w:val="22"/>
          <w:szCs w:val="22"/>
        </w:rPr>
        <w:t xml:space="preserve"> </w:t>
      </w:r>
      <w:r w:rsidR="0081141B" w:rsidRPr="0081141B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81141B">
        <w:rPr>
          <w:rFonts w:ascii="Times New Roman" w:hAnsi="Times New Roman" w:cs="Times New Roman"/>
          <w:b/>
          <w:bCs/>
          <w:sz w:val="22"/>
          <w:szCs w:val="22"/>
        </w:rPr>
        <w:t>b</w:t>
      </w:r>
      <w:r w:rsidR="0081141B" w:rsidRPr="0081141B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862151" w:rsidRPr="00327BF1">
        <w:rPr>
          <w:rFonts w:ascii="Times New Roman" w:hAnsi="Times New Roman" w:cs="Times New Roman"/>
          <w:sz w:val="22"/>
          <w:szCs w:val="22"/>
        </w:rPr>
        <w:t>, Russia</w:t>
      </w:r>
      <w:r w:rsidR="0035501C">
        <w:rPr>
          <w:rFonts w:ascii="Times New Roman" w:hAnsi="Times New Roman" w:cs="Times New Roman"/>
          <w:sz w:val="22"/>
          <w:szCs w:val="22"/>
        </w:rPr>
        <w:t xml:space="preserve"> </w:t>
      </w:r>
      <w:r w:rsidR="0035501C" w:rsidRPr="0081141B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35501C">
        <w:rPr>
          <w:rFonts w:ascii="Times New Roman" w:hAnsi="Times New Roman" w:cs="Times New Roman"/>
          <w:b/>
          <w:bCs/>
          <w:sz w:val="22"/>
          <w:szCs w:val="22"/>
        </w:rPr>
        <w:t>c</w:t>
      </w:r>
      <w:r w:rsidR="0035501C" w:rsidRPr="0081141B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862151" w:rsidRPr="00327BF1">
        <w:rPr>
          <w:rFonts w:ascii="Times New Roman" w:hAnsi="Times New Roman" w:cs="Times New Roman"/>
          <w:sz w:val="22"/>
          <w:szCs w:val="22"/>
        </w:rPr>
        <w:t>, Other OECD</w:t>
      </w:r>
      <w:r w:rsidR="00467D23">
        <w:rPr>
          <w:rFonts w:ascii="Times New Roman" w:hAnsi="Times New Roman" w:cs="Times New Roman"/>
          <w:sz w:val="22"/>
          <w:szCs w:val="22"/>
        </w:rPr>
        <w:t xml:space="preserve"> </w:t>
      </w:r>
      <w:r w:rsidR="00467D23" w:rsidRPr="0081141B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467D23">
        <w:rPr>
          <w:rFonts w:ascii="Times New Roman" w:hAnsi="Times New Roman" w:cs="Times New Roman"/>
          <w:b/>
          <w:bCs/>
          <w:sz w:val="22"/>
          <w:szCs w:val="22"/>
        </w:rPr>
        <w:t>d</w:t>
      </w:r>
      <w:r w:rsidR="00467D23" w:rsidRPr="0081141B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862151" w:rsidRPr="00327BF1">
        <w:rPr>
          <w:rFonts w:ascii="Times New Roman" w:hAnsi="Times New Roman" w:cs="Times New Roman"/>
          <w:sz w:val="22"/>
          <w:szCs w:val="22"/>
        </w:rPr>
        <w:t>, GCC</w:t>
      </w:r>
      <w:r w:rsidR="003F0723">
        <w:rPr>
          <w:rFonts w:ascii="Times New Roman" w:hAnsi="Times New Roman" w:cs="Times New Roman"/>
          <w:sz w:val="22"/>
          <w:szCs w:val="22"/>
        </w:rPr>
        <w:t xml:space="preserve"> </w:t>
      </w:r>
      <w:r w:rsidR="003F0723" w:rsidRPr="0081141B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3F0723">
        <w:rPr>
          <w:rFonts w:ascii="Times New Roman" w:hAnsi="Times New Roman" w:cs="Times New Roman"/>
          <w:b/>
          <w:bCs/>
          <w:sz w:val="22"/>
          <w:szCs w:val="22"/>
        </w:rPr>
        <w:t>e</w:t>
      </w:r>
      <w:r w:rsidR="003F0723" w:rsidRPr="0081141B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862151" w:rsidRPr="00327BF1">
        <w:rPr>
          <w:rFonts w:ascii="Times New Roman" w:hAnsi="Times New Roman" w:cs="Times New Roman"/>
          <w:sz w:val="22"/>
          <w:szCs w:val="22"/>
        </w:rPr>
        <w:t>, China</w:t>
      </w:r>
      <w:r w:rsidR="003F0723">
        <w:rPr>
          <w:rFonts w:ascii="Times New Roman" w:hAnsi="Times New Roman" w:cs="Times New Roman"/>
          <w:sz w:val="22"/>
          <w:szCs w:val="22"/>
        </w:rPr>
        <w:t xml:space="preserve"> </w:t>
      </w:r>
      <w:r w:rsidR="003F0723" w:rsidRPr="0081141B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3F0723">
        <w:rPr>
          <w:rFonts w:ascii="Times New Roman" w:hAnsi="Times New Roman" w:cs="Times New Roman"/>
          <w:b/>
          <w:bCs/>
          <w:sz w:val="22"/>
          <w:szCs w:val="22"/>
        </w:rPr>
        <w:t>f</w:t>
      </w:r>
      <w:r w:rsidR="003F0723" w:rsidRPr="0081141B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862151" w:rsidRPr="00327BF1">
        <w:rPr>
          <w:rFonts w:ascii="Times New Roman" w:hAnsi="Times New Roman" w:cs="Times New Roman"/>
          <w:sz w:val="22"/>
          <w:szCs w:val="22"/>
        </w:rPr>
        <w:t>, South Africa</w:t>
      </w:r>
      <w:r w:rsidR="0010246B">
        <w:rPr>
          <w:rFonts w:ascii="Times New Roman" w:hAnsi="Times New Roman" w:cs="Times New Roman"/>
          <w:sz w:val="22"/>
          <w:szCs w:val="22"/>
        </w:rPr>
        <w:t xml:space="preserve"> </w:t>
      </w:r>
      <w:r w:rsidR="0010246B" w:rsidRPr="0081141B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10246B">
        <w:rPr>
          <w:rFonts w:ascii="Times New Roman" w:hAnsi="Times New Roman" w:cs="Times New Roman"/>
          <w:b/>
          <w:bCs/>
          <w:sz w:val="22"/>
          <w:szCs w:val="22"/>
        </w:rPr>
        <w:t>g</w:t>
      </w:r>
      <w:r w:rsidR="0010246B" w:rsidRPr="0081141B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862151" w:rsidRPr="00327BF1">
        <w:rPr>
          <w:rFonts w:ascii="Times New Roman" w:hAnsi="Times New Roman" w:cs="Times New Roman"/>
          <w:sz w:val="22"/>
          <w:szCs w:val="22"/>
        </w:rPr>
        <w:t>, and Other UMIC</w:t>
      </w:r>
      <w:r w:rsidR="0092384A">
        <w:rPr>
          <w:rFonts w:ascii="Times New Roman" w:hAnsi="Times New Roman" w:cs="Times New Roman"/>
          <w:sz w:val="22"/>
          <w:szCs w:val="22"/>
        </w:rPr>
        <w:t xml:space="preserve"> </w:t>
      </w:r>
      <w:r w:rsidR="0092384A" w:rsidRPr="0081141B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92384A">
        <w:rPr>
          <w:rFonts w:ascii="Times New Roman" w:hAnsi="Times New Roman" w:cs="Times New Roman"/>
          <w:b/>
          <w:bCs/>
          <w:sz w:val="22"/>
          <w:szCs w:val="22"/>
        </w:rPr>
        <w:t>h</w:t>
      </w:r>
      <w:r w:rsidR="0092384A" w:rsidRPr="0081141B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862151">
        <w:rPr>
          <w:rFonts w:ascii="Times New Roman" w:hAnsi="Times New Roman" w:cs="Times New Roman"/>
          <w:sz w:val="22"/>
          <w:szCs w:val="22"/>
        </w:rPr>
        <w:t xml:space="preserve"> (</w:t>
      </w:r>
      <w:r w:rsidR="00862151" w:rsidRPr="00327BF1">
        <w:rPr>
          <w:rFonts w:ascii="Times New Roman" w:hAnsi="Times New Roman" w:cs="Times New Roman"/>
          <w:sz w:val="22"/>
          <w:szCs w:val="22"/>
        </w:rPr>
        <w:t>South Africa is shown separately in place of the broader Sub-Saharan Africa group because it is the dominant net-negative emitter within that region</w:t>
      </w:r>
      <w:r w:rsidR="00862151">
        <w:rPr>
          <w:rFonts w:ascii="Times New Roman" w:hAnsi="Times New Roman" w:cs="Times New Roman"/>
          <w:sz w:val="22"/>
          <w:szCs w:val="22"/>
        </w:rPr>
        <w:t>)</w:t>
      </w:r>
      <w:r w:rsidRPr="00FE4E40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. Colors denote the three historical responsibility starting years used in the allocation framework: </w:t>
      </w:r>
      <w:r w:rsidR="00F06D0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1850 (green), </w:t>
      </w:r>
      <w:r w:rsidRPr="00FE4E40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1950 (orange), 1970 (blue), and 1992 (pink). Each point represents one </w:t>
      </w:r>
      <w:r w:rsidR="0023627F">
        <w:rPr>
          <w:rFonts w:ascii="Times New Roman" w:hAnsi="Times New Roman" w:cs="Times New Roman"/>
          <w:color w:val="000000" w:themeColor="text1"/>
          <w:sz w:val="22"/>
          <w:szCs w:val="28"/>
        </w:rPr>
        <w:t>1.5°C-consistent</w:t>
      </w:r>
      <w:r w:rsidRPr="00FE4E40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pathway scenario. Insets report the fitted linear relationship for each starting year</w:t>
      </w:r>
      <w:r w:rsidR="001A5239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1A5239">
        <w:rPr>
          <w:rFonts w:ascii="Times New Roman" w:hAnsi="Times New Roman" w:cs="Times New Roman" w:hint="eastAsia"/>
          <w:color w:val="000000" w:themeColor="text1"/>
          <w:sz w:val="22"/>
          <w:szCs w:val="28"/>
        </w:rPr>
        <w:t>and</w:t>
      </w:r>
      <w:r w:rsidR="001A5239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1A5239" w:rsidRPr="00C46C25">
        <w:rPr>
          <w:rFonts w:ascii="Times New Roman" w:hAnsi="Times New Roman" w:cs="Times New Roman"/>
          <w:color w:val="000000" w:themeColor="text1"/>
          <w:sz w:val="22"/>
          <w:szCs w:val="28"/>
        </w:rPr>
        <w:t>the probability density distribution of the first net-negative emission year</w:t>
      </w:r>
      <w:r w:rsidR="001A5239" w:rsidRPr="001F0694">
        <w:rPr>
          <w:rFonts w:ascii="Times New Roman" w:hAnsi="Times New Roman" w:cs="Times New Roman"/>
          <w:color w:val="000000" w:themeColor="text1"/>
          <w:sz w:val="22"/>
          <w:szCs w:val="28"/>
        </w:rPr>
        <w:t>.</w:t>
      </w:r>
    </w:p>
    <w:p w:rsidR="003217DB" w:rsidRPr="002B2728" w:rsidRDefault="00097052" w:rsidP="00B67F83">
      <w:pPr>
        <w:spacing w:line="288" w:lineRule="auto"/>
        <w:rPr>
          <w:rFonts w:ascii="Times New Roman" w:hAnsi="Times New Roman" w:cs="Times New Roman"/>
          <w:sz w:val="24"/>
          <w:szCs w:val="32"/>
        </w:rPr>
        <w:sectPr w:rsidR="003217DB" w:rsidRPr="002B2728" w:rsidSect="003A2834">
          <w:pgSz w:w="11900" w:h="16840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>
        <w:rPr>
          <w:rFonts w:ascii="Times New Roman" w:hAnsi="Times New Roman" w:cs="Times New Roman"/>
          <w:sz w:val="24"/>
          <w:szCs w:val="32"/>
        </w:rPr>
        <w:t xml:space="preserve"> </w:t>
      </w:r>
    </w:p>
    <w:p w:rsidR="0089112A" w:rsidRPr="00884F12" w:rsidRDefault="00755D36" w:rsidP="00014DEF">
      <w:pPr>
        <w:pStyle w:val="1"/>
        <w:spacing w:beforeLines="50" w:before="156" w:afterLines="50" w:after="156"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3" w:name="_Supplementary_Figures_2"/>
      <w:bookmarkEnd w:id="3"/>
      <w:r w:rsidRPr="00884F1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="00745391" w:rsidRPr="00884F1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Figures</w:t>
      </w:r>
    </w:p>
    <w:p w:rsidR="00332E2A" w:rsidRDefault="0033439B" w:rsidP="00DB42EC">
      <w:pPr>
        <w:spacing w:line="288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2"/>
          <w:szCs w:val="28"/>
        </w:rPr>
        <w:drawing>
          <wp:inline distT="0" distB="0" distL="0" distR="0">
            <wp:extent cx="5270500" cy="3513455"/>
            <wp:effectExtent l="0" t="0" r="0" b="4445"/>
            <wp:docPr id="93017238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172389" name="图片 93017238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7D0" w:rsidRDefault="005C47D0" w:rsidP="00DB42EC">
      <w:pPr>
        <w:spacing w:line="288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</w:pPr>
      <w:r w:rsidRPr="00884F1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Supplementary Figure </w:t>
      </w:r>
      <w:r w:rsidR="006D1B3D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6</w:t>
      </w:r>
      <w:r w:rsidRPr="00884F1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.</w:t>
      </w:r>
      <w:r w:rsidR="00015B75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="00804292" w:rsidRPr="0080429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Global historical and projected emissions of major greenhouse gases</w:t>
      </w:r>
      <w:r w:rsidR="00B2609A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under the </w:t>
      </w:r>
      <w:r w:rsidR="0023627F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1.5°C-consistent</w:t>
      </w:r>
      <w:r w:rsidR="00B2609A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pathways</w:t>
      </w:r>
      <w:r w:rsidR="00804292" w:rsidRPr="0080429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.</w:t>
      </w:r>
      <w:r w:rsidR="00145C7B">
        <w:rPr>
          <w:rFonts w:ascii="Times New Roman" w:hAnsi="Times New Roman" w:cs="Times New Roman" w:hint="eastAsia"/>
          <w:b/>
          <w:bCs/>
          <w:color w:val="000000" w:themeColor="text1"/>
          <w:sz w:val="22"/>
          <w:szCs w:val="28"/>
        </w:rPr>
        <w:t xml:space="preserve"> </w:t>
      </w:r>
      <w:r w:rsidR="00804292" w:rsidRPr="0080429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(a)</w:t>
      </w:r>
      <w:r w:rsidR="003058D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,</w:t>
      </w:r>
      <w:r w:rsidR="00804292" w:rsidRPr="0080429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="00804292" w:rsidRPr="00070F5F">
        <w:rPr>
          <w:rFonts w:ascii="Times New Roman" w:hAnsi="Times New Roman" w:cs="Times New Roman"/>
          <w:color w:val="000000" w:themeColor="text1"/>
          <w:sz w:val="22"/>
          <w:szCs w:val="28"/>
        </w:rPr>
        <w:t>Fossil fuel CO</w:t>
      </w:r>
      <w:r w:rsidR="00070F5F" w:rsidRPr="00070F5F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2</w:t>
      </w:r>
      <w:r w:rsidR="00804292" w:rsidRPr="00070F5F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emissions (Gt)</w:t>
      </w:r>
      <w:r w:rsidR="001D1E10">
        <w:rPr>
          <w:rFonts w:ascii="Times New Roman" w:hAnsi="Times New Roman" w:cs="Times New Roman"/>
          <w:color w:val="000000" w:themeColor="text1"/>
          <w:sz w:val="22"/>
          <w:szCs w:val="28"/>
        </w:rPr>
        <w:t>.</w:t>
      </w:r>
      <w:r w:rsidR="00804292" w:rsidRPr="0080429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(b)</w:t>
      </w:r>
      <w:r w:rsidR="001D1E10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,</w:t>
      </w:r>
      <w:r w:rsidR="00804292" w:rsidRPr="0080429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="00D007B7">
        <w:rPr>
          <w:rFonts w:ascii="Times New Roman" w:hAnsi="Times New Roman" w:cs="Times New Roman"/>
          <w:color w:val="000000" w:themeColor="text1"/>
          <w:sz w:val="22"/>
          <w:szCs w:val="28"/>
        </w:rPr>
        <w:t>G</w:t>
      </w:r>
      <w:r w:rsidR="00804292" w:rsidRPr="00885D09">
        <w:rPr>
          <w:rFonts w:ascii="Times New Roman" w:hAnsi="Times New Roman" w:cs="Times New Roman"/>
          <w:color w:val="000000" w:themeColor="text1"/>
          <w:sz w:val="22"/>
          <w:szCs w:val="28"/>
        </w:rPr>
        <w:t>lobal CH</w:t>
      </w:r>
      <w:r w:rsidR="003932E8" w:rsidRPr="0028458D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4</w:t>
      </w:r>
      <w:r w:rsidR="00804292" w:rsidRPr="00885D09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emissions (Mt)</w:t>
      </w:r>
      <w:r w:rsidR="00C405B1" w:rsidRPr="00315D9E">
        <w:rPr>
          <w:rFonts w:ascii="Times New Roman" w:hAnsi="Times New Roman" w:cs="Times New Roman"/>
          <w:color w:val="000000" w:themeColor="text1"/>
          <w:sz w:val="22"/>
          <w:szCs w:val="28"/>
        </w:rPr>
        <w:t>.</w:t>
      </w:r>
      <w:r w:rsidR="00804292" w:rsidRPr="0080429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(c)</w:t>
      </w:r>
      <w:r w:rsidR="00B459F8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,</w:t>
      </w:r>
      <w:r w:rsidR="00804292" w:rsidRPr="0080429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="00D007B7" w:rsidRPr="0034278B">
        <w:rPr>
          <w:rFonts w:ascii="Times New Roman" w:hAnsi="Times New Roman" w:cs="Times New Roman"/>
          <w:color w:val="000000" w:themeColor="text1"/>
          <w:sz w:val="22"/>
          <w:szCs w:val="28"/>
        </w:rPr>
        <w:t>G</w:t>
      </w:r>
      <w:r w:rsidR="00804292" w:rsidRPr="0034278B">
        <w:rPr>
          <w:rFonts w:ascii="Times New Roman" w:hAnsi="Times New Roman" w:cs="Times New Roman"/>
          <w:color w:val="000000" w:themeColor="text1"/>
          <w:sz w:val="22"/>
          <w:szCs w:val="28"/>
        </w:rPr>
        <w:t>lobal N</w:t>
      </w:r>
      <w:r w:rsidR="00E269A4" w:rsidRPr="0034278B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2</w:t>
      </w:r>
      <w:r w:rsidR="00804292" w:rsidRPr="0034278B">
        <w:rPr>
          <w:rFonts w:ascii="Times New Roman" w:hAnsi="Times New Roman" w:cs="Times New Roman"/>
          <w:color w:val="000000" w:themeColor="text1"/>
          <w:sz w:val="22"/>
          <w:szCs w:val="28"/>
        </w:rPr>
        <w:t>O emissions (Mt).</w:t>
      </w:r>
    </w:p>
    <w:p w:rsidR="006E46CE" w:rsidRDefault="006E46CE" w:rsidP="005C47D0">
      <w:pPr>
        <w:spacing w:line="288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</w:pPr>
    </w:p>
    <w:p w:rsidR="00242079" w:rsidRDefault="007D4684" w:rsidP="00B013DD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2"/>
          <w:szCs w:val="28"/>
        </w:rPr>
        <w:lastRenderedPageBreak/>
        <w:drawing>
          <wp:inline distT="0" distB="0" distL="0" distR="0">
            <wp:extent cx="5270500" cy="5059680"/>
            <wp:effectExtent l="0" t="0" r="0" b="0"/>
            <wp:docPr id="201696566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965667" name="图片 201696566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05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079" w:rsidRPr="00231BF6" w:rsidRDefault="00285316" w:rsidP="00BC56CF">
      <w:pPr>
        <w:pStyle w:val="p1"/>
        <w:spacing w:before="0" w:beforeAutospacing="0" w:after="0" w:afterAutospacing="0" w:line="288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E5193A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 xml:space="preserve">Supplementary Figure </w:t>
      </w:r>
      <w:r w:rsidR="00516339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7</w:t>
      </w:r>
      <w:r w:rsidRPr="00E5193A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.</w:t>
      </w:r>
      <w:r w:rsidRPr="00E5193A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0F69F8" w:rsidRPr="00E5193A">
        <w:rPr>
          <w:rFonts w:ascii="Times New Roman" w:hAnsi="Times New Roman" w:cs="Times New Roman"/>
          <w:b/>
          <w:bCs/>
          <w:sz w:val="22"/>
          <w:szCs w:val="22"/>
        </w:rPr>
        <w:t>Fossil CO</w:t>
      </w:r>
      <w:r w:rsidR="00B57DC2" w:rsidRPr="00E5193A">
        <w:rPr>
          <w:rFonts w:ascii="Times New Roman" w:hAnsi="Times New Roman" w:cs="Times New Roman"/>
          <w:b/>
          <w:bCs/>
          <w:sz w:val="22"/>
          <w:szCs w:val="22"/>
          <w:vertAlign w:val="subscript"/>
        </w:rPr>
        <w:t>2</w:t>
      </w:r>
      <w:r w:rsidR="000F69F8" w:rsidRPr="00E5193A">
        <w:rPr>
          <w:rFonts w:ascii="Times New Roman" w:hAnsi="Times New Roman" w:cs="Times New Roman"/>
          <w:b/>
          <w:bCs/>
          <w:sz w:val="22"/>
          <w:szCs w:val="22"/>
        </w:rPr>
        <w:t xml:space="preserve"> emissions of the EU</w:t>
      </w:r>
      <w:r w:rsidR="00E62D54">
        <w:rPr>
          <w:rFonts w:ascii="Times New Roman" w:hAnsi="Times New Roman" w:cs="Times New Roman"/>
          <w:b/>
          <w:bCs/>
          <w:sz w:val="22"/>
          <w:szCs w:val="22"/>
        </w:rPr>
        <w:t>27 countries</w:t>
      </w:r>
      <w:r w:rsidR="000F69F8" w:rsidRPr="00E5193A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916AFF" w:rsidRPr="00E5193A">
        <w:rPr>
          <w:rFonts w:ascii="Times New Roman" w:hAnsi="Times New Roman" w:cs="Times New Roman"/>
          <w:b/>
          <w:bCs/>
          <w:sz w:val="22"/>
          <w:szCs w:val="22"/>
        </w:rPr>
        <w:t xml:space="preserve">under </w:t>
      </w:r>
      <w:r w:rsidR="00816BC8">
        <w:rPr>
          <w:rFonts w:ascii="Times New Roman" w:hAnsi="Times New Roman" w:cs="Times New Roman"/>
          <w:b/>
          <w:bCs/>
          <w:sz w:val="22"/>
          <w:szCs w:val="22"/>
        </w:rPr>
        <w:t xml:space="preserve">the </w:t>
      </w:r>
      <w:r w:rsidR="00B72373" w:rsidRPr="00B72373">
        <w:rPr>
          <w:rFonts w:ascii="Times New Roman" w:hAnsi="Times New Roman" w:cs="Times New Roman"/>
          <w:b/>
          <w:bCs/>
          <w:sz w:val="22"/>
          <w:szCs w:val="22"/>
        </w:rPr>
        <w:t>fair-share-corrected pathway (orange) and the equal per-capita future allocation (blue)</w:t>
      </w:r>
      <w:r w:rsidRPr="00E5193A">
        <w:rPr>
          <w:rFonts w:ascii="Times New Roman" w:hAnsi="Times New Roman" w:cs="Times New Roman"/>
          <w:b/>
          <w:bCs/>
          <w:sz w:val="22"/>
          <w:szCs w:val="22"/>
        </w:rPr>
        <w:t>.</w:t>
      </w:r>
      <w:r w:rsidR="00AE5A7A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AE5A7A" w:rsidRPr="00231BF6">
        <w:rPr>
          <w:rFonts w:ascii="Times New Roman" w:hAnsi="Times New Roman" w:cs="Times New Roman"/>
          <w:sz w:val="22"/>
          <w:szCs w:val="22"/>
        </w:rPr>
        <w:t xml:space="preserve">Each line corresponds to one </w:t>
      </w:r>
      <w:r w:rsidR="0023627F">
        <w:rPr>
          <w:rFonts w:ascii="Times New Roman" w:hAnsi="Times New Roman" w:cs="Times New Roman"/>
          <w:sz w:val="22"/>
          <w:szCs w:val="22"/>
        </w:rPr>
        <w:t>1.5°C-consistent</w:t>
      </w:r>
      <w:r w:rsidR="00AE5A7A" w:rsidRPr="00231BF6">
        <w:rPr>
          <w:rFonts w:ascii="Times New Roman" w:hAnsi="Times New Roman" w:cs="Times New Roman"/>
          <w:sz w:val="22"/>
          <w:szCs w:val="22"/>
        </w:rPr>
        <w:t xml:space="preserve"> pathway.</w:t>
      </w:r>
    </w:p>
    <w:p w:rsidR="00242079" w:rsidRDefault="00242079" w:rsidP="00B013DD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  <w:sectPr w:rsidR="00242079" w:rsidSect="00F612BB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242079" w:rsidRPr="00BE5A05" w:rsidRDefault="00974B45" w:rsidP="00B013DD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2"/>
          <w:szCs w:val="28"/>
        </w:rPr>
        <w:lastRenderedPageBreak/>
        <w:drawing>
          <wp:inline distT="0" distB="0" distL="0" distR="0">
            <wp:extent cx="5270500" cy="5059680"/>
            <wp:effectExtent l="0" t="0" r="0" b="0"/>
            <wp:docPr id="67556543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565432" name="图片 67556543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05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DA8" w:rsidRPr="002A33AB" w:rsidRDefault="00775CAA" w:rsidP="00775CAA">
      <w:pPr>
        <w:pStyle w:val="p1"/>
        <w:spacing w:before="0" w:beforeAutospacing="0" w:after="0" w:afterAutospacing="0" w:line="288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</w:pPr>
      <w:r w:rsidRPr="002A33AB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 xml:space="preserve">Supplementary Figure </w:t>
      </w:r>
      <w:r w:rsidR="00EC122E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8</w:t>
      </w:r>
      <w:r w:rsidRPr="002A33AB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.</w:t>
      </w:r>
      <w:r w:rsidRPr="002A33AB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485DA8" w:rsidRPr="002A33AB">
        <w:rPr>
          <w:rFonts w:ascii="Times New Roman" w:hAnsi="Times New Roman" w:cs="Times New Roman"/>
          <w:b/>
          <w:bCs/>
          <w:sz w:val="22"/>
          <w:szCs w:val="22"/>
        </w:rPr>
        <w:t>Fossil CO</w:t>
      </w:r>
      <w:r w:rsidR="00485DA8" w:rsidRPr="002A33AB">
        <w:rPr>
          <w:rFonts w:ascii="Times New Roman" w:hAnsi="Times New Roman" w:cs="Times New Roman"/>
          <w:b/>
          <w:bCs/>
          <w:sz w:val="22"/>
          <w:szCs w:val="22"/>
          <w:vertAlign w:val="subscript"/>
        </w:rPr>
        <w:t>2</w:t>
      </w:r>
      <w:r w:rsidR="00485DA8" w:rsidRPr="002A33AB">
        <w:rPr>
          <w:rFonts w:ascii="Times New Roman" w:hAnsi="Times New Roman" w:cs="Times New Roman"/>
          <w:b/>
          <w:bCs/>
          <w:sz w:val="22"/>
          <w:szCs w:val="22"/>
        </w:rPr>
        <w:t xml:space="preserve"> emissions </w:t>
      </w:r>
      <w:r w:rsidR="00AC392F" w:rsidRPr="002A33AB">
        <w:rPr>
          <w:rFonts w:ascii="Times New Roman" w:hAnsi="Times New Roman" w:cs="Times New Roman" w:hint="eastAsia"/>
          <w:b/>
          <w:bCs/>
          <w:sz w:val="22"/>
          <w:szCs w:val="22"/>
        </w:rPr>
        <w:t>for</w:t>
      </w:r>
      <w:r w:rsidR="00AC392F" w:rsidRPr="002A33AB">
        <w:rPr>
          <w:rFonts w:ascii="Times New Roman" w:hAnsi="Times New Roman" w:cs="Times New Roman"/>
          <w:b/>
          <w:bCs/>
          <w:sz w:val="22"/>
          <w:szCs w:val="22"/>
        </w:rPr>
        <w:t xml:space="preserve"> the OECD countries (excluding the US and </w:t>
      </w:r>
      <w:r w:rsidR="00644F62" w:rsidRPr="002A33AB">
        <w:rPr>
          <w:rFonts w:ascii="Times New Roman" w:hAnsi="Times New Roman" w:cs="Times New Roman"/>
          <w:b/>
          <w:bCs/>
          <w:sz w:val="22"/>
          <w:szCs w:val="22"/>
        </w:rPr>
        <w:t>EU</w:t>
      </w:r>
      <w:r w:rsidR="007E2EAB">
        <w:rPr>
          <w:rFonts w:ascii="Times New Roman" w:hAnsi="Times New Roman" w:cs="Times New Roman"/>
          <w:b/>
          <w:bCs/>
          <w:sz w:val="22"/>
          <w:szCs w:val="22"/>
        </w:rPr>
        <w:t>27</w:t>
      </w:r>
      <w:r w:rsidR="00644F62" w:rsidRPr="002A33AB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AC392F" w:rsidRPr="002A33AB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485DA8" w:rsidRPr="002A33AB">
        <w:rPr>
          <w:rFonts w:ascii="Times New Roman" w:hAnsi="Times New Roman" w:cs="Times New Roman"/>
          <w:b/>
          <w:bCs/>
          <w:sz w:val="22"/>
          <w:szCs w:val="22"/>
        </w:rPr>
        <w:t>under</w:t>
      </w:r>
      <w:r w:rsidR="00805693" w:rsidRPr="00805693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805693">
        <w:rPr>
          <w:rFonts w:ascii="Times New Roman" w:hAnsi="Times New Roman" w:cs="Times New Roman"/>
          <w:b/>
          <w:bCs/>
          <w:sz w:val="22"/>
          <w:szCs w:val="22"/>
        </w:rPr>
        <w:t xml:space="preserve">the </w:t>
      </w:r>
      <w:r w:rsidR="00805693" w:rsidRPr="00B72373">
        <w:rPr>
          <w:rFonts w:ascii="Times New Roman" w:hAnsi="Times New Roman" w:cs="Times New Roman"/>
          <w:b/>
          <w:bCs/>
          <w:sz w:val="22"/>
          <w:szCs w:val="22"/>
        </w:rPr>
        <w:t>fair-share-corrected pathway (orange) and the equal per-capita future allocation (blue)</w:t>
      </w:r>
      <w:r w:rsidR="00485DA8" w:rsidRPr="002A33AB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="00485DA8" w:rsidRPr="002A33AB">
        <w:rPr>
          <w:rFonts w:ascii="Times New Roman" w:hAnsi="Times New Roman" w:cs="Times New Roman"/>
          <w:sz w:val="22"/>
          <w:szCs w:val="22"/>
        </w:rPr>
        <w:t xml:space="preserve">Each line corresponds to one </w:t>
      </w:r>
      <w:r w:rsidR="0023627F">
        <w:rPr>
          <w:rFonts w:ascii="Times New Roman" w:hAnsi="Times New Roman" w:cs="Times New Roman"/>
          <w:sz w:val="22"/>
          <w:szCs w:val="22"/>
        </w:rPr>
        <w:t>1.5°C-consistent</w:t>
      </w:r>
      <w:r w:rsidR="00485DA8" w:rsidRPr="002A33AB">
        <w:rPr>
          <w:rFonts w:ascii="Times New Roman" w:hAnsi="Times New Roman" w:cs="Times New Roman"/>
          <w:sz w:val="22"/>
          <w:szCs w:val="22"/>
        </w:rPr>
        <w:t xml:space="preserve"> pathway.</w:t>
      </w:r>
    </w:p>
    <w:p w:rsidR="006150F7" w:rsidRDefault="006150F7" w:rsidP="00775CAA">
      <w:pPr>
        <w:pStyle w:val="p1"/>
        <w:spacing w:before="0" w:beforeAutospacing="0" w:after="0" w:afterAutospacing="0" w:line="288" w:lineRule="auto"/>
        <w:jc w:val="both"/>
        <w:rPr>
          <w:rFonts w:ascii="Times New Roman" w:hAnsi="Times New Roman" w:cs="Times New Roman"/>
        </w:rPr>
      </w:pPr>
    </w:p>
    <w:p w:rsidR="00242079" w:rsidRDefault="00242079" w:rsidP="00B013DD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  <w:sectPr w:rsidR="00242079" w:rsidSect="00F612BB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242079" w:rsidRPr="008B67F6" w:rsidRDefault="00F65594" w:rsidP="00B013DD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2"/>
          <w:szCs w:val="28"/>
        </w:rPr>
        <w:lastRenderedPageBreak/>
        <w:drawing>
          <wp:inline distT="0" distB="0" distL="0" distR="0">
            <wp:extent cx="5270500" cy="5059680"/>
            <wp:effectExtent l="0" t="0" r="0" b="0"/>
            <wp:docPr id="64016527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165274" name="图片 64016527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05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50F7" w:rsidRPr="00FB5B96" w:rsidRDefault="006150F7" w:rsidP="00FB5B96">
      <w:pPr>
        <w:pStyle w:val="p1"/>
        <w:spacing w:before="0" w:beforeAutospacing="0" w:after="0" w:afterAutospacing="0" w:line="288" w:lineRule="auto"/>
        <w:jc w:val="both"/>
        <w:rPr>
          <w:rFonts w:ascii="Times New Roman" w:hAnsi="Times New Roman" w:cs="Times New Roman"/>
          <w:b/>
          <w:bCs/>
        </w:rPr>
      </w:pPr>
      <w:r w:rsidRPr="00EC6C9D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Supplementary Figure </w:t>
      </w:r>
      <w:r w:rsidR="00FD3D82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9</w:t>
      </w:r>
      <w:r w:rsidRPr="00EC6C9D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.</w:t>
      </w:r>
      <w:r w:rsidRPr="00266DF6">
        <w:rPr>
          <w:rFonts w:ascii="Times New Roman" w:hAnsi="Times New Roman" w:cs="Times New Roman"/>
          <w:b/>
          <w:bCs/>
        </w:rPr>
        <w:t xml:space="preserve"> </w:t>
      </w:r>
      <w:r w:rsidR="00BC3723" w:rsidRPr="002A33AB">
        <w:rPr>
          <w:rFonts w:ascii="Times New Roman" w:hAnsi="Times New Roman" w:cs="Times New Roman"/>
          <w:b/>
          <w:bCs/>
          <w:sz w:val="22"/>
          <w:szCs w:val="22"/>
        </w:rPr>
        <w:t>Fossil CO</w:t>
      </w:r>
      <w:r w:rsidR="00BC3723" w:rsidRPr="002A33AB">
        <w:rPr>
          <w:rFonts w:ascii="Times New Roman" w:hAnsi="Times New Roman" w:cs="Times New Roman"/>
          <w:b/>
          <w:bCs/>
          <w:sz w:val="22"/>
          <w:szCs w:val="22"/>
          <w:vertAlign w:val="subscript"/>
        </w:rPr>
        <w:t>2</w:t>
      </w:r>
      <w:r w:rsidR="00BC3723" w:rsidRPr="002A33AB">
        <w:rPr>
          <w:rFonts w:ascii="Times New Roman" w:hAnsi="Times New Roman" w:cs="Times New Roman"/>
          <w:b/>
          <w:bCs/>
          <w:sz w:val="22"/>
          <w:szCs w:val="22"/>
        </w:rPr>
        <w:t xml:space="preserve"> emissions </w:t>
      </w:r>
      <w:r w:rsidR="00BC3723" w:rsidRPr="002A33AB">
        <w:rPr>
          <w:rFonts w:ascii="Times New Roman" w:hAnsi="Times New Roman" w:cs="Times New Roman" w:hint="eastAsia"/>
          <w:b/>
          <w:bCs/>
          <w:sz w:val="22"/>
          <w:szCs w:val="22"/>
        </w:rPr>
        <w:t>for</w:t>
      </w:r>
      <w:r w:rsidR="00BC3723" w:rsidRPr="002A33AB">
        <w:rPr>
          <w:rFonts w:ascii="Times New Roman" w:hAnsi="Times New Roman" w:cs="Times New Roman"/>
          <w:b/>
          <w:bCs/>
          <w:sz w:val="22"/>
          <w:szCs w:val="22"/>
        </w:rPr>
        <w:t xml:space="preserve"> the </w:t>
      </w:r>
      <w:r w:rsidR="002425E7" w:rsidRPr="002425E7">
        <w:rPr>
          <w:rFonts w:ascii="Times New Roman" w:hAnsi="Times New Roman" w:cs="Times New Roman"/>
          <w:b/>
          <w:bCs/>
          <w:sz w:val="22"/>
          <w:szCs w:val="22"/>
        </w:rPr>
        <w:t>Gulf Cooperation Council countries (GCC)</w:t>
      </w:r>
      <w:r w:rsidR="009011CE">
        <w:rPr>
          <w:rFonts w:ascii="Times New Roman" w:hAnsi="Times New Roman" w:cs="Times New Roman"/>
          <w:b/>
          <w:bCs/>
          <w:sz w:val="22"/>
          <w:szCs w:val="22"/>
        </w:rPr>
        <w:t xml:space="preserve"> and</w:t>
      </w:r>
      <w:r w:rsidR="002425E7" w:rsidRPr="002425E7">
        <w:rPr>
          <w:rFonts w:ascii="Times New Roman" w:hAnsi="Times New Roman" w:cs="Times New Roman"/>
          <w:b/>
          <w:bCs/>
          <w:sz w:val="22"/>
          <w:szCs w:val="22"/>
        </w:rPr>
        <w:t xml:space="preserve"> Sub-Saharan Africa</w:t>
      </w:r>
      <w:r w:rsidR="00A379EF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9E1C77" w:rsidRPr="009E1C77">
        <w:rPr>
          <w:rFonts w:ascii="Times New Roman" w:hAnsi="Times New Roman" w:cs="Times New Roman"/>
          <w:b/>
          <w:bCs/>
          <w:sz w:val="22"/>
          <w:szCs w:val="22"/>
        </w:rPr>
        <w:t xml:space="preserve">countries </w:t>
      </w:r>
      <w:r w:rsidR="00BC3723" w:rsidRPr="002A33AB">
        <w:rPr>
          <w:rFonts w:ascii="Times New Roman" w:hAnsi="Times New Roman" w:cs="Times New Roman"/>
          <w:b/>
          <w:bCs/>
          <w:sz w:val="22"/>
          <w:szCs w:val="22"/>
        </w:rPr>
        <w:t>under</w:t>
      </w:r>
      <w:r w:rsidR="006417E2" w:rsidRPr="006417E2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6417E2">
        <w:rPr>
          <w:rFonts w:ascii="Times New Roman" w:hAnsi="Times New Roman" w:cs="Times New Roman"/>
          <w:b/>
          <w:bCs/>
          <w:sz w:val="22"/>
          <w:szCs w:val="22"/>
        </w:rPr>
        <w:t xml:space="preserve">the </w:t>
      </w:r>
      <w:r w:rsidR="006417E2" w:rsidRPr="00B72373">
        <w:rPr>
          <w:rFonts w:ascii="Times New Roman" w:hAnsi="Times New Roman" w:cs="Times New Roman"/>
          <w:b/>
          <w:bCs/>
          <w:sz w:val="22"/>
          <w:szCs w:val="22"/>
        </w:rPr>
        <w:t>fair-share-corrected pathway (orange) and the equal per-capita future allocation (blue)</w:t>
      </w:r>
      <w:r w:rsidR="00BC3723" w:rsidRPr="002A33AB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="00BC3723" w:rsidRPr="002A33AB">
        <w:rPr>
          <w:rFonts w:ascii="Times New Roman" w:hAnsi="Times New Roman" w:cs="Times New Roman"/>
          <w:sz w:val="22"/>
          <w:szCs w:val="22"/>
        </w:rPr>
        <w:t xml:space="preserve">Each line corresponds to one </w:t>
      </w:r>
      <w:r w:rsidR="0023627F">
        <w:rPr>
          <w:rFonts w:ascii="Times New Roman" w:hAnsi="Times New Roman" w:cs="Times New Roman"/>
          <w:sz w:val="22"/>
          <w:szCs w:val="22"/>
        </w:rPr>
        <w:t>1.5°C-consistent</w:t>
      </w:r>
      <w:r w:rsidR="00BC3723" w:rsidRPr="002A33AB">
        <w:rPr>
          <w:rFonts w:ascii="Times New Roman" w:hAnsi="Times New Roman" w:cs="Times New Roman"/>
          <w:sz w:val="22"/>
          <w:szCs w:val="22"/>
        </w:rPr>
        <w:t xml:space="preserve"> pathway.</w:t>
      </w:r>
    </w:p>
    <w:p w:rsidR="00242079" w:rsidRDefault="00242079" w:rsidP="00B013DD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  <w:sectPr w:rsidR="00242079" w:rsidSect="00F612BB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242079" w:rsidRPr="00094F84" w:rsidRDefault="002F5858" w:rsidP="00285316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2"/>
          <w:szCs w:val="28"/>
        </w:rPr>
        <w:lastRenderedPageBreak/>
        <w:drawing>
          <wp:inline distT="0" distB="0" distL="0" distR="0">
            <wp:extent cx="5270500" cy="5059680"/>
            <wp:effectExtent l="0" t="0" r="0" b="0"/>
            <wp:docPr id="7509103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910312" name="图片 75091031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05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797" w:rsidRPr="003A001A" w:rsidRDefault="00880797" w:rsidP="003A001A">
      <w:pPr>
        <w:pStyle w:val="p1"/>
        <w:spacing w:before="0" w:beforeAutospacing="0" w:after="0" w:afterAutospacing="0" w:line="288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</w:pPr>
      <w:r w:rsidRPr="00B45F98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 xml:space="preserve">Supplementary Figure </w:t>
      </w:r>
      <w:r w:rsidR="0081265A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1</w:t>
      </w:r>
      <w:r w:rsidR="00D37E46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0</w:t>
      </w:r>
      <w:r w:rsidRPr="00B45F98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.</w:t>
      </w:r>
      <w:r w:rsidRPr="00B45F98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955AA6" w:rsidRPr="00B45F98">
        <w:rPr>
          <w:rFonts w:ascii="Times New Roman" w:hAnsi="Times New Roman" w:cs="Times New Roman"/>
          <w:b/>
          <w:bCs/>
          <w:sz w:val="22"/>
          <w:szCs w:val="22"/>
        </w:rPr>
        <w:t>Fossil CO</w:t>
      </w:r>
      <w:r w:rsidR="00955AA6" w:rsidRPr="00B45F98">
        <w:rPr>
          <w:rFonts w:ascii="Times New Roman" w:hAnsi="Times New Roman" w:cs="Times New Roman"/>
          <w:b/>
          <w:bCs/>
          <w:sz w:val="22"/>
          <w:szCs w:val="22"/>
          <w:vertAlign w:val="subscript"/>
        </w:rPr>
        <w:t>2</w:t>
      </w:r>
      <w:r w:rsidR="00955AA6" w:rsidRPr="00B45F98">
        <w:rPr>
          <w:rFonts w:ascii="Times New Roman" w:hAnsi="Times New Roman" w:cs="Times New Roman"/>
          <w:b/>
          <w:bCs/>
          <w:sz w:val="22"/>
          <w:szCs w:val="22"/>
        </w:rPr>
        <w:t xml:space="preserve"> emissions </w:t>
      </w:r>
      <w:r w:rsidR="00955AA6" w:rsidRPr="00B45F98">
        <w:rPr>
          <w:rFonts w:ascii="Times New Roman" w:hAnsi="Times New Roman" w:cs="Times New Roman" w:hint="eastAsia"/>
          <w:b/>
          <w:bCs/>
          <w:sz w:val="22"/>
          <w:szCs w:val="22"/>
        </w:rPr>
        <w:t>for</w:t>
      </w:r>
      <w:r w:rsidR="00955AA6" w:rsidRPr="00B45F98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B814BE" w:rsidRPr="00B814BE">
        <w:rPr>
          <w:rFonts w:ascii="Times New Roman" w:hAnsi="Times New Roman" w:cs="Times New Roman"/>
          <w:b/>
          <w:bCs/>
          <w:sz w:val="22"/>
          <w:szCs w:val="22"/>
        </w:rPr>
        <w:t xml:space="preserve">other upper-middle-income countries </w:t>
      </w:r>
      <w:r w:rsidR="00955AA6" w:rsidRPr="00B45F98">
        <w:rPr>
          <w:rFonts w:ascii="Times New Roman" w:hAnsi="Times New Roman" w:cs="Times New Roman"/>
          <w:b/>
          <w:bCs/>
          <w:sz w:val="22"/>
          <w:szCs w:val="22"/>
        </w:rPr>
        <w:t>under</w:t>
      </w:r>
      <w:r w:rsidR="00FD1438" w:rsidRPr="006417E2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FD1438">
        <w:rPr>
          <w:rFonts w:ascii="Times New Roman" w:hAnsi="Times New Roman" w:cs="Times New Roman"/>
          <w:b/>
          <w:bCs/>
          <w:sz w:val="22"/>
          <w:szCs w:val="22"/>
        </w:rPr>
        <w:t xml:space="preserve">the </w:t>
      </w:r>
      <w:r w:rsidR="00FD1438" w:rsidRPr="00B72373">
        <w:rPr>
          <w:rFonts w:ascii="Times New Roman" w:hAnsi="Times New Roman" w:cs="Times New Roman"/>
          <w:b/>
          <w:bCs/>
          <w:sz w:val="22"/>
          <w:szCs w:val="22"/>
        </w:rPr>
        <w:t>fair-share-corrected pathway (orange) and the equal per-capita future allocation (blue)</w:t>
      </w:r>
      <w:r w:rsidR="00955AA6" w:rsidRPr="00B45F98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="00955AA6" w:rsidRPr="00B45F98">
        <w:rPr>
          <w:rFonts w:ascii="Times New Roman" w:hAnsi="Times New Roman" w:cs="Times New Roman"/>
          <w:sz w:val="22"/>
          <w:szCs w:val="22"/>
        </w:rPr>
        <w:t xml:space="preserve">Each line corresponds to one </w:t>
      </w:r>
      <w:r w:rsidR="0023627F">
        <w:rPr>
          <w:rFonts w:ascii="Times New Roman" w:hAnsi="Times New Roman" w:cs="Times New Roman"/>
          <w:sz w:val="22"/>
          <w:szCs w:val="22"/>
        </w:rPr>
        <w:t>1.5°C-consistent</w:t>
      </w:r>
      <w:r w:rsidR="00955AA6" w:rsidRPr="00B45F98">
        <w:rPr>
          <w:rFonts w:ascii="Times New Roman" w:hAnsi="Times New Roman" w:cs="Times New Roman"/>
          <w:sz w:val="22"/>
          <w:szCs w:val="22"/>
        </w:rPr>
        <w:t xml:space="preserve"> pathway.</w:t>
      </w:r>
    </w:p>
    <w:p w:rsidR="00647220" w:rsidRDefault="00647220" w:rsidP="00285316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  <w:sectPr w:rsidR="00647220" w:rsidSect="00F612BB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647220" w:rsidRPr="00094F84" w:rsidRDefault="00485612" w:rsidP="00647220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2"/>
          <w:szCs w:val="28"/>
        </w:rPr>
        <w:lastRenderedPageBreak/>
        <w:drawing>
          <wp:inline distT="0" distB="0" distL="0" distR="0">
            <wp:extent cx="5270500" cy="5059680"/>
            <wp:effectExtent l="0" t="0" r="0" b="0"/>
            <wp:docPr id="117445217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452171" name="图片 117445217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05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220" w:rsidRPr="003A001A" w:rsidRDefault="00647220" w:rsidP="00647220">
      <w:pPr>
        <w:pStyle w:val="p1"/>
        <w:spacing w:before="0" w:beforeAutospacing="0" w:after="0" w:afterAutospacing="0" w:line="288" w:lineRule="auto"/>
        <w:jc w:val="both"/>
        <w:rPr>
          <w:rFonts w:ascii="Times New Roman" w:hAnsi="Times New Roman" w:cs="Times New Roman"/>
          <w:b/>
          <w:bCs/>
          <w:sz w:val="22"/>
          <w:szCs w:val="22"/>
        </w:rPr>
      </w:pPr>
      <w:r w:rsidRPr="00B45F98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1</w:t>
      </w:r>
      <w:r w:rsidR="00485612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1</w:t>
      </w:r>
      <w:r w:rsidRPr="00B45F98">
        <w:rPr>
          <w:rFonts w:ascii="Times New Roman" w:hAnsi="Times New Roman" w:cs="Times New Roman"/>
          <w:b/>
          <w:bCs/>
          <w:color w:val="000000" w:themeColor="text1"/>
          <w:sz w:val="22"/>
          <w:szCs w:val="22"/>
        </w:rPr>
        <w:t>.</w:t>
      </w:r>
      <w:r w:rsidRPr="00B45F98">
        <w:rPr>
          <w:rFonts w:ascii="Times New Roman" w:hAnsi="Times New Roman" w:cs="Times New Roman"/>
          <w:b/>
          <w:bCs/>
          <w:sz w:val="22"/>
          <w:szCs w:val="22"/>
        </w:rPr>
        <w:t xml:space="preserve"> Fossil CO</w:t>
      </w:r>
      <w:r w:rsidRPr="00B45F98">
        <w:rPr>
          <w:rFonts w:ascii="Times New Roman" w:hAnsi="Times New Roman" w:cs="Times New Roman"/>
          <w:b/>
          <w:bCs/>
          <w:sz w:val="22"/>
          <w:szCs w:val="22"/>
          <w:vertAlign w:val="subscript"/>
        </w:rPr>
        <w:t>2</w:t>
      </w:r>
      <w:r w:rsidRPr="00B45F98">
        <w:rPr>
          <w:rFonts w:ascii="Times New Roman" w:hAnsi="Times New Roman" w:cs="Times New Roman"/>
          <w:b/>
          <w:bCs/>
          <w:sz w:val="22"/>
          <w:szCs w:val="22"/>
        </w:rPr>
        <w:t xml:space="preserve"> emissions </w:t>
      </w:r>
      <w:r w:rsidRPr="00B45F98">
        <w:rPr>
          <w:rFonts w:ascii="Times New Roman" w:hAnsi="Times New Roman" w:cs="Times New Roman" w:hint="eastAsia"/>
          <w:b/>
          <w:bCs/>
          <w:sz w:val="22"/>
          <w:szCs w:val="22"/>
        </w:rPr>
        <w:t>for</w:t>
      </w:r>
      <w:r w:rsidRPr="00B45F98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Pr="00B814BE">
        <w:rPr>
          <w:rFonts w:ascii="Times New Roman" w:hAnsi="Times New Roman" w:cs="Times New Roman"/>
          <w:b/>
          <w:bCs/>
          <w:sz w:val="22"/>
          <w:szCs w:val="22"/>
        </w:rPr>
        <w:t xml:space="preserve">other </w:t>
      </w:r>
      <w:r w:rsidR="00E435BF">
        <w:rPr>
          <w:rFonts w:ascii="Times New Roman" w:hAnsi="Times New Roman" w:cs="Times New Roman"/>
          <w:b/>
          <w:bCs/>
          <w:sz w:val="22"/>
          <w:szCs w:val="22"/>
        </w:rPr>
        <w:t>lower</w:t>
      </w:r>
      <w:r w:rsidRPr="00B814BE">
        <w:rPr>
          <w:rFonts w:ascii="Times New Roman" w:hAnsi="Times New Roman" w:cs="Times New Roman"/>
          <w:b/>
          <w:bCs/>
          <w:sz w:val="22"/>
          <w:szCs w:val="22"/>
        </w:rPr>
        <w:t xml:space="preserve">-middle-income countries </w:t>
      </w:r>
      <w:r w:rsidRPr="00B45F98">
        <w:rPr>
          <w:rFonts w:ascii="Times New Roman" w:hAnsi="Times New Roman" w:cs="Times New Roman"/>
          <w:b/>
          <w:bCs/>
          <w:sz w:val="22"/>
          <w:szCs w:val="22"/>
        </w:rPr>
        <w:t>under</w:t>
      </w:r>
      <w:r w:rsidRPr="006417E2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  <w:szCs w:val="22"/>
        </w:rPr>
        <w:t xml:space="preserve">the </w:t>
      </w:r>
      <w:r w:rsidRPr="00B72373">
        <w:rPr>
          <w:rFonts w:ascii="Times New Roman" w:hAnsi="Times New Roman" w:cs="Times New Roman"/>
          <w:b/>
          <w:bCs/>
          <w:sz w:val="22"/>
          <w:szCs w:val="22"/>
        </w:rPr>
        <w:t>fair-share-corrected pathway (orange) and the equal per-capita future allocation (blue)</w:t>
      </w:r>
      <w:r w:rsidRPr="00B45F98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Pr="00B45F98">
        <w:rPr>
          <w:rFonts w:ascii="Times New Roman" w:hAnsi="Times New Roman" w:cs="Times New Roman"/>
          <w:sz w:val="22"/>
          <w:szCs w:val="22"/>
        </w:rPr>
        <w:t xml:space="preserve">Each line corresponds to one </w:t>
      </w:r>
      <w:r w:rsidR="0023627F">
        <w:rPr>
          <w:rFonts w:ascii="Times New Roman" w:hAnsi="Times New Roman" w:cs="Times New Roman"/>
          <w:sz w:val="22"/>
          <w:szCs w:val="22"/>
        </w:rPr>
        <w:t>1.5°C-consistent</w:t>
      </w:r>
      <w:r w:rsidRPr="00B45F98">
        <w:rPr>
          <w:rFonts w:ascii="Times New Roman" w:hAnsi="Times New Roman" w:cs="Times New Roman"/>
          <w:sz w:val="22"/>
          <w:szCs w:val="22"/>
        </w:rPr>
        <w:t xml:space="preserve"> pathway.</w:t>
      </w:r>
    </w:p>
    <w:p w:rsidR="00880797" w:rsidRPr="00285316" w:rsidRDefault="00880797" w:rsidP="00285316">
      <w:pPr>
        <w:spacing w:line="288" w:lineRule="auto"/>
        <w:rPr>
          <w:rFonts w:ascii="Times New Roman" w:hAnsi="Times New Roman" w:cs="Times New Roman"/>
          <w:color w:val="000000" w:themeColor="text1"/>
          <w:sz w:val="22"/>
          <w:szCs w:val="28"/>
        </w:rPr>
        <w:sectPr w:rsidR="00880797" w:rsidRPr="00285316" w:rsidSect="00F612BB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242079" w:rsidRPr="00754F2A" w:rsidRDefault="005F0331" w:rsidP="00593F2D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32"/>
        </w:rPr>
        <w:lastRenderedPageBreak/>
        <w:drawing>
          <wp:inline distT="0" distB="0" distL="0" distR="0">
            <wp:extent cx="5270500" cy="6892290"/>
            <wp:effectExtent l="0" t="0" r="0" b="3810"/>
            <wp:docPr id="203013282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132829" name="图片 203013282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89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079" w:rsidRPr="00FE4C33" w:rsidRDefault="00FB31FD" w:rsidP="001C7CAE">
      <w:pPr>
        <w:pStyle w:val="p1"/>
        <w:spacing w:before="0" w:beforeAutospacing="0" w:after="0" w:afterAutospacing="0" w:line="288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</w:pPr>
      <w:r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Supplementary Figure </w:t>
      </w:r>
      <w:r w:rsidR="00BE1A4B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1</w:t>
      </w:r>
      <w:r w:rsidR="0081265A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2</w:t>
      </w:r>
      <w:r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. </w:t>
      </w:r>
      <w:r w:rsidR="007A277A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C</w:t>
      </w:r>
      <w:r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umulative </w:t>
      </w:r>
      <w:r w:rsidR="009E26DE" w:rsidRPr="00FE4C33">
        <w:rPr>
          <w:rFonts w:ascii="Times New Roman" w:hAnsi="Times New Roman" w:cs="Times New Roman" w:hint="eastAsia"/>
          <w:b/>
          <w:bCs/>
          <w:color w:val="000000" w:themeColor="text1"/>
          <w:sz w:val="22"/>
          <w:szCs w:val="28"/>
        </w:rPr>
        <w:t>net</w:t>
      </w:r>
      <w:r w:rsidR="009E26DE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-</w:t>
      </w:r>
      <w:r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negative CO</w:t>
      </w:r>
      <w:r w:rsidR="003634B8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  <w:vertAlign w:val="subscript"/>
        </w:rPr>
        <w:t>2</w:t>
      </w:r>
      <w:r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emissions requirements by 2100 under the </w:t>
      </w:r>
      <w:r w:rsidR="00E07EFF" w:rsidRPr="00E07EFF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warming-excess equity framework</w:t>
      </w:r>
      <w:r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.</w:t>
      </w:r>
      <w:r w:rsidR="001D2BE4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="0013773D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(a-d),</w:t>
      </w:r>
      <w:r w:rsidR="008C4DAF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Cumulative </w:t>
      </w:r>
      <w:r w:rsidR="006876F9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>net-</w:t>
      </w:r>
      <w:r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negative emissions </w:t>
      </w:r>
      <w:r w:rsidR="00E5448D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>CO</w:t>
      </w:r>
      <w:r w:rsidR="00E5448D" w:rsidRPr="00FE4C33">
        <w:rPr>
          <w:rFonts w:ascii="Times New Roman" w:hAnsi="Times New Roman" w:cs="Times New Roman"/>
          <w:color w:val="000000" w:themeColor="text1"/>
          <w:sz w:val="22"/>
          <w:szCs w:val="28"/>
          <w:vertAlign w:val="subscript"/>
        </w:rPr>
        <w:t>2</w:t>
      </w:r>
      <w:r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1D2BE4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>for</w:t>
      </w:r>
      <w:r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7B2BAF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countries in </w:t>
      </w:r>
      <w:r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four groups: </w:t>
      </w:r>
      <w:r w:rsidR="008C1CB4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>the EU</w:t>
      </w:r>
      <w:r w:rsidR="00843E4E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>27</w:t>
      </w:r>
      <w:r w:rsidR="006F29DE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6F29DE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(a)</w:t>
      </w:r>
      <w:r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, OECD countries excluding the </w:t>
      </w:r>
      <w:r w:rsidR="00500D57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>US</w:t>
      </w:r>
      <w:r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and </w:t>
      </w:r>
      <w:r w:rsidR="00500D57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>EU</w:t>
      </w:r>
      <w:r w:rsidR="00B60BE8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>27</w:t>
      </w:r>
      <w:r w:rsidR="0013697C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13697C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(b)</w:t>
      </w:r>
      <w:r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, </w:t>
      </w:r>
      <w:r w:rsidR="00DE11F5">
        <w:rPr>
          <w:rFonts w:ascii="Times New Roman" w:hAnsi="Times New Roman" w:cs="Times New Roman" w:hint="eastAsia"/>
          <w:color w:val="000000" w:themeColor="text1"/>
          <w:sz w:val="22"/>
          <w:szCs w:val="28"/>
        </w:rPr>
        <w:t>GCC</w:t>
      </w:r>
      <w:r w:rsidR="00DE11F5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DE11F5">
        <w:rPr>
          <w:rFonts w:ascii="Times New Roman" w:hAnsi="Times New Roman" w:cs="Times New Roman" w:hint="eastAsia"/>
          <w:color w:val="000000" w:themeColor="text1"/>
          <w:sz w:val="22"/>
          <w:szCs w:val="28"/>
        </w:rPr>
        <w:t>and</w:t>
      </w:r>
      <w:r w:rsidR="00DE11F5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0F5CAD" w:rsidRPr="000F5CAD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Sub-Saharan Africa </w:t>
      </w:r>
      <w:r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>countries</w:t>
      </w:r>
      <w:r w:rsidR="002E77AD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</w:t>
      </w:r>
      <w:r w:rsidR="002E77AD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(c)</w:t>
      </w:r>
      <w:r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, other </w:t>
      </w:r>
      <w:r w:rsidR="00AF2A81" w:rsidRPr="00AF2A81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upper-middle-income countries </w:t>
      </w:r>
      <w:r w:rsidR="00D64FA8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(d)</w:t>
      </w:r>
      <w:r w:rsidR="00AF2A81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, </w:t>
      </w:r>
      <w:r w:rsidR="00AF2A81" w:rsidRPr="00AF2A81">
        <w:rPr>
          <w:rFonts w:ascii="Times New Roman" w:hAnsi="Times New Roman" w:cs="Times New Roman"/>
          <w:color w:val="000000" w:themeColor="text1"/>
          <w:sz w:val="22"/>
          <w:szCs w:val="28"/>
        </w:rPr>
        <w:t>and</w:t>
      </w:r>
      <w:r w:rsidR="00AF2A81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="00AF2A81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other </w:t>
      </w:r>
      <w:r w:rsidR="00EB451E">
        <w:rPr>
          <w:rFonts w:ascii="Times New Roman" w:hAnsi="Times New Roman" w:cs="Times New Roman"/>
          <w:color w:val="000000" w:themeColor="text1"/>
          <w:sz w:val="22"/>
          <w:szCs w:val="28"/>
        </w:rPr>
        <w:t>lower</w:t>
      </w:r>
      <w:r w:rsidR="00AF2A81" w:rsidRPr="00AF2A81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-middle-income countries </w:t>
      </w:r>
      <w:r w:rsidR="00AF2A81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(</w:t>
      </w:r>
      <w:r w:rsidR="00EB451E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e</w:t>
      </w:r>
      <w:r w:rsidR="00AF2A81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)</w:t>
      </w:r>
      <w:r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. Boxes indicate the interquartile range (25th–75th percentiles), whiskers span the 10th–90th percentiles, and horizontal lines represent the medians across the set of </w:t>
      </w:r>
      <w:r w:rsidR="0023627F">
        <w:rPr>
          <w:rFonts w:ascii="Times New Roman" w:hAnsi="Times New Roman" w:cs="Times New Roman"/>
          <w:color w:val="000000" w:themeColor="text1"/>
          <w:sz w:val="22"/>
          <w:szCs w:val="28"/>
        </w:rPr>
        <w:t>1.5°C-consistent</w:t>
      </w:r>
      <w:r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 xml:space="preserve"> scenarios. </w:t>
      </w:r>
    </w:p>
    <w:p w:rsidR="00CE230D" w:rsidRDefault="00CE230D" w:rsidP="00593F2D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sectPr w:rsidR="00CE230D" w:rsidSect="00F612BB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242079" w:rsidRDefault="00D8237B" w:rsidP="00593F2D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32"/>
        </w:rPr>
        <w:lastRenderedPageBreak/>
        <w:drawing>
          <wp:inline distT="0" distB="0" distL="0" distR="0">
            <wp:extent cx="5270500" cy="6746240"/>
            <wp:effectExtent l="0" t="0" r="0" b="0"/>
            <wp:docPr id="184385764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57647" name="图片 184385764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74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727" w:rsidRPr="00FE4C33" w:rsidRDefault="00722727" w:rsidP="00F44E4D">
      <w:pPr>
        <w:pStyle w:val="p1"/>
        <w:spacing w:before="0" w:beforeAutospacing="0" w:after="0" w:afterAutospacing="0" w:line="288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</w:pPr>
      <w:r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Supplementary Figure </w:t>
      </w:r>
      <w:r w:rsidR="005C1CF4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1</w:t>
      </w:r>
      <w:r w:rsidR="0081265A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3</w:t>
      </w:r>
      <w:r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. </w:t>
      </w:r>
      <w:r w:rsidR="001B7D1C" w:rsidRPr="00FE4C33">
        <w:rPr>
          <w:rFonts w:ascii="Times New Roman" w:hAnsi="Times New Roman" w:cs="Times New Roman" w:hint="eastAsia"/>
          <w:b/>
          <w:bCs/>
          <w:color w:val="000000" w:themeColor="text1"/>
          <w:sz w:val="22"/>
          <w:szCs w:val="28"/>
        </w:rPr>
        <w:t>Incurred</w:t>
      </w:r>
      <w:r w:rsidR="001B7D1C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discounted </w:t>
      </w:r>
      <w:r w:rsidR="00E2662B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climate</w:t>
      </w:r>
      <w:r w:rsidR="002B0A7B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="001B7D1C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damages (positive values) or avoided damages (negative values) due to temperature</w:t>
      </w:r>
      <w:r w:rsidR="00180375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deviations</w:t>
      </w:r>
      <w:r w:rsidR="001B7D1C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relative to equitable counterfactuals, shown for individual countries grouped by </w:t>
      </w:r>
      <w:r w:rsidR="00032D30" w:rsidRPr="007D596F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the EU27 (a), OECD countries excluding the US and EU27 (b), </w:t>
      </w:r>
      <w:r w:rsidR="00032D30" w:rsidRPr="007D596F">
        <w:rPr>
          <w:rFonts w:ascii="Times New Roman" w:hAnsi="Times New Roman" w:cs="Times New Roman" w:hint="eastAsia"/>
          <w:b/>
          <w:bCs/>
          <w:color w:val="000000" w:themeColor="text1"/>
          <w:sz w:val="22"/>
          <w:szCs w:val="28"/>
        </w:rPr>
        <w:t>GCC</w:t>
      </w:r>
      <w:r w:rsidR="00032D30" w:rsidRPr="007D596F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</w:t>
      </w:r>
      <w:r w:rsidR="00032D30" w:rsidRPr="007D596F">
        <w:rPr>
          <w:rFonts w:ascii="Times New Roman" w:hAnsi="Times New Roman" w:cs="Times New Roman" w:hint="eastAsia"/>
          <w:b/>
          <w:bCs/>
          <w:color w:val="000000" w:themeColor="text1"/>
          <w:sz w:val="22"/>
          <w:szCs w:val="28"/>
        </w:rPr>
        <w:t>and</w:t>
      </w:r>
      <w:r w:rsidR="00032D30" w:rsidRPr="007D596F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 Sub-Saharan Africa countries (c), other upper-middle-income countries (d), and other lower-middle-income countries (e)</w:t>
      </w:r>
      <w:r w:rsidR="001B7D1C"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 xml:space="preserve">. </w:t>
      </w:r>
      <w:r w:rsidR="001B7D1C" w:rsidRPr="00FE4C33">
        <w:rPr>
          <w:rFonts w:ascii="Times New Roman" w:hAnsi="Times New Roman" w:cs="Times New Roman"/>
          <w:color w:val="000000" w:themeColor="text1"/>
          <w:sz w:val="22"/>
          <w:szCs w:val="28"/>
        </w:rPr>
        <w:t>Box plots indicate the median, interquartile range, and 10th–90th percentile ranges across scenario ensembles. Dashed horizontal lines represent zero net damages.</w:t>
      </w:r>
    </w:p>
    <w:p w:rsidR="009F4906" w:rsidRDefault="009F4906" w:rsidP="00593F2D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sectPr w:rsidR="009F4906" w:rsidSect="00F612BB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6B6290" w:rsidRDefault="00EC6B59" w:rsidP="00593F2D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32"/>
        </w:rPr>
        <w:lastRenderedPageBreak/>
        <w:drawing>
          <wp:inline distT="0" distB="0" distL="0" distR="0">
            <wp:extent cx="5270500" cy="4392295"/>
            <wp:effectExtent l="0" t="0" r="0" b="1905"/>
            <wp:docPr id="13583789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378909" name="图片 135837890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39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80A" w:rsidRDefault="00677824" w:rsidP="00A7780A">
      <w:pPr>
        <w:pStyle w:val="p1"/>
        <w:spacing w:before="0" w:beforeAutospacing="0" w:after="0" w:afterAutospacing="0" w:line="288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E4C33">
        <w:rPr>
          <w:rFonts w:ascii="Times New Roman" w:hAnsi="Times New Roman" w:cs="Times New Roman"/>
          <w:b/>
          <w:bCs/>
          <w:color w:val="000000" w:themeColor="text1"/>
          <w:sz w:val="22"/>
          <w:szCs w:val="28"/>
        </w:rPr>
        <w:t>Supplementary Figure 1</w:t>
      </w:r>
      <w:r w:rsidR="00A7780A" w:rsidRPr="00107EB9">
        <w:rPr>
          <w:rFonts w:ascii="Times New Roman" w:hAnsi="Times New Roman" w:cs="Times New Roman"/>
          <w:b/>
          <w:bCs/>
          <w:sz w:val="22"/>
          <w:szCs w:val="22"/>
        </w:rPr>
        <w:t xml:space="preserve">4. </w:t>
      </w:r>
      <w:r w:rsidR="00A7780A" w:rsidRPr="00AE66BC">
        <w:rPr>
          <w:rFonts w:ascii="Times New Roman" w:hAnsi="Times New Roman" w:cs="Times New Roman"/>
          <w:b/>
          <w:bCs/>
          <w:sz w:val="22"/>
          <w:szCs w:val="22"/>
        </w:rPr>
        <w:t>Attributed global climate damages arising from historical emission imbalances under the warming-excess equity framework</w:t>
      </w:r>
      <w:r w:rsidR="00C81929">
        <w:rPr>
          <w:rFonts w:ascii="Times New Roman" w:hAnsi="Times New Roman" w:cs="Times New Roman"/>
          <w:b/>
          <w:bCs/>
          <w:sz w:val="22"/>
          <w:szCs w:val="22"/>
        </w:rPr>
        <w:t xml:space="preserve"> using the </w:t>
      </w:r>
      <w:r w:rsidR="00C81929" w:rsidRPr="00C81929">
        <w:rPr>
          <w:rFonts w:ascii="Times New Roman" w:hAnsi="Times New Roman" w:cs="Times New Roman"/>
          <w:b/>
          <w:bCs/>
          <w:sz w:val="22"/>
          <w:szCs w:val="22"/>
        </w:rPr>
        <w:t>Howard–Sterner specification</w:t>
      </w:r>
      <w:r w:rsidR="003E714B">
        <w:rPr>
          <w:rFonts w:ascii="Times New Roman" w:hAnsi="Times New Roman" w:cs="Times New Roman"/>
          <w:b/>
          <w:bCs/>
          <w:sz w:val="22"/>
          <w:szCs w:val="22"/>
        </w:rPr>
        <w:t xml:space="preserve"> of climate damage functions</w:t>
      </w:r>
      <w:r w:rsidR="00A7780A" w:rsidRPr="00AE66BC">
        <w:rPr>
          <w:rFonts w:ascii="Times New Roman" w:hAnsi="Times New Roman" w:cs="Times New Roman"/>
          <w:b/>
          <w:bCs/>
          <w:sz w:val="22"/>
          <w:szCs w:val="22"/>
        </w:rPr>
        <w:t>.</w:t>
      </w:r>
      <w:r w:rsidR="00461F09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461F09">
        <w:rPr>
          <w:rFonts w:ascii="Times New Roman" w:hAnsi="Times New Roman" w:cs="Times New Roman"/>
          <w:b/>
          <w:bCs/>
          <w:sz w:val="22"/>
          <w:szCs w:val="22"/>
        </w:rPr>
        <w:fldChar w:fldCharType="begin"/>
      </w:r>
      <w:r w:rsidR="001C30A7">
        <w:rPr>
          <w:rFonts w:ascii="Times New Roman" w:hAnsi="Times New Roman" w:cs="Times New Roman"/>
          <w:b/>
          <w:bCs/>
          <w:sz w:val="22"/>
          <w:szCs w:val="22"/>
        </w:rPr>
        <w:instrText xml:space="preserve"> ADDIN EN.CITE &lt;EndNote&gt;&lt;Cite&gt;&lt;Author&gt;Howard&lt;/Author&gt;&lt;Year&gt;2025&lt;/Year&gt;&lt;RecNum&gt;683&lt;/RecNum&gt;&lt;DisplayText&gt;&lt;style face="superscript"&gt;10&lt;/style&gt;&lt;/DisplayText&gt;&lt;record&gt;&lt;rec-number&gt;683&lt;/rec-number&gt;&lt;foreign-keys&gt;&lt;key app="EN" db-id="5ee055sd2xs5afe2pra5pz2wdspawzpw5rvx" timestamp="1771033097"&gt;683&lt;/key&gt;&lt;/foreign-keys&gt;&lt;ref-type name="Journal Article"&gt;17&lt;/ref-type&gt;&lt;contributors&gt;&lt;authors&gt;&lt;author&gt;Howard, Peter H.&lt;/author&gt;&lt;author&gt;Sterner, Thomas&lt;/author&gt;&lt;/authors&gt;&lt;/contributors&gt;&lt;titles&gt;&lt;title&gt;Methodology Matters: A Careful Meta-Analysis of Climate Damages&lt;/title&gt;&lt;secondary-title&gt;Environmental and Resource Economics&lt;/secondary-title&gt;&lt;/titles&gt;&lt;periodical&gt;&lt;full-title&gt;Environmental and Resource Economics&lt;/full-title&gt;&lt;abbr-1&gt;Environ. Resour. Econ.&lt;/abbr-1&gt;&lt;/periodical&gt;&lt;pages&gt;3289-3327&lt;/pages&gt;&lt;volume&gt;88&lt;/volume&gt;&lt;number&gt;12&lt;/number&gt;&lt;dates&gt;&lt;year&gt;2025&lt;/year&gt;&lt;pub-dates&gt;&lt;date&gt;2025/12/01&lt;/date&gt;&lt;/pub-dates&gt;&lt;/dates&gt;&lt;isbn&gt;1573-1502&lt;/isbn&gt;&lt;urls&gt;&lt;related-urls&gt;&lt;url&gt;https://doi.org/10.1007/s10640-025-01016-7&lt;/url&gt;&lt;/related-urls&gt;&lt;/urls&gt;&lt;electronic-resource-num&gt;10.1007/s10640-025-01016-7&lt;/electronic-resource-num&gt;&lt;/record&gt;&lt;/Cite&gt;&lt;/EndNote&gt;</w:instrText>
      </w:r>
      <w:r w:rsidR="00461F09">
        <w:rPr>
          <w:rFonts w:ascii="Times New Roman" w:hAnsi="Times New Roman" w:cs="Times New Roman"/>
          <w:b/>
          <w:bCs/>
          <w:sz w:val="22"/>
          <w:szCs w:val="22"/>
        </w:rPr>
        <w:fldChar w:fldCharType="separate"/>
      </w:r>
      <w:r w:rsidR="001C30A7" w:rsidRPr="001C30A7">
        <w:rPr>
          <w:rFonts w:ascii="Times New Roman" w:hAnsi="Times New Roman" w:cs="Times New Roman"/>
          <w:b/>
          <w:bCs/>
          <w:noProof/>
          <w:sz w:val="22"/>
          <w:szCs w:val="22"/>
          <w:vertAlign w:val="superscript"/>
        </w:rPr>
        <w:t>10</w:t>
      </w:r>
      <w:r w:rsidR="00461F09">
        <w:rPr>
          <w:rFonts w:ascii="Times New Roman" w:hAnsi="Times New Roman" w:cs="Times New Roman"/>
          <w:b/>
          <w:bCs/>
          <w:sz w:val="22"/>
          <w:szCs w:val="22"/>
        </w:rPr>
        <w:fldChar w:fldCharType="end"/>
      </w:r>
      <w:r w:rsidR="00A7780A" w:rsidRPr="00AE66BC">
        <w:rPr>
          <w:rFonts w:ascii="Times New Roman" w:hAnsi="Times New Roman" w:cs="Times New Roman"/>
          <w:b/>
          <w:bCs/>
          <w:sz w:val="22"/>
          <w:szCs w:val="22"/>
        </w:rPr>
        <w:t xml:space="preserve"> (a)</w:t>
      </w:r>
      <w:r w:rsidR="00A7780A">
        <w:rPr>
          <w:rFonts w:ascii="Times New Roman" w:hAnsi="Times New Roman" w:cs="Times New Roman"/>
          <w:b/>
          <w:bCs/>
          <w:sz w:val="22"/>
          <w:szCs w:val="22"/>
        </w:rPr>
        <w:t>,</w:t>
      </w:r>
      <w:r w:rsidR="00A7780A" w:rsidRPr="00AE66BC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A7780A" w:rsidRPr="00AE66BC">
        <w:rPr>
          <w:rFonts w:ascii="Times New Roman" w:hAnsi="Times New Roman" w:cs="Times New Roman"/>
          <w:sz w:val="22"/>
          <w:szCs w:val="22"/>
        </w:rPr>
        <w:t>Annual attributed global climate damages by region, 1950–2100. Solid lines show cross-scenario medians; shaded bands span the 10th–90th percentile range across 161 1.5°C-consistent pathways. Positive values represent additional global economic damages attributed to a region's historical excess warming above the equal per-capita baseline; negative values represent global damages avoided owing to below-baseline historical emissions.</w:t>
      </w:r>
      <w:r w:rsidR="00A7780A" w:rsidRPr="00AE66BC">
        <w:rPr>
          <w:rFonts w:ascii="Times New Roman" w:hAnsi="Times New Roman" w:cs="Times New Roman"/>
          <w:b/>
          <w:bCs/>
          <w:sz w:val="22"/>
          <w:szCs w:val="22"/>
        </w:rPr>
        <w:t xml:space="preserve"> (b)</w:t>
      </w:r>
      <w:r w:rsidR="00A7780A">
        <w:rPr>
          <w:rFonts w:ascii="Times New Roman" w:hAnsi="Times New Roman" w:cs="Times New Roman"/>
          <w:b/>
          <w:bCs/>
          <w:sz w:val="22"/>
          <w:szCs w:val="22"/>
        </w:rPr>
        <w:t>,</w:t>
      </w:r>
      <w:r w:rsidR="00A7780A" w:rsidRPr="00AE66BC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A7780A" w:rsidRPr="00AE66BC">
        <w:rPr>
          <w:rFonts w:ascii="Times New Roman" w:hAnsi="Times New Roman" w:cs="Times New Roman"/>
          <w:sz w:val="22"/>
          <w:szCs w:val="22"/>
        </w:rPr>
        <w:t>Total discounted attributed global climate damages by region, aggregated over 1950–2100, for ten regions: USA, EU27, Russia, Other OECD (excluding USA and EU27), GCC, China, India, Sub-Saharan Africa, Other UMIC, and Other LMIC.</w:t>
      </w:r>
      <w:r w:rsidR="00A7780A" w:rsidRPr="00AE66BC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A7780A" w:rsidRPr="00AE66BC">
        <w:rPr>
          <w:rFonts w:ascii="Times New Roman" w:hAnsi="Times New Roman" w:cs="Times New Roman"/>
          <w:sz w:val="22"/>
          <w:szCs w:val="22"/>
        </w:rPr>
        <w:t xml:space="preserve">Boxes span the interquartile range; horizontal lines show medians; whiskers extend to the 10th and 90th percentiles. </w:t>
      </w:r>
      <w:r w:rsidR="00A7780A" w:rsidRPr="00AE66BC">
        <w:rPr>
          <w:rFonts w:ascii="Times New Roman" w:hAnsi="Times New Roman" w:cs="Times New Roman"/>
          <w:b/>
          <w:bCs/>
          <w:sz w:val="22"/>
          <w:szCs w:val="22"/>
        </w:rPr>
        <w:t>(c–l)</w:t>
      </w:r>
      <w:r w:rsidR="00A7780A">
        <w:rPr>
          <w:rFonts w:ascii="Times New Roman" w:hAnsi="Times New Roman" w:cs="Times New Roman"/>
          <w:b/>
          <w:bCs/>
          <w:sz w:val="22"/>
          <w:szCs w:val="22"/>
        </w:rPr>
        <w:t>,</w:t>
      </w:r>
      <w:r w:rsidR="00A7780A" w:rsidRPr="00AE66BC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A7780A" w:rsidRPr="00AE66BC">
        <w:rPr>
          <w:rFonts w:ascii="Times New Roman" w:hAnsi="Times New Roman" w:cs="Times New Roman"/>
          <w:sz w:val="22"/>
          <w:szCs w:val="22"/>
        </w:rPr>
        <w:t xml:space="preserve">Relationship between peak temperature overshoot above 1.5°C and total discounted attributed or avoided global climate damages for USA </w:t>
      </w:r>
      <w:r w:rsidR="00A7780A" w:rsidRPr="00A722BF">
        <w:rPr>
          <w:rFonts w:ascii="Times New Roman" w:hAnsi="Times New Roman" w:cs="Times New Roman"/>
          <w:b/>
          <w:bCs/>
          <w:sz w:val="22"/>
          <w:szCs w:val="22"/>
        </w:rPr>
        <w:t>(c)</w:t>
      </w:r>
      <w:r w:rsidR="00A7780A" w:rsidRPr="00AE66BC">
        <w:rPr>
          <w:rFonts w:ascii="Times New Roman" w:hAnsi="Times New Roman" w:cs="Times New Roman"/>
          <w:sz w:val="22"/>
          <w:szCs w:val="22"/>
        </w:rPr>
        <w:t xml:space="preserve">, EU27 </w:t>
      </w:r>
      <w:r w:rsidR="00A7780A" w:rsidRPr="001758FB">
        <w:rPr>
          <w:rFonts w:ascii="Times New Roman" w:hAnsi="Times New Roman" w:cs="Times New Roman"/>
          <w:b/>
          <w:bCs/>
          <w:sz w:val="22"/>
          <w:szCs w:val="22"/>
        </w:rPr>
        <w:t>(d)</w:t>
      </w:r>
      <w:r w:rsidR="00A7780A" w:rsidRPr="00AE66BC">
        <w:rPr>
          <w:rFonts w:ascii="Times New Roman" w:hAnsi="Times New Roman" w:cs="Times New Roman"/>
          <w:sz w:val="22"/>
          <w:szCs w:val="22"/>
        </w:rPr>
        <w:t xml:space="preserve">, Russia </w:t>
      </w:r>
      <w:r w:rsidR="00A7780A" w:rsidRPr="00305A84">
        <w:rPr>
          <w:rFonts w:ascii="Times New Roman" w:hAnsi="Times New Roman" w:cs="Times New Roman"/>
          <w:b/>
          <w:bCs/>
          <w:sz w:val="22"/>
          <w:szCs w:val="22"/>
        </w:rPr>
        <w:t>(e)</w:t>
      </w:r>
      <w:r w:rsidR="00A7780A" w:rsidRPr="00AE66BC">
        <w:rPr>
          <w:rFonts w:ascii="Times New Roman" w:hAnsi="Times New Roman" w:cs="Times New Roman"/>
          <w:sz w:val="22"/>
          <w:szCs w:val="22"/>
        </w:rPr>
        <w:t xml:space="preserve">, Other OECD </w:t>
      </w:r>
      <w:r w:rsidR="00A7780A" w:rsidRPr="00AC6F44">
        <w:rPr>
          <w:rFonts w:ascii="Times New Roman" w:hAnsi="Times New Roman" w:cs="Times New Roman"/>
          <w:b/>
          <w:bCs/>
          <w:sz w:val="22"/>
          <w:szCs w:val="22"/>
        </w:rPr>
        <w:t>(f)</w:t>
      </w:r>
      <w:r w:rsidR="00A7780A" w:rsidRPr="00AE66BC">
        <w:rPr>
          <w:rFonts w:ascii="Times New Roman" w:hAnsi="Times New Roman" w:cs="Times New Roman"/>
          <w:sz w:val="22"/>
          <w:szCs w:val="22"/>
        </w:rPr>
        <w:t xml:space="preserve">, GCC </w:t>
      </w:r>
      <w:r w:rsidR="00A7780A" w:rsidRPr="00D4623C">
        <w:rPr>
          <w:rFonts w:ascii="Times New Roman" w:hAnsi="Times New Roman" w:cs="Times New Roman"/>
          <w:b/>
          <w:bCs/>
          <w:sz w:val="22"/>
          <w:szCs w:val="22"/>
        </w:rPr>
        <w:t>(g)</w:t>
      </w:r>
      <w:r w:rsidR="00A7780A" w:rsidRPr="00AE66BC">
        <w:rPr>
          <w:rFonts w:ascii="Times New Roman" w:hAnsi="Times New Roman" w:cs="Times New Roman"/>
          <w:sz w:val="22"/>
          <w:szCs w:val="22"/>
        </w:rPr>
        <w:t xml:space="preserve">, China </w:t>
      </w:r>
      <w:r w:rsidR="00A7780A" w:rsidRPr="00D4623C">
        <w:rPr>
          <w:rFonts w:ascii="Times New Roman" w:hAnsi="Times New Roman" w:cs="Times New Roman"/>
          <w:b/>
          <w:bCs/>
          <w:sz w:val="22"/>
          <w:szCs w:val="22"/>
        </w:rPr>
        <w:t>(h)</w:t>
      </w:r>
      <w:r w:rsidR="00A7780A" w:rsidRPr="00AE66BC">
        <w:rPr>
          <w:rFonts w:ascii="Times New Roman" w:hAnsi="Times New Roman" w:cs="Times New Roman"/>
          <w:sz w:val="22"/>
          <w:szCs w:val="22"/>
        </w:rPr>
        <w:t xml:space="preserve">, India </w:t>
      </w:r>
      <w:r w:rsidR="00A7780A" w:rsidRPr="00946158">
        <w:rPr>
          <w:rFonts w:ascii="Times New Roman" w:hAnsi="Times New Roman" w:cs="Times New Roman"/>
          <w:b/>
          <w:bCs/>
          <w:sz w:val="22"/>
          <w:szCs w:val="22"/>
        </w:rPr>
        <w:t>(</w:t>
      </w:r>
      <w:proofErr w:type="spellStart"/>
      <w:r w:rsidR="00A7780A" w:rsidRPr="00946158">
        <w:rPr>
          <w:rFonts w:ascii="Times New Roman" w:hAnsi="Times New Roman" w:cs="Times New Roman"/>
          <w:b/>
          <w:bCs/>
          <w:sz w:val="22"/>
          <w:szCs w:val="22"/>
        </w:rPr>
        <w:t>i</w:t>
      </w:r>
      <w:proofErr w:type="spellEnd"/>
      <w:r w:rsidR="00A7780A" w:rsidRPr="00946158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A7780A" w:rsidRPr="00AE66BC">
        <w:rPr>
          <w:rFonts w:ascii="Times New Roman" w:hAnsi="Times New Roman" w:cs="Times New Roman"/>
          <w:sz w:val="22"/>
          <w:szCs w:val="22"/>
        </w:rPr>
        <w:t xml:space="preserve">, Sub-Saharan Africa </w:t>
      </w:r>
      <w:r w:rsidR="00A7780A" w:rsidRPr="00EC0415">
        <w:rPr>
          <w:rFonts w:ascii="Times New Roman" w:hAnsi="Times New Roman" w:cs="Times New Roman"/>
          <w:b/>
          <w:bCs/>
          <w:sz w:val="22"/>
          <w:szCs w:val="22"/>
        </w:rPr>
        <w:t>(j)</w:t>
      </w:r>
      <w:r w:rsidR="00A7780A" w:rsidRPr="00AE66BC">
        <w:rPr>
          <w:rFonts w:ascii="Times New Roman" w:hAnsi="Times New Roman" w:cs="Times New Roman"/>
          <w:sz w:val="22"/>
          <w:szCs w:val="22"/>
        </w:rPr>
        <w:t xml:space="preserve">, Other UMIC </w:t>
      </w:r>
      <w:r w:rsidR="00A7780A" w:rsidRPr="008915DF">
        <w:rPr>
          <w:rFonts w:ascii="Times New Roman" w:hAnsi="Times New Roman" w:cs="Times New Roman"/>
          <w:b/>
          <w:bCs/>
          <w:sz w:val="22"/>
          <w:szCs w:val="22"/>
        </w:rPr>
        <w:t>(k)</w:t>
      </w:r>
      <w:r w:rsidR="00A7780A" w:rsidRPr="00AE66BC">
        <w:rPr>
          <w:rFonts w:ascii="Times New Roman" w:hAnsi="Times New Roman" w:cs="Times New Roman"/>
          <w:sz w:val="22"/>
          <w:szCs w:val="22"/>
        </w:rPr>
        <w:t xml:space="preserve">, and Other LMIC </w:t>
      </w:r>
      <w:r w:rsidR="00A7780A" w:rsidRPr="00185117">
        <w:rPr>
          <w:rFonts w:ascii="Times New Roman" w:hAnsi="Times New Roman" w:cs="Times New Roman"/>
          <w:b/>
          <w:bCs/>
          <w:sz w:val="22"/>
          <w:szCs w:val="22"/>
        </w:rPr>
        <w:t>(l)</w:t>
      </w:r>
      <w:r w:rsidR="00A7780A" w:rsidRPr="00AE66BC">
        <w:rPr>
          <w:rFonts w:ascii="Times New Roman" w:hAnsi="Times New Roman" w:cs="Times New Roman"/>
          <w:sz w:val="22"/>
          <w:szCs w:val="22"/>
        </w:rPr>
        <w:t>. Each point represents one 1.5°C-consistent pathway. Dashed lines show least-squares regression fits with 95% confidence intervals. Damage estimates for each pathway are computed as the median outcome of 10,000 Monte Carlo simulations.</w:t>
      </w:r>
    </w:p>
    <w:p w:rsidR="00C94C90" w:rsidRPr="00A7780A" w:rsidRDefault="00C94C90" w:rsidP="00593F2D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</w:pPr>
    </w:p>
    <w:p w:rsidR="006B6290" w:rsidRPr="00884F12" w:rsidRDefault="006B6290" w:rsidP="00593F2D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sectPr w:rsidR="006B6290" w:rsidRPr="00884F12" w:rsidSect="00F612BB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1F0F01" w:rsidRPr="00884F12" w:rsidRDefault="001F0F01" w:rsidP="00E128E5">
      <w:pPr>
        <w:pStyle w:val="1"/>
        <w:spacing w:before="100" w:beforeAutospacing="1" w:after="100" w:afterAutospacing="1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4" w:name="_Supplementary_Figures"/>
      <w:bookmarkEnd w:id="4"/>
      <w:r w:rsidRPr="00884F1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="002776DF" w:rsidRPr="00884F1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Tables</w:t>
      </w:r>
    </w:p>
    <w:p w:rsidR="00BC5D7F" w:rsidRDefault="00B90273" w:rsidP="00ED03ED">
      <w:pPr>
        <w:pStyle w:val="a9"/>
        <w:spacing w:beforeLines="50" w:before="156" w:afterLines="50" w:after="156" w:line="288" w:lineRule="auto"/>
        <w:ind w:left="0"/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</w:pPr>
      <w:bookmarkStart w:id="5" w:name="_Toc34931207"/>
      <w:bookmarkStart w:id="6" w:name="_Toc34931812"/>
      <w:r w:rsidRPr="00884F12"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 xml:space="preserve">Supplementary </w:t>
      </w:r>
      <w:r w:rsidR="00BC5D7F" w:rsidRPr="00884F12"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>Table</w:t>
      </w:r>
      <w:r w:rsidR="00ED03ED"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 xml:space="preserve"> 1</w:t>
      </w:r>
      <w:r w:rsidR="00BC5D7F" w:rsidRPr="00884F12"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 xml:space="preserve">. </w:t>
      </w:r>
      <w:r w:rsidR="00323345" w:rsidRPr="00323345"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>1.5°C</w:t>
      </w:r>
      <w:r w:rsidR="002E65C8"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>-</w:t>
      </w:r>
      <w:r w:rsidR="00323345"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>consistent s</w:t>
      </w:r>
      <w:r w:rsidR="00F0649B" w:rsidRPr="00F0649B"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t>cenarios classified as C1 and C2 categories based on temperature outcomes</w:t>
      </w:r>
    </w:p>
    <w:tbl>
      <w:tblPr>
        <w:tblStyle w:val="af2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"/>
        <w:gridCol w:w="7255"/>
      </w:tblGrid>
      <w:tr w:rsidR="00DE03BC" w:rsidRPr="009F4239" w:rsidTr="00874C6A">
        <w:tc>
          <w:tcPr>
            <w:tcW w:w="0" w:type="auto"/>
          </w:tcPr>
          <w:p w:rsidR="00DE03BC" w:rsidRPr="009F4239" w:rsidRDefault="00EA506D" w:rsidP="00874C6A">
            <w:pPr>
              <w:pStyle w:val="a9"/>
              <w:spacing w:beforeLines="50" w:before="156" w:afterLines="50" w:after="156" w:line="288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  <w:szCs w:val="21"/>
              </w:rPr>
              <w:t>C</w:t>
            </w:r>
            <w:r>
              <w:rPr>
                <w:rFonts w:ascii="Times New Roman" w:hAnsi="Times New Roman" w:cs="Times New Roman" w:hint="eastAsia"/>
                <w:b/>
                <w:bCs/>
                <w:color w:val="000000" w:themeColor="text1"/>
                <w:szCs w:val="21"/>
              </w:rPr>
              <w:t>ategory</w:t>
            </w:r>
          </w:p>
        </w:tc>
        <w:tc>
          <w:tcPr>
            <w:tcW w:w="0" w:type="auto"/>
          </w:tcPr>
          <w:p w:rsidR="00DE03BC" w:rsidRPr="009F4239" w:rsidRDefault="00EA506D" w:rsidP="00874C6A">
            <w:pPr>
              <w:pStyle w:val="a9"/>
              <w:spacing w:beforeLines="50" w:before="156" w:afterLines="50" w:after="156" w:line="288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 w:hint="eastAsia"/>
                <w:b/>
                <w:bCs/>
                <w:color w:val="000000" w:themeColor="text1"/>
                <w:szCs w:val="21"/>
              </w:rPr>
              <w:t>Scenarios</w:t>
            </w:r>
          </w:p>
        </w:tc>
      </w:tr>
      <w:tr w:rsidR="00DE03BC" w:rsidRPr="009F4239" w:rsidTr="00874C6A">
        <w:tc>
          <w:tcPr>
            <w:tcW w:w="0" w:type="auto"/>
          </w:tcPr>
          <w:p w:rsidR="00DE03BC" w:rsidRPr="009F4239" w:rsidRDefault="00DE03BC" w:rsidP="004027AC">
            <w:pPr>
              <w:pStyle w:val="a9"/>
              <w:spacing w:beforeLines="50" w:before="156" w:afterLines="50" w:after="156" w:line="288" w:lineRule="auto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Cs w:val="21"/>
              </w:rPr>
            </w:pPr>
            <w:r w:rsidRPr="009F4239">
              <w:rPr>
                <w:rFonts w:ascii="Times New Roman" w:hAnsi="Times New Roman" w:cs="Times New Roman" w:hint="eastAsia"/>
                <w:b/>
                <w:bCs/>
                <w:color w:val="000000" w:themeColor="text1"/>
                <w:szCs w:val="21"/>
              </w:rPr>
              <w:t>C</w:t>
            </w:r>
            <w:r w:rsidRPr="009F4239">
              <w:rPr>
                <w:rFonts w:ascii="Times New Roman" w:hAnsi="Times New Roman" w:cs="Times New Roman"/>
                <w:b/>
                <w:bCs/>
                <w:color w:val="000000" w:themeColor="text1"/>
                <w:szCs w:val="21"/>
              </w:rPr>
              <w:t>1</w:t>
            </w:r>
          </w:p>
        </w:tc>
        <w:tc>
          <w:tcPr>
            <w:tcW w:w="0" w:type="auto"/>
          </w:tcPr>
          <w:p w:rsidR="00DE03BC" w:rsidRPr="008D3B9B" w:rsidRDefault="00DE03BC" w:rsidP="004027AC">
            <w:pPr>
              <w:pStyle w:val="a9"/>
              <w:spacing w:beforeLines="50" w:before="156" w:afterLines="50" w:after="156" w:line="288" w:lineRule="auto"/>
              <w:ind w:left="0"/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ADVANCE_2020_1.5C-2100 (AIM/CGE 2.0); EMF33_WB2C_cost100 (AIM/CGE 2.1); EMF33_WB2C_full (AIM/CGE 2.1); TERL_15D_LowCarbonTransportPolicy (AIM/CGE 2.1); TERL_15D_NoTransportPolicy (AIM/CGE 2.1); Ratchet-1.5-allCDR (En-ROADS-96); Ratchet-1.5-limCDR (En-ROADS-96); EMF33_WB2C_full (GCAM 4.2); EMF33_WB2C_limbio (GCAM 4.2); EMF33_WB2C_nobeccs (GCAM 4.2); EMF33_WB2C_nofuel (GCAM 4.2); EMF33_WB2C_none (GCAM 4.2); SSP1_SPA1_19I_D_LB (IMAGE 3.2); SSP2_SPA2_19I_D (IMAGE 3.2)</w:t>
            </w:r>
          </w:p>
        </w:tc>
      </w:tr>
      <w:tr w:rsidR="00DE03BC" w:rsidRPr="009F4239" w:rsidTr="00874C6A">
        <w:tc>
          <w:tcPr>
            <w:tcW w:w="0" w:type="auto"/>
          </w:tcPr>
          <w:p w:rsidR="00DE03BC" w:rsidRPr="009F4239" w:rsidRDefault="00DE03BC" w:rsidP="004027AC">
            <w:pPr>
              <w:pStyle w:val="a9"/>
              <w:spacing w:beforeLines="50" w:before="156" w:afterLines="50" w:after="156" w:line="288" w:lineRule="auto"/>
              <w:ind w:left="0"/>
              <w:rPr>
                <w:rFonts w:ascii="Times New Roman" w:hAnsi="Times New Roman" w:cs="Times New Roman"/>
                <w:b/>
                <w:bCs/>
                <w:color w:val="000000" w:themeColor="text1"/>
                <w:szCs w:val="21"/>
              </w:rPr>
            </w:pPr>
            <w:r w:rsidRPr="009F4239">
              <w:rPr>
                <w:rFonts w:ascii="Times New Roman" w:hAnsi="Times New Roman" w:cs="Times New Roman" w:hint="eastAsia"/>
                <w:b/>
                <w:bCs/>
                <w:color w:val="000000" w:themeColor="text1"/>
                <w:szCs w:val="21"/>
              </w:rPr>
              <w:t>C</w:t>
            </w:r>
            <w:r w:rsidRPr="009F4239">
              <w:rPr>
                <w:rFonts w:ascii="Times New Roman" w:hAnsi="Times New Roman" w:cs="Times New Roman"/>
                <w:b/>
                <w:bCs/>
                <w:color w:val="000000" w:themeColor="text1"/>
                <w:szCs w:val="21"/>
              </w:rPr>
              <w:t>2</w:t>
            </w:r>
          </w:p>
        </w:tc>
        <w:tc>
          <w:tcPr>
            <w:tcW w:w="0" w:type="auto"/>
          </w:tcPr>
          <w:p w:rsidR="00DE03BC" w:rsidRPr="008D3B9B" w:rsidRDefault="009F4239" w:rsidP="004027AC">
            <w:pPr>
              <w:pStyle w:val="a9"/>
              <w:spacing w:beforeLines="50" w:before="156" w:afterLines="50" w:after="156" w:line="288" w:lineRule="auto"/>
              <w:ind w:left="0"/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</w:pPr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ADVANCE_2030_Price1.5C (AIM/CGE 2.0); EMF30_Slower-to-faster+SLCF (AIM/CGE 2.0); EMF30_Slower-to-faster+SLCF+HFC (AIM/CGE 2.0); SSP1-19 (AIM/CGE 2.0); SSP2-19 (AIM/CGE 2.0); CD-LINKS_NPi2020_400 (AIM/CGE 2.1); EN_NPi2020_300f (AIM/CGE 2.2); EN_NPi2020_400f (AIM/CGE 2.2); EN_NPi2020_500f (AIM/CGE 2.2); 1.5C (AIM/Hub-Global 2.0); EMF33_1.5C_cost100 (BET EMF33); EMF33_1.5C_full (BET EMF33); EMF33_1.5C_nofuel (BET EMF33); Ratchet-1.5-limCDR-noOS (C-ROADS-5.005); Ratchet-1.5-noCDR (C-ROADS-5.005); Ratchet-1.5-noCDR-noOS (C-ROADS-5.005); CD-LINKS_NPi2020_400 (COPPE-COFFEE 1.0); EMF33_1.5C_limbio (DNE21+ V.14E2); SSP1-19 (GCAM 4.2); SSP2-19 (GCAM 4.2); SSP5-19 (GCAM 4.2); NGFS2_Divergent Net Zero Policies (GCAM 5.3); NGFS2_Net-Zero 2050 (GCAM 5.3); R_MAC_30_n8 (GCAM 5.3); R_MAC_35_n8 (GCAM 5.3); R_MAC_40_n8 (GCAM 5.3); R_MAC_45_n8 (GCAM 5.3); R_MAC_50_n8 (GCAM 5.3); R_MAC_55_n8 (GCAM 5.3); SSP1-DACCS-1p9-3pctHR (GCAM 5.3); SSP1-noDACCS-1p9-3pctHR (GCAM 5.3); SSP4-DACCS-1p9-3pctHR (GCAM 5.3); SSP4-noDACCS-1p9-3pctHR (GCAM 5.3); SSP_SSP1 (GCAM 5.3); SSP_SSP3 (GCAM 5.3); SSP_SSP4 (GCAM 5.3); GCAM_1.5C_high_os_high-cost-DAC (GCAM5.2_NET); GCAM_1.5C_high_os_low-cost-DAC (GCAM5.2_NET); EN_INDCi2030_600f (GEM-E3_V2021); EN_INDCi2030_600f_COV (GEM-E3_V2021); EN_INDCi2030_600f_COV_NDCp (GEM-E3_V2021); EN_INDCi2030_600f_NDCp (GEM-E3_V2021); EN_NPi2020_400f (GEM-E3_V2021); EN_NPi2020_500f (GEM-E3_V2021); EN_NPi2020_600f (GEM-E3_V2021); EN_NPi2020_600f_COV (GEM-E3_V2021); ADVANCE_2020_1.5C-2100 (IMAGE 3.0.1); CD-LINKS_NPi2020_400 (IMAGE 3.0.1); IMA15-AGInt (IMAGE 3.0.1); IMA15-Def (IMAGE 3.0.1); IMA15-Eff (IMAGE 3.0.1); IMA15-LiStCh (IMAGE 3.0.1); IMA15-LoNCO2 (IMAGE 3.0.1); IMA15-Pop (IMAGE 3.0.1); IMA15-RenElec (IMAGE 3.0.1); IMA15-TOT (IMAGE 3.0.1); SSP1-19 (IMAGE 3.0.1); SSP1_SPA1_19I_D (IMAGE 3.2); SSP1_SPA1_19I_LI (IMAGE 3.2); SSP1_SPA1_19I_LIRE (IMAGE 3.2); SSP1_SPA1_19I_LIRE_LB (IMAGE 3.2); SSP1_SPA1_19I_RE (IMAGE 3.2); SSP1_SPA1_19I_RE_LB (IMAGE 3.2); SSP2_SPA1_19I_LIRE_LB (IMAGE 3.2); SSP2_SPA1_19I_RE_LB (IMAGE 3.2); SSP2_SPA2_19I_LI (IMAGE 3.2); SSP2_SPA2_19I_LIRE (IMAGE 3.2); SSP2_SPA2_19I_RE (IMAGE 3.2); ADVANCE_2020_1.5C-2100 (MESSAGE-GLOBIOM 1.0); EMF33_1.5C_cost100 (MESSAGE-GLOBIOM 1.0); EMF33_1.5C_full (MESSAGE-GLOBIOM 1.0); SSP1-19 (MESSAGE-GLOBIOM 1.0); SSP2-19 </w:t>
            </w:r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lastRenderedPageBreak/>
              <w:t>(MESSAGE-GLOBIOM 1.0); CD-LINKS_NPi2020_400 (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MESSAGEix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-GLOBIOM 1.0); EN_NPi2020_200f (MESSAGEix-GLOBIOM_1.1); EN_NPi2020_300f (MESSAGEix-GLOBIOM_1.1); SSP2_openres_lc_100 (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MESSAGEix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-GLOBIOM_GEI 1.0); SSP2_openres_lc_120 (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MESSAGEix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-GLOBIOM_GEI 1.0); SSP2_openres_lc_CB400 (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MESSAGEix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-GLOBIOM_GEI 1.0); SSP2_openres_lc_CB450 (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MESSAGEix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-GLOBIOM_GEI 1.0); SSP2_openres_lc_CB500 (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MESSAGEix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-GLOBIOM_GEI 1.0); SSP2_openres_lc_CB550 (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MESSAGEix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-GLOBIOM_GEI 1.0); SSP2_openres_lc_CB600 (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MESSAGEix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-GLOBIOM_GEI 1.0); ADVANCE_2020_1.5C-2100 (POLES ADVANCE); ADVANCE_2030_1.5C-2100 (POLES ADVANCE); ADVANCE_2030_Price1.5C (POLES ADVANCE); CD-LINKS_INDC2030i_400 (POLES CD-LINKS); CD-LINKS_NPi2020_400 (POLES CD-LINKS); EMF30_ClimPolicy (POLES EMF30); EMF30_ClimPolicy+SLCF (POLES EMF30); EMF30_Slower-to-faster (POLES EMF30); EMF30_Slower-to-faster+SLCF (POLES EMF30); EMF30_Slower-to-faster+SLCF+HFC (POLES EMF30); EMF33_1.5C_cost100 (POLES EMF33); EMF33_1.5C_full (POLES EMF33); EMF33_1.5C_limbio (POLES EMF33); EMF33_1.5C_nofuel (POLES EMF33); EMF33_WB2C_cost100 (POLES EMF33); EMF33_WB2C_limbio (POLES EMF33); EMF33_WB2C_nobeccs (POLES EMF33); EMF33_WB2C_nofuel (POLES EMF33); EMF33_WB2C_none (POLES EMF33); ADVANCE_2020_1.5C-2100 (REMIND 1.7); ADVANCE_2030_1.5C-2100 (REMIND 1.7); ADVANCE_2030_Price1.5C (REMIND 1.7); CEMICS-1.5-CDR12 (REMIND 1.7); CEMICS-1.5-CDR20 (REMIND 1.7); CEMICS-1.5-CDR8 (REMIND 1.7); CEMICS_GDPgrowth_1p5 (REMIND 2.1); CEMICS_HotellingConst_1p5 (REMIND 2.1); CEMICS_Linear_1p5 (REMIND 2.1); LeastTotalCost_LTC_brkLR15_SSP1_P50 (REMIND 2.1); R2p1_SSP1-PkBudg1100 (REMIND 2.1); R2p1_SSP1-PkBudg900 (REMIND 2.1); 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START_Net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-zero (REMIND-H13 2.1); 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START_Net-zero_noLandUse_CDRlim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(REMIND-H13 2.1); 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START_Net-zero_noNuc_lowVRE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(REMIND-H13 2.1); SSP1-19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1.5); SSP2-19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1.5); SSP5-19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1.5); CD-LINKS_INDC2030i_400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CD-LINKS_NPi2020_400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EMF33_1.5C_cost100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EMF33_1.5C_full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EMF33_1.5C_nofuel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PEP_1p5C_full_eff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PEP_1p5C_full_goodpractice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PEP_1p5C_full_netzero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PEP_1p5C_red_eff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SMP_1p5C_Def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SMP_1p5C_Sust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SMP_1p5C_early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SMP_1p5C_lifesty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SMP_1p5C_regul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1.7-3.0); CEMICS_SSP1-1p5C-fullCDR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2.1-4.2); CEMICS_SSP1-1p5C-minCDR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2.1-4.2); SusDev_SDP-PkBudg1000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2.1-4.2); SusDev_SSP1-PkBudg900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2.1-4.2); DeepElec_SSP2_def_Budg900 (REMIND-</w:t>
            </w:r>
            <w:proofErr w:type="spellStart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>MAgPIE</w:t>
            </w:r>
            <w:proofErr w:type="spellEnd"/>
            <w:r w:rsidRPr="008D3B9B">
              <w:rPr>
                <w:rFonts w:ascii="Times New Roman" w:hAnsi="Times New Roman" w:cs="Times New Roman"/>
                <w:color w:val="000000" w:themeColor="text1"/>
                <w:sz w:val="15"/>
                <w:szCs w:val="15"/>
              </w:rPr>
              <w:t xml:space="preserve"> 2.1-4.3); Eff_1p5 (REMIND_EU 2.0); Incumb_1p5 (REMIND_EU 2.0); NewPl_1p5 (REMIND_EU 2.0); EN_INDCi2030_500f (WITCH 5.0); SSP1-19 (WITCH-GLOBIOM 3.1); SSP4-19 (WITCH-GLOBIOM 3.1); ADVANCE_2020_1.5C-2100 (WITCH-GLOBIOM 4.2); CD-LINKS_NPi2020_400 (WITCH-GLOBIOM 4.4)</w:t>
            </w:r>
          </w:p>
        </w:tc>
      </w:tr>
      <w:bookmarkEnd w:id="5"/>
      <w:bookmarkEnd w:id="6"/>
    </w:tbl>
    <w:p w:rsidR="00974D18" w:rsidRPr="00884F12" w:rsidRDefault="00974D18" w:rsidP="00593F2D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sectPr w:rsidR="00974D18" w:rsidRPr="00884F12" w:rsidSect="00F612BB">
          <w:pgSz w:w="11900" w:h="16840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2D2003" w:rsidRPr="00884F12" w:rsidRDefault="00974D18" w:rsidP="000465B9">
      <w:pPr>
        <w:pStyle w:val="1"/>
        <w:spacing w:before="100" w:beforeAutospacing="1" w:after="100" w:afterAutospacing="1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7" w:name="_Supplementary_References"/>
      <w:bookmarkEnd w:id="7"/>
      <w:r w:rsidRPr="00884F1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Supplementary References</w:t>
      </w:r>
    </w:p>
    <w:p w:rsidR="007D5C05" w:rsidRPr="007D5C05" w:rsidRDefault="0012786D" w:rsidP="007D5C05">
      <w:pPr>
        <w:pStyle w:val="EndNoteBibliography"/>
        <w:ind w:left="720" w:hanging="720"/>
        <w:rPr>
          <w:noProof/>
        </w:rPr>
      </w:pPr>
      <w:r w:rsidRPr="00884F12">
        <w:rPr>
          <w:rFonts w:asciiTheme="minorHAnsi" w:hAnsiTheme="minorHAnsi" w:cstheme="minorBidi"/>
          <w:b/>
          <w:bCs/>
          <w:color w:val="000000" w:themeColor="text1"/>
          <w:sz w:val="24"/>
          <w:szCs w:val="32"/>
        </w:rPr>
        <w:fldChar w:fldCharType="begin"/>
      </w:r>
      <w:r w:rsidRPr="00884F12">
        <w:rPr>
          <w:b/>
          <w:bCs/>
          <w:color w:val="000000" w:themeColor="text1"/>
          <w:sz w:val="24"/>
          <w:szCs w:val="32"/>
        </w:rPr>
        <w:instrText xml:space="preserve"> ADDIN EN.REFLIST </w:instrText>
      </w:r>
      <w:r w:rsidRPr="00884F12">
        <w:rPr>
          <w:b/>
          <w:bCs/>
          <w:color w:val="000000" w:themeColor="text1"/>
          <w:sz w:val="24"/>
          <w:szCs w:val="32"/>
        </w:rPr>
        <w:fldChar w:fldCharType="separate"/>
      </w:r>
      <w:r w:rsidR="007D5C05" w:rsidRPr="007D5C05">
        <w:rPr>
          <w:noProof/>
        </w:rPr>
        <w:t>1</w:t>
      </w:r>
      <w:r w:rsidR="007D5C05" w:rsidRPr="007D5C05">
        <w:rPr>
          <w:noProof/>
        </w:rPr>
        <w:tab/>
        <w:t xml:space="preserve">Matthews, H. D. Quantifying historical carbon and climate debts among nations. </w:t>
      </w:r>
      <w:r w:rsidR="007D5C05" w:rsidRPr="007D5C05">
        <w:rPr>
          <w:i/>
          <w:noProof/>
        </w:rPr>
        <w:t>Nat. Clim. Change</w:t>
      </w:r>
      <w:r w:rsidR="007D5C05" w:rsidRPr="007D5C05">
        <w:rPr>
          <w:noProof/>
        </w:rPr>
        <w:t xml:space="preserve"> </w:t>
      </w:r>
      <w:r w:rsidR="007D5C05" w:rsidRPr="007D5C05">
        <w:rPr>
          <w:b/>
          <w:noProof/>
        </w:rPr>
        <w:t>6</w:t>
      </w:r>
      <w:r w:rsidR="007D5C05" w:rsidRPr="007D5C05">
        <w:rPr>
          <w:noProof/>
        </w:rPr>
        <w:t xml:space="preserve">, 60-64 (2016). </w:t>
      </w:r>
      <w:hyperlink r:id="rId22" w:history="1">
        <w:r w:rsidR="007D5C05" w:rsidRPr="007D5C05">
          <w:rPr>
            <w:rStyle w:val="ae"/>
            <w:noProof/>
          </w:rPr>
          <w:t>https://doi.org/10.1038/nclimate2774</w:t>
        </w:r>
      </w:hyperlink>
    </w:p>
    <w:p w:rsidR="007D5C05" w:rsidRPr="007D5C05" w:rsidRDefault="007D5C05" w:rsidP="007D5C05">
      <w:pPr>
        <w:pStyle w:val="EndNoteBibliography"/>
        <w:ind w:left="720" w:hanging="720"/>
        <w:rPr>
          <w:noProof/>
        </w:rPr>
      </w:pPr>
      <w:r w:rsidRPr="007D5C05">
        <w:rPr>
          <w:noProof/>
        </w:rPr>
        <w:t>2</w:t>
      </w:r>
      <w:r w:rsidRPr="007D5C05">
        <w:rPr>
          <w:noProof/>
        </w:rPr>
        <w:tab/>
        <w:t>Rajamani, L.</w:t>
      </w:r>
      <w:r w:rsidRPr="007D5C05">
        <w:rPr>
          <w:i/>
          <w:noProof/>
        </w:rPr>
        <w:t xml:space="preserve"> et al.</w:t>
      </w:r>
      <w:r w:rsidRPr="007D5C05">
        <w:rPr>
          <w:noProof/>
        </w:rPr>
        <w:t xml:space="preserve"> National ‘fair shares’ in reducing greenhouse gas emissions within the principled framework of international environmental law. </w:t>
      </w:r>
      <w:r w:rsidRPr="007D5C05">
        <w:rPr>
          <w:i/>
          <w:noProof/>
        </w:rPr>
        <w:t>Clim. Policy</w:t>
      </w:r>
      <w:r w:rsidRPr="007D5C05">
        <w:rPr>
          <w:noProof/>
        </w:rPr>
        <w:t xml:space="preserve"> </w:t>
      </w:r>
      <w:r w:rsidRPr="007D5C05">
        <w:rPr>
          <w:b/>
          <w:noProof/>
        </w:rPr>
        <w:t>21</w:t>
      </w:r>
      <w:r w:rsidRPr="007D5C05">
        <w:rPr>
          <w:noProof/>
        </w:rPr>
        <w:t xml:space="preserve">, 983-1004 (2021). </w:t>
      </w:r>
      <w:hyperlink r:id="rId23" w:history="1">
        <w:r w:rsidRPr="007D5C05">
          <w:rPr>
            <w:rStyle w:val="ae"/>
            <w:noProof/>
          </w:rPr>
          <w:t>https://doi.org/10.1080/14693062.2021.1970504</w:t>
        </w:r>
      </w:hyperlink>
    </w:p>
    <w:p w:rsidR="007D5C05" w:rsidRPr="007D5C05" w:rsidRDefault="007D5C05" w:rsidP="007D5C05">
      <w:pPr>
        <w:pStyle w:val="EndNoteBibliography"/>
        <w:ind w:left="720" w:hanging="720"/>
        <w:rPr>
          <w:noProof/>
        </w:rPr>
      </w:pPr>
      <w:r w:rsidRPr="007D5C05">
        <w:rPr>
          <w:noProof/>
        </w:rPr>
        <w:t>3</w:t>
      </w:r>
      <w:r w:rsidRPr="007D5C05">
        <w:rPr>
          <w:noProof/>
        </w:rPr>
        <w:tab/>
        <w:t xml:space="preserve">Ridgley, M. A. Fair sharing of greenhouse gas burdens. </w:t>
      </w:r>
      <w:r w:rsidRPr="007D5C05">
        <w:rPr>
          <w:i/>
          <w:noProof/>
        </w:rPr>
        <w:t>Energy Policy</w:t>
      </w:r>
      <w:r w:rsidRPr="007D5C05">
        <w:rPr>
          <w:noProof/>
        </w:rPr>
        <w:t xml:space="preserve"> </w:t>
      </w:r>
      <w:r w:rsidRPr="007D5C05">
        <w:rPr>
          <w:b/>
          <w:noProof/>
        </w:rPr>
        <w:t>24</w:t>
      </w:r>
      <w:r w:rsidRPr="007D5C05">
        <w:rPr>
          <w:noProof/>
        </w:rPr>
        <w:t xml:space="preserve">, 517-529 (1996). </w:t>
      </w:r>
      <w:hyperlink r:id="rId24" w:history="1">
        <w:r w:rsidRPr="007D5C05">
          <w:rPr>
            <w:rStyle w:val="ae"/>
            <w:noProof/>
          </w:rPr>
          <w:t>https://doi.org/https://doi.org/10.1016/0301-4215(96)00034-1</w:t>
        </w:r>
      </w:hyperlink>
    </w:p>
    <w:p w:rsidR="007D5C05" w:rsidRPr="007D5C05" w:rsidRDefault="007D5C05" w:rsidP="007D5C05">
      <w:pPr>
        <w:pStyle w:val="EndNoteBibliography"/>
        <w:ind w:left="720" w:hanging="720"/>
        <w:rPr>
          <w:noProof/>
        </w:rPr>
      </w:pPr>
      <w:r w:rsidRPr="007D5C05">
        <w:rPr>
          <w:noProof/>
        </w:rPr>
        <w:t>4</w:t>
      </w:r>
      <w:r w:rsidRPr="007D5C05">
        <w:rPr>
          <w:noProof/>
        </w:rPr>
        <w:tab/>
        <w:t>Dooley, K.</w:t>
      </w:r>
      <w:r w:rsidRPr="007D5C05">
        <w:rPr>
          <w:i/>
          <w:noProof/>
        </w:rPr>
        <w:t xml:space="preserve"> et al.</w:t>
      </w:r>
      <w:r w:rsidRPr="007D5C05">
        <w:rPr>
          <w:noProof/>
        </w:rPr>
        <w:t xml:space="preserve"> Ethical choices behind quantifications of fair contributions under the Paris Agreement. </w:t>
      </w:r>
      <w:r w:rsidRPr="007D5C05">
        <w:rPr>
          <w:i/>
          <w:noProof/>
        </w:rPr>
        <w:t>Nat. Clim. Change</w:t>
      </w:r>
      <w:r w:rsidRPr="007D5C05">
        <w:rPr>
          <w:noProof/>
        </w:rPr>
        <w:t xml:space="preserve"> </w:t>
      </w:r>
      <w:r w:rsidRPr="007D5C05">
        <w:rPr>
          <w:b/>
          <w:noProof/>
        </w:rPr>
        <w:t>11</w:t>
      </w:r>
      <w:r w:rsidRPr="007D5C05">
        <w:rPr>
          <w:noProof/>
        </w:rPr>
        <w:t xml:space="preserve">, 300-305 (2021). </w:t>
      </w:r>
      <w:hyperlink r:id="rId25" w:history="1">
        <w:r w:rsidRPr="007D5C05">
          <w:rPr>
            <w:rStyle w:val="ae"/>
            <w:noProof/>
          </w:rPr>
          <w:t>https://doi.org/10.1038/s41558-021-01015-8</w:t>
        </w:r>
      </w:hyperlink>
    </w:p>
    <w:p w:rsidR="007D5C05" w:rsidRPr="007D5C05" w:rsidRDefault="007D5C05" w:rsidP="007D5C05">
      <w:pPr>
        <w:pStyle w:val="EndNoteBibliography"/>
        <w:ind w:left="720" w:hanging="720"/>
        <w:rPr>
          <w:noProof/>
        </w:rPr>
      </w:pPr>
      <w:r w:rsidRPr="007D5C05">
        <w:rPr>
          <w:noProof/>
        </w:rPr>
        <w:t>5</w:t>
      </w:r>
      <w:r w:rsidRPr="007D5C05">
        <w:rPr>
          <w:noProof/>
        </w:rPr>
        <w:tab/>
        <w:t>Smith, C. J.</w:t>
      </w:r>
      <w:r w:rsidRPr="007D5C05">
        <w:rPr>
          <w:i/>
          <w:noProof/>
        </w:rPr>
        <w:t xml:space="preserve"> et al.</w:t>
      </w:r>
      <w:r w:rsidRPr="007D5C05">
        <w:rPr>
          <w:noProof/>
        </w:rPr>
        <w:t xml:space="preserve"> FAIR v1.3: a simple emissions-based impulse response and carbon cycle model. </w:t>
      </w:r>
      <w:r w:rsidRPr="007D5C05">
        <w:rPr>
          <w:i/>
          <w:noProof/>
        </w:rPr>
        <w:t>Geosci. Model Dev.</w:t>
      </w:r>
      <w:r w:rsidRPr="007D5C05">
        <w:rPr>
          <w:noProof/>
        </w:rPr>
        <w:t xml:space="preserve"> </w:t>
      </w:r>
      <w:r w:rsidRPr="007D5C05">
        <w:rPr>
          <w:b/>
          <w:noProof/>
        </w:rPr>
        <w:t>11</w:t>
      </w:r>
      <w:r w:rsidRPr="007D5C05">
        <w:rPr>
          <w:noProof/>
        </w:rPr>
        <w:t xml:space="preserve">, 2273-2297 (2018). </w:t>
      </w:r>
      <w:hyperlink r:id="rId26" w:history="1">
        <w:r w:rsidRPr="007D5C05">
          <w:rPr>
            <w:rStyle w:val="ae"/>
            <w:noProof/>
          </w:rPr>
          <w:t>https://doi.org/https://doi.org/10.5194/gmd-11-2273-2018</w:t>
        </w:r>
      </w:hyperlink>
    </w:p>
    <w:p w:rsidR="007D5C05" w:rsidRPr="007D5C05" w:rsidRDefault="007D5C05" w:rsidP="007D5C05">
      <w:pPr>
        <w:pStyle w:val="EndNoteBibliography"/>
        <w:ind w:left="720" w:hanging="720"/>
        <w:rPr>
          <w:noProof/>
        </w:rPr>
      </w:pPr>
      <w:r w:rsidRPr="007D5C05">
        <w:rPr>
          <w:noProof/>
        </w:rPr>
        <w:t>6</w:t>
      </w:r>
      <w:r w:rsidRPr="007D5C05">
        <w:rPr>
          <w:noProof/>
        </w:rPr>
        <w:tab/>
        <w:t>Rennert, K.</w:t>
      </w:r>
      <w:r w:rsidRPr="007D5C05">
        <w:rPr>
          <w:i/>
          <w:noProof/>
        </w:rPr>
        <w:t xml:space="preserve"> et al.</w:t>
      </w:r>
      <w:r w:rsidRPr="007D5C05">
        <w:rPr>
          <w:noProof/>
        </w:rPr>
        <w:t xml:space="preserve"> Comprehensive evidence implies a higher social cost of CO2. </w:t>
      </w:r>
      <w:r w:rsidRPr="007D5C05">
        <w:rPr>
          <w:i/>
          <w:noProof/>
        </w:rPr>
        <w:t>Nature</w:t>
      </w:r>
      <w:r w:rsidRPr="007D5C05">
        <w:rPr>
          <w:noProof/>
        </w:rPr>
        <w:t xml:space="preserve"> </w:t>
      </w:r>
      <w:r w:rsidRPr="007D5C05">
        <w:rPr>
          <w:b/>
          <w:noProof/>
        </w:rPr>
        <w:t>610</w:t>
      </w:r>
      <w:r w:rsidRPr="007D5C05">
        <w:rPr>
          <w:noProof/>
        </w:rPr>
        <w:t xml:space="preserve">, 687-692 (2022). </w:t>
      </w:r>
      <w:hyperlink r:id="rId27" w:history="1">
        <w:r w:rsidRPr="007D5C05">
          <w:rPr>
            <w:rStyle w:val="ae"/>
            <w:noProof/>
          </w:rPr>
          <w:t>https://doi.org/https://doi.org/10.1038/s41586-022-05224-9</w:t>
        </w:r>
      </w:hyperlink>
    </w:p>
    <w:p w:rsidR="007D5C05" w:rsidRPr="007D5C05" w:rsidRDefault="007D5C05" w:rsidP="007D5C05">
      <w:pPr>
        <w:pStyle w:val="EndNoteBibliography"/>
        <w:ind w:left="720" w:hanging="720"/>
        <w:rPr>
          <w:noProof/>
        </w:rPr>
      </w:pPr>
      <w:r w:rsidRPr="007D5C05">
        <w:rPr>
          <w:noProof/>
        </w:rPr>
        <w:t>7</w:t>
      </w:r>
      <w:r w:rsidRPr="007D5C05">
        <w:rPr>
          <w:noProof/>
        </w:rPr>
        <w:tab/>
        <w:t xml:space="preserve">Hahn, T., Morfeldt, J., Höglund, R., Karlsson, M. &amp; Fetzer, I. Estimating countries’ additional carbon accountability for closing the mitigation gap based on past and future emissions. </w:t>
      </w:r>
      <w:r w:rsidRPr="007D5C05">
        <w:rPr>
          <w:i/>
          <w:noProof/>
        </w:rPr>
        <w:t>Nat. Commun.</w:t>
      </w:r>
      <w:r w:rsidRPr="007D5C05">
        <w:rPr>
          <w:noProof/>
        </w:rPr>
        <w:t xml:space="preserve"> </w:t>
      </w:r>
      <w:r w:rsidRPr="007D5C05">
        <w:rPr>
          <w:b/>
          <w:noProof/>
        </w:rPr>
        <w:t>15</w:t>
      </w:r>
      <w:r w:rsidRPr="007D5C05">
        <w:rPr>
          <w:noProof/>
        </w:rPr>
        <w:t xml:space="preserve">, 9707 (2024). </w:t>
      </w:r>
      <w:hyperlink r:id="rId28" w:history="1">
        <w:r w:rsidRPr="007D5C05">
          <w:rPr>
            <w:rStyle w:val="ae"/>
            <w:noProof/>
          </w:rPr>
          <w:t>https://doi.org/10.1038/s41467-024-54039-x</w:t>
        </w:r>
      </w:hyperlink>
    </w:p>
    <w:p w:rsidR="007D5C05" w:rsidRPr="007D5C05" w:rsidRDefault="007D5C05" w:rsidP="007D5C05">
      <w:pPr>
        <w:pStyle w:val="EndNoteBibliography"/>
        <w:ind w:left="720" w:hanging="720"/>
        <w:rPr>
          <w:noProof/>
        </w:rPr>
      </w:pPr>
      <w:r w:rsidRPr="007D5C05">
        <w:rPr>
          <w:noProof/>
        </w:rPr>
        <w:t>8</w:t>
      </w:r>
      <w:r w:rsidRPr="007D5C05">
        <w:rPr>
          <w:noProof/>
        </w:rPr>
        <w:tab/>
        <w:t>Jones, M. W.</w:t>
      </w:r>
      <w:r w:rsidRPr="007D5C05">
        <w:rPr>
          <w:i/>
          <w:noProof/>
        </w:rPr>
        <w:t xml:space="preserve"> et al.</w:t>
      </w:r>
      <w:r w:rsidRPr="007D5C05">
        <w:rPr>
          <w:noProof/>
        </w:rPr>
        <w:t xml:space="preserve"> National contributions to climate change due to historical emissions of carbon dioxide, methane, and nitrous oxide since 1850. </w:t>
      </w:r>
      <w:r w:rsidRPr="007D5C05">
        <w:rPr>
          <w:i/>
          <w:noProof/>
        </w:rPr>
        <w:t>Sci. Data</w:t>
      </w:r>
      <w:r w:rsidRPr="007D5C05">
        <w:rPr>
          <w:noProof/>
        </w:rPr>
        <w:t xml:space="preserve"> </w:t>
      </w:r>
      <w:r w:rsidRPr="007D5C05">
        <w:rPr>
          <w:b/>
          <w:noProof/>
        </w:rPr>
        <w:t>10</w:t>
      </w:r>
      <w:r w:rsidRPr="007D5C05">
        <w:rPr>
          <w:noProof/>
        </w:rPr>
        <w:t xml:space="preserve">, 155 (2023). </w:t>
      </w:r>
      <w:hyperlink r:id="rId29" w:history="1">
        <w:r w:rsidRPr="007D5C05">
          <w:rPr>
            <w:rStyle w:val="ae"/>
            <w:noProof/>
          </w:rPr>
          <w:t>https://doi.org/10.1038/s41597-023-02041-1</w:t>
        </w:r>
      </w:hyperlink>
    </w:p>
    <w:p w:rsidR="007D5C05" w:rsidRPr="007D5C05" w:rsidRDefault="007D5C05" w:rsidP="007D5C05">
      <w:pPr>
        <w:pStyle w:val="EndNoteBibliography"/>
        <w:ind w:left="720" w:hanging="720"/>
        <w:rPr>
          <w:noProof/>
        </w:rPr>
      </w:pPr>
      <w:r w:rsidRPr="007D5C05">
        <w:rPr>
          <w:noProof/>
        </w:rPr>
        <w:t>9</w:t>
      </w:r>
      <w:r w:rsidRPr="007D5C05">
        <w:rPr>
          <w:noProof/>
        </w:rPr>
        <w:tab/>
        <w:t xml:space="preserve">Li, M., Pelz, S., Lamboll, R., Wang, C. &amp; Rogelj, J. A principle-based framework to determine countries’ fair warming contributions to the Paris Agreement. </w:t>
      </w:r>
      <w:r w:rsidRPr="007D5C05">
        <w:rPr>
          <w:i/>
          <w:noProof/>
        </w:rPr>
        <w:t>Nat. Commun.</w:t>
      </w:r>
      <w:r w:rsidRPr="007D5C05">
        <w:rPr>
          <w:noProof/>
        </w:rPr>
        <w:t xml:space="preserve"> </w:t>
      </w:r>
      <w:r w:rsidRPr="007D5C05">
        <w:rPr>
          <w:b/>
          <w:noProof/>
        </w:rPr>
        <w:t>16</w:t>
      </w:r>
      <w:r w:rsidRPr="007D5C05">
        <w:rPr>
          <w:noProof/>
        </w:rPr>
        <w:t xml:space="preserve">, 1043 (2025). </w:t>
      </w:r>
      <w:hyperlink r:id="rId30" w:history="1">
        <w:r w:rsidRPr="007D5C05">
          <w:rPr>
            <w:rStyle w:val="ae"/>
            <w:noProof/>
          </w:rPr>
          <w:t>https://doi.org/10.1038/s41467-025-56397-6</w:t>
        </w:r>
      </w:hyperlink>
    </w:p>
    <w:p w:rsidR="007D5C05" w:rsidRPr="007D5C05" w:rsidRDefault="007D5C05" w:rsidP="007D5C05">
      <w:pPr>
        <w:pStyle w:val="EndNoteBibliography"/>
        <w:ind w:left="720" w:hanging="720"/>
        <w:rPr>
          <w:noProof/>
        </w:rPr>
      </w:pPr>
      <w:r w:rsidRPr="007D5C05">
        <w:rPr>
          <w:noProof/>
        </w:rPr>
        <w:t>10</w:t>
      </w:r>
      <w:r w:rsidRPr="007D5C05">
        <w:rPr>
          <w:noProof/>
        </w:rPr>
        <w:tab/>
        <w:t xml:space="preserve">Howard, P. H. &amp; Sterner, T. Methodology Matters: A Careful Meta-Analysis of Climate Damages. </w:t>
      </w:r>
      <w:r w:rsidRPr="007D5C05">
        <w:rPr>
          <w:i/>
          <w:noProof/>
        </w:rPr>
        <w:t>Environ. Resour. Econ.</w:t>
      </w:r>
      <w:r w:rsidRPr="007D5C05">
        <w:rPr>
          <w:noProof/>
        </w:rPr>
        <w:t xml:space="preserve"> </w:t>
      </w:r>
      <w:r w:rsidRPr="007D5C05">
        <w:rPr>
          <w:b/>
          <w:noProof/>
        </w:rPr>
        <w:t>88</w:t>
      </w:r>
      <w:r w:rsidRPr="007D5C05">
        <w:rPr>
          <w:noProof/>
        </w:rPr>
        <w:t xml:space="preserve">, 3289-3327 (2025). </w:t>
      </w:r>
      <w:hyperlink r:id="rId31" w:history="1">
        <w:r w:rsidRPr="007D5C05">
          <w:rPr>
            <w:rStyle w:val="ae"/>
            <w:noProof/>
          </w:rPr>
          <w:t>https://doi.org/10.1007/s10640-025-01016-7</w:t>
        </w:r>
      </w:hyperlink>
    </w:p>
    <w:p w:rsidR="00755D36" w:rsidRPr="00884F12" w:rsidRDefault="0012786D" w:rsidP="00F71837">
      <w:pPr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</w:pPr>
      <w:r w:rsidRPr="00884F12">
        <w:rPr>
          <w:rFonts w:ascii="Times New Roman" w:hAnsi="Times New Roman" w:cs="Times New Roman"/>
          <w:b/>
          <w:bCs/>
          <w:color w:val="000000" w:themeColor="text1"/>
          <w:sz w:val="24"/>
          <w:szCs w:val="32"/>
        </w:rPr>
        <w:fldChar w:fldCharType="end"/>
      </w:r>
    </w:p>
    <w:sectPr w:rsidR="00755D36" w:rsidRPr="00884F12" w:rsidSect="00F612BB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3844A7" w:rsidRDefault="003844A7" w:rsidP="00C92F09">
      <w:r>
        <w:separator/>
      </w:r>
    </w:p>
  </w:endnote>
  <w:endnote w:type="continuationSeparator" w:id="0">
    <w:p w:rsidR="003844A7" w:rsidRDefault="003844A7" w:rsidP="00C92F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3844A7" w:rsidRDefault="003844A7" w:rsidP="00C92F09">
      <w:r>
        <w:separator/>
      </w:r>
    </w:p>
  </w:footnote>
  <w:footnote w:type="continuationSeparator" w:id="0">
    <w:p w:rsidR="003844A7" w:rsidRDefault="003844A7" w:rsidP="00C92F0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014061"/>
    <w:multiLevelType w:val="hybridMultilevel"/>
    <w:tmpl w:val="B41E6AE8"/>
    <w:lvl w:ilvl="0" w:tplc="4502CF2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253E06B4"/>
    <w:multiLevelType w:val="hybridMultilevel"/>
    <w:tmpl w:val="A90CC270"/>
    <w:lvl w:ilvl="0" w:tplc="4B6CD914">
      <w:start w:val="1"/>
      <w:numFmt w:val="bullet"/>
      <w:lvlText w:val="•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" w15:restartNumberingAfterBreak="0">
    <w:nsid w:val="2B715385"/>
    <w:multiLevelType w:val="hybridMultilevel"/>
    <w:tmpl w:val="B6F8F074"/>
    <w:lvl w:ilvl="0" w:tplc="DE5863B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38763EB6"/>
    <w:multiLevelType w:val="hybridMultilevel"/>
    <w:tmpl w:val="A41A0CAE"/>
    <w:lvl w:ilvl="0" w:tplc="C09842D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3E870A5B"/>
    <w:multiLevelType w:val="hybridMultilevel"/>
    <w:tmpl w:val="305E071E"/>
    <w:lvl w:ilvl="0" w:tplc="5F5E15F2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3FFC7A25"/>
    <w:multiLevelType w:val="hybridMultilevel"/>
    <w:tmpl w:val="83442912"/>
    <w:lvl w:ilvl="0" w:tplc="97CC0C90">
      <w:start w:val="1"/>
      <w:numFmt w:val="bullet"/>
      <w:lvlText w:val="•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6" w15:restartNumberingAfterBreak="0">
    <w:nsid w:val="72382C4D"/>
    <w:multiLevelType w:val="hybridMultilevel"/>
    <w:tmpl w:val="5A2837C8"/>
    <w:lvl w:ilvl="0" w:tplc="EB687F5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7" w15:restartNumberingAfterBreak="0">
    <w:nsid w:val="75C55CDB"/>
    <w:multiLevelType w:val="hybridMultilevel"/>
    <w:tmpl w:val="F4A4FC8E"/>
    <w:lvl w:ilvl="0" w:tplc="9EC2189A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19936104">
    <w:abstractNumId w:val="3"/>
  </w:num>
  <w:num w:numId="2" w16cid:durableId="757020032">
    <w:abstractNumId w:val="1"/>
  </w:num>
  <w:num w:numId="3" w16cid:durableId="1241480604">
    <w:abstractNumId w:val="0"/>
  </w:num>
  <w:num w:numId="4" w16cid:durableId="1241867969">
    <w:abstractNumId w:val="4"/>
  </w:num>
  <w:num w:numId="5" w16cid:durableId="321586187">
    <w:abstractNumId w:val="5"/>
  </w:num>
  <w:num w:numId="6" w16cid:durableId="715274626">
    <w:abstractNumId w:val="2"/>
  </w:num>
  <w:num w:numId="7" w16cid:durableId="712385801">
    <w:abstractNumId w:val="6"/>
  </w:num>
  <w:num w:numId="8" w16cid:durableId="1065867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5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Times New Roman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ee055sd2xs5afe2pra5pz2wdspawzpw5rvx&quot;&gt;My EndNote Library&lt;record-ids&gt;&lt;item&gt;134&lt;/item&gt;&lt;item&gt;366&lt;/item&gt;&lt;item&gt;371&lt;/item&gt;&lt;item&gt;393&lt;/item&gt;&lt;item&gt;394&lt;/item&gt;&lt;item&gt;395&lt;/item&gt;&lt;item&gt;439&lt;/item&gt;&lt;item&gt;440&lt;/item&gt;&lt;item&gt;441&lt;/item&gt;&lt;item&gt;683&lt;/item&gt;&lt;/record-ids&gt;&lt;/item&gt;&lt;/Libraries&gt;"/>
    <w:docVar w:name="EN.UseJSCitationFormat" w:val="False"/>
  </w:docVars>
  <w:rsids>
    <w:rsidRoot w:val="00083AD6"/>
    <w:rsid w:val="00000598"/>
    <w:rsid w:val="0000084C"/>
    <w:rsid w:val="00001569"/>
    <w:rsid w:val="00002188"/>
    <w:rsid w:val="00003683"/>
    <w:rsid w:val="00004EE5"/>
    <w:rsid w:val="000063F9"/>
    <w:rsid w:val="00006A89"/>
    <w:rsid w:val="00006BD5"/>
    <w:rsid w:val="00006DF6"/>
    <w:rsid w:val="00007E8A"/>
    <w:rsid w:val="00011556"/>
    <w:rsid w:val="00013D37"/>
    <w:rsid w:val="00014784"/>
    <w:rsid w:val="00014DEF"/>
    <w:rsid w:val="000152EF"/>
    <w:rsid w:val="0001563D"/>
    <w:rsid w:val="00015B75"/>
    <w:rsid w:val="000162F7"/>
    <w:rsid w:val="00016694"/>
    <w:rsid w:val="00016823"/>
    <w:rsid w:val="000173A4"/>
    <w:rsid w:val="00017E0E"/>
    <w:rsid w:val="00020046"/>
    <w:rsid w:val="000201D2"/>
    <w:rsid w:val="000204BB"/>
    <w:rsid w:val="000213A6"/>
    <w:rsid w:val="00022A21"/>
    <w:rsid w:val="000238BB"/>
    <w:rsid w:val="0002532E"/>
    <w:rsid w:val="000304CA"/>
    <w:rsid w:val="0003071F"/>
    <w:rsid w:val="00030B79"/>
    <w:rsid w:val="00030CF4"/>
    <w:rsid w:val="0003170C"/>
    <w:rsid w:val="00032D30"/>
    <w:rsid w:val="00033519"/>
    <w:rsid w:val="00034471"/>
    <w:rsid w:val="0003465D"/>
    <w:rsid w:val="000348CF"/>
    <w:rsid w:val="00034EFD"/>
    <w:rsid w:val="00035C3B"/>
    <w:rsid w:val="00035E99"/>
    <w:rsid w:val="0003678B"/>
    <w:rsid w:val="00036797"/>
    <w:rsid w:val="00037D95"/>
    <w:rsid w:val="00040538"/>
    <w:rsid w:val="000409CD"/>
    <w:rsid w:val="00040C3C"/>
    <w:rsid w:val="00040F79"/>
    <w:rsid w:val="000411A2"/>
    <w:rsid w:val="0004121D"/>
    <w:rsid w:val="00041E60"/>
    <w:rsid w:val="00042495"/>
    <w:rsid w:val="00042AA2"/>
    <w:rsid w:val="0004363D"/>
    <w:rsid w:val="0004385F"/>
    <w:rsid w:val="00043A6A"/>
    <w:rsid w:val="00043F62"/>
    <w:rsid w:val="0004420B"/>
    <w:rsid w:val="000450C9"/>
    <w:rsid w:val="00045167"/>
    <w:rsid w:val="00045E18"/>
    <w:rsid w:val="000465B9"/>
    <w:rsid w:val="00047527"/>
    <w:rsid w:val="00051977"/>
    <w:rsid w:val="0005439D"/>
    <w:rsid w:val="0005458E"/>
    <w:rsid w:val="000610DD"/>
    <w:rsid w:val="00062153"/>
    <w:rsid w:val="0006218E"/>
    <w:rsid w:val="00062894"/>
    <w:rsid w:val="000628D5"/>
    <w:rsid w:val="000634AA"/>
    <w:rsid w:val="00063B58"/>
    <w:rsid w:val="00063CE7"/>
    <w:rsid w:val="00065816"/>
    <w:rsid w:val="000663F3"/>
    <w:rsid w:val="0006659D"/>
    <w:rsid w:val="000705C3"/>
    <w:rsid w:val="000705C8"/>
    <w:rsid w:val="00070F5F"/>
    <w:rsid w:val="0007149E"/>
    <w:rsid w:val="00071AD6"/>
    <w:rsid w:val="0007211B"/>
    <w:rsid w:val="00072334"/>
    <w:rsid w:val="000725A8"/>
    <w:rsid w:val="00072DCA"/>
    <w:rsid w:val="00072E7F"/>
    <w:rsid w:val="00073288"/>
    <w:rsid w:val="000735FF"/>
    <w:rsid w:val="0007403A"/>
    <w:rsid w:val="000749FA"/>
    <w:rsid w:val="00074A87"/>
    <w:rsid w:val="00074BDD"/>
    <w:rsid w:val="00074D41"/>
    <w:rsid w:val="00074F7A"/>
    <w:rsid w:val="00077459"/>
    <w:rsid w:val="00077A7C"/>
    <w:rsid w:val="00077EEE"/>
    <w:rsid w:val="00080217"/>
    <w:rsid w:val="00081132"/>
    <w:rsid w:val="00082ADA"/>
    <w:rsid w:val="0008316C"/>
    <w:rsid w:val="000831CA"/>
    <w:rsid w:val="00083AD6"/>
    <w:rsid w:val="000865B2"/>
    <w:rsid w:val="00086999"/>
    <w:rsid w:val="00087FA9"/>
    <w:rsid w:val="00090251"/>
    <w:rsid w:val="000911EA"/>
    <w:rsid w:val="00092BE8"/>
    <w:rsid w:val="000935EA"/>
    <w:rsid w:val="00093F03"/>
    <w:rsid w:val="00094A6E"/>
    <w:rsid w:val="00094F84"/>
    <w:rsid w:val="00095938"/>
    <w:rsid w:val="00095A27"/>
    <w:rsid w:val="000965A2"/>
    <w:rsid w:val="00097052"/>
    <w:rsid w:val="0009739B"/>
    <w:rsid w:val="000A0ED3"/>
    <w:rsid w:val="000A1C0D"/>
    <w:rsid w:val="000A1D07"/>
    <w:rsid w:val="000A3B0A"/>
    <w:rsid w:val="000A3F65"/>
    <w:rsid w:val="000A649D"/>
    <w:rsid w:val="000A69D0"/>
    <w:rsid w:val="000A7A49"/>
    <w:rsid w:val="000A7C42"/>
    <w:rsid w:val="000B059A"/>
    <w:rsid w:val="000B0681"/>
    <w:rsid w:val="000B0903"/>
    <w:rsid w:val="000B13D7"/>
    <w:rsid w:val="000B1703"/>
    <w:rsid w:val="000B1EB0"/>
    <w:rsid w:val="000B276A"/>
    <w:rsid w:val="000B2880"/>
    <w:rsid w:val="000B3F3F"/>
    <w:rsid w:val="000B5CE7"/>
    <w:rsid w:val="000B660F"/>
    <w:rsid w:val="000B6878"/>
    <w:rsid w:val="000B6B4B"/>
    <w:rsid w:val="000B6F16"/>
    <w:rsid w:val="000B7A33"/>
    <w:rsid w:val="000B7F38"/>
    <w:rsid w:val="000C040C"/>
    <w:rsid w:val="000C06CE"/>
    <w:rsid w:val="000C0BF6"/>
    <w:rsid w:val="000C2CD0"/>
    <w:rsid w:val="000C2D78"/>
    <w:rsid w:val="000C314B"/>
    <w:rsid w:val="000C3B39"/>
    <w:rsid w:val="000C4FAE"/>
    <w:rsid w:val="000C6051"/>
    <w:rsid w:val="000C64A3"/>
    <w:rsid w:val="000C672E"/>
    <w:rsid w:val="000C7436"/>
    <w:rsid w:val="000C7E88"/>
    <w:rsid w:val="000C7FB3"/>
    <w:rsid w:val="000D027B"/>
    <w:rsid w:val="000D0E6E"/>
    <w:rsid w:val="000D1624"/>
    <w:rsid w:val="000D195B"/>
    <w:rsid w:val="000D2689"/>
    <w:rsid w:val="000D3C1D"/>
    <w:rsid w:val="000D3F73"/>
    <w:rsid w:val="000D437E"/>
    <w:rsid w:val="000D4FC4"/>
    <w:rsid w:val="000D50E2"/>
    <w:rsid w:val="000D5795"/>
    <w:rsid w:val="000D596C"/>
    <w:rsid w:val="000D5FEF"/>
    <w:rsid w:val="000D62EC"/>
    <w:rsid w:val="000D6AA6"/>
    <w:rsid w:val="000E0160"/>
    <w:rsid w:val="000E08BF"/>
    <w:rsid w:val="000E09E0"/>
    <w:rsid w:val="000E0EFF"/>
    <w:rsid w:val="000E3367"/>
    <w:rsid w:val="000E3579"/>
    <w:rsid w:val="000E4751"/>
    <w:rsid w:val="000E52E3"/>
    <w:rsid w:val="000E565E"/>
    <w:rsid w:val="000E5A48"/>
    <w:rsid w:val="000E634A"/>
    <w:rsid w:val="000E6434"/>
    <w:rsid w:val="000E658D"/>
    <w:rsid w:val="000E70D3"/>
    <w:rsid w:val="000F097B"/>
    <w:rsid w:val="000F0D53"/>
    <w:rsid w:val="000F1B17"/>
    <w:rsid w:val="000F1DB5"/>
    <w:rsid w:val="000F29AD"/>
    <w:rsid w:val="000F2B4B"/>
    <w:rsid w:val="000F2EB5"/>
    <w:rsid w:val="000F4790"/>
    <w:rsid w:val="000F5264"/>
    <w:rsid w:val="000F53DE"/>
    <w:rsid w:val="000F5CAD"/>
    <w:rsid w:val="000F68DD"/>
    <w:rsid w:val="000F69F8"/>
    <w:rsid w:val="000F742B"/>
    <w:rsid w:val="000F7C86"/>
    <w:rsid w:val="00100844"/>
    <w:rsid w:val="00101D49"/>
    <w:rsid w:val="0010246B"/>
    <w:rsid w:val="00102FD9"/>
    <w:rsid w:val="001030D0"/>
    <w:rsid w:val="00103D87"/>
    <w:rsid w:val="0010437B"/>
    <w:rsid w:val="00104B7E"/>
    <w:rsid w:val="00107234"/>
    <w:rsid w:val="001079DB"/>
    <w:rsid w:val="00110948"/>
    <w:rsid w:val="00110E69"/>
    <w:rsid w:val="00112018"/>
    <w:rsid w:val="00112B78"/>
    <w:rsid w:val="001131A6"/>
    <w:rsid w:val="00113595"/>
    <w:rsid w:val="00113EA2"/>
    <w:rsid w:val="001146A6"/>
    <w:rsid w:val="00115977"/>
    <w:rsid w:val="00116352"/>
    <w:rsid w:val="001169B5"/>
    <w:rsid w:val="00117588"/>
    <w:rsid w:val="00117A07"/>
    <w:rsid w:val="00117D3A"/>
    <w:rsid w:val="0012089A"/>
    <w:rsid w:val="00121366"/>
    <w:rsid w:val="00123A37"/>
    <w:rsid w:val="0012428B"/>
    <w:rsid w:val="00124B4D"/>
    <w:rsid w:val="00126A06"/>
    <w:rsid w:val="0012721C"/>
    <w:rsid w:val="00127518"/>
    <w:rsid w:val="0012786D"/>
    <w:rsid w:val="00130464"/>
    <w:rsid w:val="00131021"/>
    <w:rsid w:val="001317F2"/>
    <w:rsid w:val="001318A7"/>
    <w:rsid w:val="001326E8"/>
    <w:rsid w:val="001343AB"/>
    <w:rsid w:val="00134F66"/>
    <w:rsid w:val="0013697C"/>
    <w:rsid w:val="0013773D"/>
    <w:rsid w:val="0014023C"/>
    <w:rsid w:val="001414AD"/>
    <w:rsid w:val="00141723"/>
    <w:rsid w:val="00141824"/>
    <w:rsid w:val="00141E72"/>
    <w:rsid w:val="0014245C"/>
    <w:rsid w:val="0014365C"/>
    <w:rsid w:val="0014369C"/>
    <w:rsid w:val="00143C32"/>
    <w:rsid w:val="00144E24"/>
    <w:rsid w:val="0014551C"/>
    <w:rsid w:val="00145C7B"/>
    <w:rsid w:val="00150018"/>
    <w:rsid w:val="001503B3"/>
    <w:rsid w:val="001503E1"/>
    <w:rsid w:val="00150A90"/>
    <w:rsid w:val="00151254"/>
    <w:rsid w:val="00151780"/>
    <w:rsid w:val="00151868"/>
    <w:rsid w:val="00151FE2"/>
    <w:rsid w:val="00152C0F"/>
    <w:rsid w:val="00153D2F"/>
    <w:rsid w:val="00154802"/>
    <w:rsid w:val="00154E60"/>
    <w:rsid w:val="001552F9"/>
    <w:rsid w:val="00155719"/>
    <w:rsid w:val="00155939"/>
    <w:rsid w:val="00155DBC"/>
    <w:rsid w:val="0015615E"/>
    <w:rsid w:val="00156BFA"/>
    <w:rsid w:val="00157240"/>
    <w:rsid w:val="001577E2"/>
    <w:rsid w:val="00157D3D"/>
    <w:rsid w:val="00160658"/>
    <w:rsid w:val="001627CE"/>
    <w:rsid w:val="001630A2"/>
    <w:rsid w:val="001632E5"/>
    <w:rsid w:val="0016355C"/>
    <w:rsid w:val="001643D9"/>
    <w:rsid w:val="0016476C"/>
    <w:rsid w:val="001656F0"/>
    <w:rsid w:val="00165EFC"/>
    <w:rsid w:val="0016708C"/>
    <w:rsid w:val="001700A5"/>
    <w:rsid w:val="00170734"/>
    <w:rsid w:val="00171BD1"/>
    <w:rsid w:val="001722B6"/>
    <w:rsid w:val="001735E6"/>
    <w:rsid w:val="001741F3"/>
    <w:rsid w:val="00175022"/>
    <w:rsid w:val="00175315"/>
    <w:rsid w:val="00177286"/>
    <w:rsid w:val="00180216"/>
    <w:rsid w:val="0018023D"/>
    <w:rsid w:val="00180375"/>
    <w:rsid w:val="00180BCC"/>
    <w:rsid w:val="001815A2"/>
    <w:rsid w:val="0018271A"/>
    <w:rsid w:val="00182C91"/>
    <w:rsid w:val="0018417D"/>
    <w:rsid w:val="00184721"/>
    <w:rsid w:val="001851C1"/>
    <w:rsid w:val="00185773"/>
    <w:rsid w:val="00185911"/>
    <w:rsid w:val="00185F7F"/>
    <w:rsid w:val="00186B43"/>
    <w:rsid w:val="0018722C"/>
    <w:rsid w:val="001877F0"/>
    <w:rsid w:val="00187E44"/>
    <w:rsid w:val="001901A2"/>
    <w:rsid w:val="00190C8F"/>
    <w:rsid w:val="00190E38"/>
    <w:rsid w:val="00191E61"/>
    <w:rsid w:val="001922CE"/>
    <w:rsid w:val="00192925"/>
    <w:rsid w:val="0019297B"/>
    <w:rsid w:val="0019386C"/>
    <w:rsid w:val="00193A9C"/>
    <w:rsid w:val="00193C47"/>
    <w:rsid w:val="00195D94"/>
    <w:rsid w:val="001962B6"/>
    <w:rsid w:val="00196679"/>
    <w:rsid w:val="00196DC4"/>
    <w:rsid w:val="0019739A"/>
    <w:rsid w:val="00197848"/>
    <w:rsid w:val="00197A80"/>
    <w:rsid w:val="001A07AE"/>
    <w:rsid w:val="001A0B47"/>
    <w:rsid w:val="001A2088"/>
    <w:rsid w:val="001A26E8"/>
    <w:rsid w:val="001A3374"/>
    <w:rsid w:val="001A3DAE"/>
    <w:rsid w:val="001A4738"/>
    <w:rsid w:val="001A5239"/>
    <w:rsid w:val="001A53A9"/>
    <w:rsid w:val="001A5FA9"/>
    <w:rsid w:val="001A68FA"/>
    <w:rsid w:val="001A7662"/>
    <w:rsid w:val="001A7ABB"/>
    <w:rsid w:val="001A7EEF"/>
    <w:rsid w:val="001A7F89"/>
    <w:rsid w:val="001B09E7"/>
    <w:rsid w:val="001B145A"/>
    <w:rsid w:val="001B1D4D"/>
    <w:rsid w:val="001B3441"/>
    <w:rsid w:val="001B4267"/>
    <w:rsid w:val="001B43BC"/>
    <w:rsid w:val="001B4439"/>
    <w:rsid w:val="001B4AA6"/>
    <w:rsid w:val="001B4D15"/>
    <w:rsid w:val="001B5BE6"/>
    <w:rsid w:val="001B5EC9"/>
    <w:rsid w:val="001B6182"/>
    <w:rsid w:val="001B7B96"/>
    <w:rsid w:val="001B7D1C"/>
    <w:rsid w:val="001B7FFE"/>
    <w:rsid w:val="001C0995"/>
    <w:rsid w:val="001C0AA6"/>
    <w:rsid w:val="001C0C46"/>
    <w:rsid w:val="001C21A5"/>
    <w:rsid w:val="001C2785"/>
    <w:rsid w:val="001C30A7"/>
    <w:rsid w:val="001C345F"/>
    <w:rsid w:val="001C3A80"/>
    <w:rsid w:val="001C41E4"/>
    <w:rsid w:val="001C479D"/>
    <w:rsid w:val="001C49DB"/>
    <w:rsid w:val="001C4D86"/>
    <w:rsid w:val="001C5377"/>
    <w:rsid w:val="001C60CC"/>
    <w:rsid w:val="001C65AB"/>
    <w:rsid w:val="001C67B5"/>
    <w:rsid w:val="001C6BD5"/>
    <w:rsid w:val="001C6DF2"/>
    <w:rsid w:val="001C7CAE"/>
    <w:rsid w:val="001D1A14"/>
    <w:rsid w:val="001D1B2F"/>
    <w:rsid w:val="001D1D88"/>
    <w:rsid w:val="001D1E10"/>
    <w:rsid w:val="001D2978"/>
    <w:rsid w:val="001D2BE4"/>
    <w:rsid w:val="001D2D74"/>
    <w:rsid w:val="001D3457"/>
    <w:rsid w:val="001D3565"/>
    <w:rsid w:val="001D3FFD"/>
    <w:rsid w:val="001D5188"/>
    <w:rsid w:val="001D5230"/>
    <w:rsid w:val="001D5981"/>
    <w:rsid w:val="001D7F68"/>
    <w:rsid w:val="001E03EB"/>
    <w:rsid w:val="001E17C7"/>
    <w:rsid w:val="001E311F"/>
    <w:rsid w:val="001E3B95"/>
    <w:rsid w:val="001E5458"/>
    <w:rsid w:val="001E6332"/>
    <w:rsid w:val="001E78B0"/>
    <w:rsid w:val="001F0694"/>
    <w:rsid w:val="001F0F01"/>
    <w:rsid w:val="001F2192"/>
    <w:rsid w:val="001F225B"/>
    <w:rsid w:val="001F48EC"/>
    <w:rsid w:val="001F5037"/>
    <w:rsid w:val="001F5258"/>
    <w:rsid w:val="001F57CD"/>
    <w:rsid w:val="001F58BF"/>
    <w:rsid w:val="001F6E0F"/>
    <w:rsid w:val="001F6E19"/>
    <w:rsid w:val="001F7A4B"/>
    <w:rsid w:val="001F7BA6"/>
    <w:rsid w:val="002010EB"/>
    <w:rsid w:val="002014C5"/>
    <w:rsid w:val="00203802"/>
    <w:rsid w:val="002038A5"/>
    <w:rsid w:val="00204F00"/>
    <w:rsid w:val="002060E2"/>
    <w:rsid w:val="00206E9C"/>
    <w:rsid w:val="0021071F"/>
    <w:rsid w:val="00212C74"/>
    <w:rsid w:val="002133B8"/>
    <w:rsid w:val="00213CA0"/>
    <w:rsid w:val="0021480D"/>
    <w:rsid w:val="00214C63"/>
    <w:rsid w:val="00215332"/>
    <w:rsid w:val="0021534C"/>
    <w:rsid w:val="002156B4"/>
    <w:rsid w:val="002156BE"/>
    <w:rsid w:val="00217D48"/>
    <w:rsid w:val="00220D29"/>
    <w:rsid w:val="00222577"/>
    <w:rsid w:val="00222954"/>
    <w:rsid w:val="002229C5"/>
    <w:rsid w:val="00222BE2"/>
    <w:rsid w:val="0022353D"/>
    <w:rsid w:val="00224E6D"/>
    <w:rsid w:val="00225938"/>
    <w:rsid w:val="002263E3"/>
    <w:rsid w:val="00227B14"/>
    <w:rsid w:val="00230083"/>
    <w:rsid w:val="0023106E"/>
    <w:rsid w:val="00231BF6"/>
    <w:rsid w:val="00231F45"/>
    <w:rsid w:val="00233370"/>
    <w:rsid w:val="0023408E"/>
    <w:rsid w:val="002348BC"/>
    <w:rsid w:val="00234D38"/>
    <w:rsid w:val="0023627F"/>
    <w:rsid w:val="00236347"/>
    <w:rsid w:val="00236492"/>
    <w:rsid w:val="00236985"/>
    <w:rsid w:val="00237028"/>
    <w:rsid w:val="002372B5"/>
    <w:rsid w:val="00240308"/>
    <w:rsid w:val="00241221"/>
    <w:rsid w:val="0024133F"/>
    <w:rsid w:val="00241EA0"/>
    <w:rsid w:val="00242079"/>
    <w:rsid w:val="0024218B"/>
    <w:rsid w:val="002425E7"/>
    <w:rsid w:val="0024382C"/>
    <w:rsid w:val="0024422C"/>
    <w:rsid w:val="0024457A"/>
    <w:rsid w:val="00246E34"/>
    <w:rsid w:val="00247A1E"/>
    <w:rsid w:val="00247BDC"/>
    <w:rsid w:val="00247D1B"/>
    <w:rsid w:val="00250027"/>
    <w:rsid w:val="00250799"/>
    <w:rsid w:val="00251226"/>
    <w:rsid w:val="00251354"/>
    <w:rsid w:val="0025169A"/>
    <w:rsid w:val="0025249A"/>
    <w:rsid w:val="00252B35"/>
    <w:rsid w:val="00252CA0"/>
    <w:rsid w:val="00253A0F"/>
    <w:rsid w:val="002541DC"/>
    <w:rsid w:val="002544EE"/>
    <w:rsid w:val="002545FB"/>
    <w:rsid w:val="002552B1"/>
    <w:rsid w:val="00255CFA"/>
    <w:rsid w:val="00255E05"/>
    <w:rsid w:val="00256DD5"/>
    <w:rsid w:val="002570C7"/>
    <w:rsid w:val="002578D5"/>
    <w:rsid w:val="0026002D"/>
    <w:rsid w:val="00261C9B"/>
    <w:rsid w:val="00262F12"/>
    <w:rsid w:val="00264727"/>
    <w:rsid w:val="002654EE"/>
    <w:rsid w:val="00265FD2"/>
    <w:rsid w:val="00266190"/>
    <w:rsid w:val="00266C79"/>
    <w:rsid w:val="00266E6E"/>
    <w:rsid w:val="0026703B"/>
    <w:rsid w:val="0026708F"/>
    <w:rsid w:val="00267113"/>
    <w:rsid w:val="00267546"/>
    <w:rsid w:val="0026763F"/>
    <w:rsid w:val="00267755"/>
    <w:rsid w:val="00267BDA"/>
    <w:rsid w:val="00270A8A"/>
    <w:rsid w:val="00270F6C"/>
    <w:rsid w:val="00271D8D"/>
    <w:rsid w:val="0027200C"/>
    <w:rsid w:val="002744ED"/>
    <w:rsid w:val="00274AE5"/>
    <w:rsid w:val="00274B6B"/>
    <w:rsid w:val="0027581B"/>
    <w:rsid w:val="002758D6"/>
    <w:rsid w:val="00275A40"/>
    <w:rsid w:val="00276DA3"/>
    <w:rsid w:val="002776DF"/>
    <w:rsid w:val="00277A3F"/>
    <w:rsid w:val="00277CE8"/>
    <w:rsid w:val="00280683"/>
    <w:rsid w:val="00280B93"/>
    <w:rsid w:val="00280D42"/>
    <w:rsid w:val="002813F9"/>
    <w:rsid w:val="002828F2"/>
    <w:rsid w:val="00282E97"/>
    <w:rsid w:val="0028458D"/>
    <w:rsid w:val="0028498C"/>
    <w:rsid w:val="00284C75"/>
    <w:rsid w:val="00285316"/>
    <w:rsid w:val="00285696"/>
    <w:rsid w:val="00287043"/>
    <w:rsid w:val="0028763E"/>
    <w:rsid w:val="00290F24"/>
    <w:rsid w:val="002910C4"/>
    <w:rsid w:val="00292B41"/>
    <w:rsid w:val="002959BE"/>
    <w:rsid w:val="00295BDC"/>
    <w:rsid w:val="002965F9"/>
    <w:rsid w:val="0029742F"/>
    <w:rsid w:val="00297C10"/>
    <w:rsid w:val="002A000A"/>
    <w:rsid w:val="002A064B"/>
    <w:rsid w:val="002A140D"/>
    <w:rsid w:val="002A1A1E"/>
    <w:rsid w:val="002A1D97"/>
    <w:rsid w:val="002A2214"/>
    <w:rsid w:val="002A30F0"/>
    <w:rsid w:val="002A33AB"/>
    <w:rsid w:val="002A372F"/>
    <w:rsid w:val="002A3BE9"/>
    <w:rsid w:val="002A3F77"/>
    <w:rsid w:val="002A4FC5"/>
    <w:rsid w:val="002A599F"/>
    <w:rsid w:val="002A6229"/>
    <w:rsid w:val="002A71EC"/>
    <w:rsid w:val="002A74C3"/>
    <w:rsid w:val="002A7D16"/>
    <w:rsid w:val="002B0A7B"/>
    <w:rsid w:val="002B1206"/>
    <w:rsid w:val="002B1886"/>
    <w:rsid w:val="002B2728"/>
    <w:rsid w:val="002B2FF8"/>
    <w:rsid w:val="002B3060"/>
    <w:rsid w:val="002B4AC2"/>
    <w:rsid w:val="002B52D1"/>
    <w:rsid w:val="002B57B1"/>
    <w:rsid w:val="002B6CAC"/>
    <w:rsid w:val="002B7157"/>
    <w:rsid w:val="002B7CA0"/>
    <w:rsid w:val="002B7F65"/>
    <w:rsid w:val="002C1D01"/>
    <w:rsid w:val="002C241E"/>
    <w:rsid w:val="002C3095"/>
    <w:rsid w:val="002C368B"/>
    <w:rsid w:val="002C40CE"/>
    <w:rsid w:val="002C4526"/>
    <w:rsid w:val="002C4A99"/>
    <w:rsid w:val="002C4E0E"/>
    <w:rsid w:val="002C5448"/>
    <w:rsid w:val="002C6D28"/>
    <w:rsid w:val="002C6E3D"/>
    <w:rsid w:val="002C6E50"/>
    <w:rsid w:val="002C7BA4"/>
    <w:rsid w:val="002C7E26"/>
    <w:rsid w:val="002D065B"/>
    <w:rsid w:val="002D0DCB"/>
    <w:rsid w:val="002D1694"/>
    <w:rsid w:val="002D1AD2"/>
    <w:rsid w:val="002D2003"/>
    <w:rsid w:val="002D316A"/>
    <w:rsid w:val="002D4BA6"/>
    <w:rsid w:val="002D4BB3"/>
    <w:rsid w:val="002D592F"/>
    <w:rsid w:val="002D672E"/>
    <w:rsid w:val="002D69E9"/>
    <w:rsid w:val="002D7BB8"/>
    <w:rsid w:val="002E03A3"/>
    <w:rsid w:val="002E3C9B"/>
    <w:rsid w:val="002E41D0"/>
    <w:rsid w:val="002E48BE"/>
    <w:rsid w:val="002E4985"/>
    <w:rsid w:val="002E6314"/>
    <w:rsid w:val="002E65C8"/>
    <w:rsid w:val="002E6BAA"/>
    <w:rsid w:val="002E7158"/>
    <w:rsid w:val="002E77AD"/>
    <w:rsid w:val="002F01E3"/>
    <w:rsid w:val="002F048C"/>
    <w:rsid w:val="002F2223"/>
    <w:rsid w:val="002F2877"/>
    <w:rsid w:val="002F35D2"/>
    <w:rsid w:val="002F392A"/>
    <w:rsid w:val="002F5858"/>
    <w:rsid w:val="002F58B6"/>
    <w:rsid w:val="002F5916"/>
    <w:rsid w:val="002F5CC2"/>
    <w:rsid w:val="003014DC"/>
    <w:rsid w:val="003016DA"/>
    <w:rsid w:val="00301D0E"/>
    <w:rsid w:val="00303217"/>
    <w:rsid w:val="0030344A"/>
    <w:rsid w:val="0030362A"/>
    <w:rsid w:val="00303EA8"/>
    <w:rsid w:val="00304AA7"/>
    <w:rsid w:val="003058D3"/>
    <w:rsid w:val="003058F1"/>
    <w:rsid w:val="003063E4"/>
    <w:rsid w:val="00306664"/>
    <w:rsid w:val="0030683D"/>
    <w:rsid w:val="00306BD6"/>
    <w:rsid w:val="003108C8"/>
    <w:rsid w:val="003108E8"/>
    <w:rsid w:val="00310F5A"/>
    <w:rsid w:val="00313221"/>
    <w:rsid w:val="00314105"/>
    <w:rsid w:val="00315707"/>
    <w:rsid w:val="003159A2"/>
    <w:rsid w:val="00315D9E"/>
    <w:rsid w:val="00315E27"/>
    <w:rsid w:val="00317751"/>
    <w:rsid w:val="00317A71"/>
    <w:rsid w:val="0032032D"/>
    <w:rsid w:val="00320EBD"/>
    <w:rsid w:val="003214B2"/>
    <w:rsid w:val="003217DB"/>
    <w:rsid w:val="00321B7B"/>
    <w:rsid w:val="00322D9A"/>
    <w:rsid w:val="00323345"/>
    <w:rsid w:val="00324A0A"/>
    <w:rsid w:val="003251AD"/>
    <w:rsid w:val="00325C7C"/>
    <w:rsid w:val="00325CDF"/>
    <w:rsid w:val="00325F7E"/>
    <w:rsid w:val="00325FBC"/>
    <w:rsid w:val="00330352"/>
    <w:rsid w:val="00331260"/>
    <w:rsid w:val="00332E2A"/>
    <w:rsid w:val="00333311"/>
    <w:rsid w:val="00333ADD"/>
    <w:rsid w:val="0033439B"/>
    <w:rsid w:val="00334F50"/>
    <w:rsid w:val="00335051"/>
    <w:rsid w:val="003350FF"/>
    <w:rsid w:val="00336E3C"/>
    <w:rsid w:val="00337033"/>
    <w:rsid w:val="00337747"/>
    <w:rsid w:val="00340114"/>
    <w:rsid w:val="0034019C"/>
    <w:rsid w:val="00340B29"/>
    <w:rsid w:val="0034132B"/>
    <w:rsid w:val="0034278B"/>
    <w:rsid w:val="003432B6"/>
    <w:rsid w:val="00343958"/>
    <w:rsid w:val="00343D66"/>
    <w:rsid w:val="00343DF8"/>
    <w:rsid w:val="00344A29"/>
    <w:rsid w:val="003450E0"/>
    <w:rsid w:val="003478DA"/>
    <w:rsid w:val="003479AC"/>
    <w:rsid w:val="00347D23"/>
    <w:rsid w:val="00347E30"/>
    <w:rsid w:val="0035202F"/>
    <w:rsid w:val="00352A20"/>
    <w:rsid w:val="00353582"/>
    <w:rsid w:val="00353DD3"/>
    <w:rsid w:val="0035501C"/>
    <w:rsid w:val="003551BA"/>
    <w:rsid w:val="003562E2"/>
    <w:rsid w:val="00356792"/>
    <w:rsid w:val="00360754"/>
    <w:rsid w:val="00360D51"/>
    <w:rsid w:val="0036128B"/>
    <w:rsid w:val="003615F9"/>
    <w:rsid w:val="003634B8"/>
    <w:rsid w:val="0036395D"/>
    <w:rsid w:val="00364BDC"/>
    <w:rsid w:val="00366324"/>
    <w:rsid w:val="00367CBF"/>
    <w:rsid w:val="00372C14"/>
    <w:rsid w:val="003744FA"/>
    <w:rsid w:val="00376871"/>
    <w:rsid w:val="00376A5D"/>
    <w:rsid w:val="00377D98"/>
    <w:rsid w:val="0038038D"/>
    <w:rsid w:val="00380AA4"/>
    <w:rsid w:val="003819A8"/>
    <w:rsid w:val="00381B55"/>
    <w:rsid w:val="003825C9"/>
    <w:rsid w:val="00382AE8"/>
    <w:rsid w:val="00382E3D"/>
    <w:rsid w:val="00382F4C"/>
    <w:rsid w:val="00383059"/>
    <w:rsid w:val="003833D4"/>
    <w:rsid w:val="003844A7"/>
    <w:rsid w:val="003847B7"/>
    <w:rsid w:val="003859CB"/>
    <w:rsid w:val="00385BF4"/>
    <w:rsid w:val="003867E5"/>
    <w:rsid w:val="003902BB"/>
    <w:rsid w:val="00390CFD"/>
    <w:rsid w:val="00391373"/>
    <w:rsid w:val="00391710"/>
    <w:rsid w:val="00392D06"/>
    <w:rsid w:val="00392FBB"/>
    <w:rsid w:val="003932E8"/>
    <w:rsid w:val="0039340C"/>
    <w:rsid w:val="00393452"/>
    <w:rsid w:val="00393F6F"/>
    <w:rsid w:val="003940FB"/>
    <w:rsid w:val="0039547E"/>
    <w:rsid w:val="003966B6"/>
    <w:rsid w:val="003979D3"/>
    <w:rsid w:val="00397FBE"/>
    <w:rsid w:val="003A001A"/>
    <w:rsid w:val="003A03D0"/>
    <w:rsid w:val="003A2834"/>
    <w:rsid w:val="003A2F14"/>
    <w:rsid w:val="003A3BE8"/>
    <w:rsid w:val="003A3DEA"/>
    <w:rsid w:val="003A420E"/>
    <w:rsid w:val="003A44DC"/>
    <w:rsid w:val="003A4636"/>
    <w:rsid w:val="003A47B0"/>
    <w:rsid w:val="003A520D"/>
    <w:rsid w:val="003A671D"/>
    <w:rsid w:val="003A6F7E"/>
    <w:rsid w:val="003A6FB4"/>
    <w:rsid w:val="003A7457"/>
    <w:rsid w:val="003A7D75"/>
    <w:rsid w:val="003B0B2E"/>
    <w:rsid w:val="003B307E"/>
    <w:rsid w:val="003B3F5D"/>
    <w:rsid w:val="003C0678"/>
    <w:rsid w:val="003C078A"/>
    <w:rsid w:val="003C09C1"/>
    <w:rsid w:val="003C3251"/>
    <w:rsid w:val="003C340E"/>
    <w:rsid w:val="003C4351"/>
    <w:rsid w:val="003C5168"/>
    <w:rsid w:val="003C5207"/>
    <w:rsid w:val="003C5574"/>
    <w:rsid w:val="003C58F3"/>
    <w:rsid w:val="003D032D"/>
    <w:rsid w:val="003D0527"/>
    <w:rsid w:val="003D1771"/>
    <w:rsid w:val="003D17C3"/>
    <w:rsid w:val="003D1A40"/>
    <w:rsid w:val="003D33BE"/>
    <w:rsid w:val="003D34DF"/>
    <w:rsid w:val="003D73B2"/>
    <w:rsid w:val="003E1255"/>
    <w:rsid w:val="003E133A"/>
    <w:rsid w:val="003E1454"/>
    <w:rsid w:val="003E27C1"/>
    <w:rsid w:val="003E3270"/>
    <w:rsid w:val="003E37ED"/>
    <w:rsid w:val="003E4288"/>
    <w:rsid w:val="003E70E6"/>
    <w:rsid w:val="003E714B"/>
    <w:rsid w:val="003E7242"/>
    <w:rsid w:val="003E79E4"/>
    <w:rsid w:val="003F0723"/>
    <w:rsid w:val="003F07E7"/>
    <w:rsid w:val="003F0BC8"/>
    <w:rsid w:val="003F103C"/>
    <w:rsid w:val="003F2E3B"/>
    <w:rsid w:val="003F308A"/>
    <w:rsid w:val="003F36CC"/>
    <w:rsid w:val="003F3E47"/>
    <w:rsid w:val="003F4CA6"/>
    <w:rsid w:val="003F4E1F"/>
    <w:rsid w:val="003F5988"/>
    <w:rsid w:val="003F632D"/>
    <w:rsid w:val="003F711A"/>
    <w:rsid w:val="004001A3"/>
    <w:rsid w:val="004001C5"/>
    <w:rsid w:val="00402218"/>
    <w:rsid w:val="00404E11"/>
    <w:rsid w:val="0040517A"/>
    <w:rsid w:val="00405E36"/>
    <w:rsid w:val="00406ED2"/>
    <w:rsid w:val="00407E74"/>
    <w:rsid w:val="004103C1"/>
    <w:rsid w:val="0041103F"/>
    <w:rsid w:val="0041207F"/>
    <w:rsid w:val="0041243E"/>
    <w:rsid w:val="00413485"/>
    <w:rsid w:val="00413E99"/>
    <w:rsid w:val="004146CB"/>
    <w:rsid w:val="00414E04"/>
    <w:rsid w:val="00416F65"/>
    <w:rsid w:val="00417C44"/>
    <w:rsid w:val="00417F0B"/>
    <w:rsid w:val="0042211D"/>
    <w:rsid w:val="0042220A"/>
    <w:rsid w:val="00422659"/>
    <w:rsid w:val="00422F5E"/>
    <w:rsid w:val="00423A4D"/>
    <w:rsid w:val="00424292"/>
    <w:rsid w:val="00424497"/>
    <w:rsid w:val="00424BC7"/>
    <w:rsid w:val="00424EF5"/>
    <w:rsid w:val="00425385"/>
    <w:rsid w:val="0042549A"/>
    <w:rsid w:val="00426128"/>
    <w:rsid w:val="00426535"/>
    <w:rsid w:val="00427052"/>
    <w:rsid w:val="00427295"/>
    <w:rsid w:val="004277B7"/>
    <w:rsid w:val="00427D33"/>
    <w:rsid w:val="0043027C"/>
    <w:rsid w:val="00430E39"/>
    <w:rsid w:val="004313E1"/>
    <w:rsid w:val="00432FC2"/>
    <w:rsid w:val="00433530"/>
    <w:rsid w:val="0043580A"/>
    <w:rsid w:val="0043664F"/>
    <w:rsid w:val="00436E86"/>
    <w:rsid w:val="00437B3E"/>
    <w:rsid w:val="004401FB"/>
    <w:rsid w:val="00440CD3"/>
    <w:rsid w:val="00441F24"/>
    <w:rsid w:val="0044298A"/>
    <w:rsid w:val="00442B3B"/>
    <w:rsid w:val="00442CC5"/>
    <w:rsid w:val="00442EA1"/>
    <w:rsid w:val="00442FDB"/>
    <w:rsid w:val="00444FB3"/>
    <w:rsid w:val="00445E90"/>
    <w:rsid w:val="00445FA3"/>
    <w:rsid w:val="00447942"/>
    <w:rsid w:val="00447A3D"/>
    <w:rsid w:val="00447D5D"/>
    <w:rsid w:val="00450067"/>
    <w:rsid w:val="004510B9"/>
    <w:rsid w:val="0045165A"/>
    <w:rsid w:val="004531CD"/>
    <w:rsid w:val="00454AB7"/>
    <w:rsid w:val="00454EF8"/>
    <w:rsid w:val="004561FA"/>
    <w:rsid w:val="0045648A"/>
    <w:rsid w:val="00460389"/>
    <w:rsid w:val="004603CF"/>
    <w:rsid w:val="00460465"/>
    <w:rsid w:val="0046108C"/>
    <w:rsid w:val="00461F09"/>
    <w:rsid w:val="0046255A"/>
    <w:rsid w:val="004625D0"/>
    <w:rsid w:val="00462EE5"/>
    <w:rsid w:val="004633AD"/>
    <w:rsid w:val="00463D82"/>
    <w:rsid w:val="00464061"/>
    <w:rsid w:val="00464ECF"/>
    <w:rsid w:val="00465264"/>
    <w:rsid w:val="004663EC"/>
    <w:rsid w:val="00466621"/>
    <w:rsid w:val="00466F49"/>
    <w:rsid w:val="004676AB"/>
    <w:rsid w:val="004676E7"/>
    <w:rsid w:val="00467D23"/>
    <w:rsid w:val="004706CA"/>
    <w:rsid w:val="00471544"/>
    <w:rsid w:val="0047189E"/>
    <w:rsid w:val="00471B42"/>
    <w:rsid w:val="00472C02"/>
    <w:rsid w:val="00472F55"/>
    <w:rsid w:val="00474496"/>
    <w:rsid w:val="00474F44"/>
    <w:rsid w:val="00476574"/>
    <w:rsid w:val="00476BA2"/>
    <w:rsid w:val="004802E6"/>
    <w:rsid w:val="00480804"/>
    <w:rsid w:val="00483439"/>
    <w:rsid w:val="004844FF"/>
    <w:rsid w:val="00484519"/>
    <w:rsid w:val="00485612"/>
    <w:rsid w:val="00485DA8"/>
    <w:rsid w:val="00485DBA"/>
    <w:rsid w:val="00485ED9"/>
    <w:rsid w:val="004864DE"/>
    <w:rsid w:val="00486503"/>
    <w:rsid w:val="00487822"/>
    <w:rsid w:val="00490039"/>
    <w:rsid w:val="00490E2E"/>
    <w:rsid w:val="00492250"/>
    <w:rsid w:val="004926DD"/>
    <w:rsid w:val="00493396"/>
    <w:rsid w:val="004939DE"/>
    <w:rsid w:val="00493A01"/>
    <w:rsid w:val="004946C4"/>
    <w:rsid w:val="00494A76"/>
    <w:rsid w:val="00495B66"/>
    <w:rsid w:val="00496057"/>
    <w:rsid w:val="00497959"/>
    <w:rsid w:val="00497C4B"/>
    <w:rsid w:val="004A0001"/>
    <w:rsid w:val="004A0810"/>
    <w:rsid w:val="004A13F4"/>
    <w:rsid w:val="004A140C"/>
    <w:rsid w:val="004A1861"/>
    <w:rsid w:val="004A3896"/>
    <w:rsid w:val="004A39DA"/>
    <w:rsid w:val="004A47B4"/>
    <w:rsid w:val="004A51C0"/>
    <w:rsid w:val="004A5967"/>
    <w:rsid w:val="004A758C"/>
    <w:rsid w:val="004A7CFA"/>
    <w:rsid w:val="004A7DB3"/>
    <w:rsid w:val="004B0C2C"/>
    <w:rsid w:val="004B0E10"/>
    <w:rsid w:val="004B16A9"/>
    <w:rsid w:val="004B2730"/>
    <w:rsid w:val="004B2C0D"/>
    <w:rsid w:val="004B402F"/>
    <w:rsid w:val="004B5A6D"/>
    <w:rsid w:val="004B6A4E"/>
    <w:rsid w:val="004B746B"/>
    <w:rsid w:val="004B798C"/>
    <w:rsid w:val="004B7BC6"/>
    <w:rsid w:val="004B7D51"/>
    <w:rsid w:val="004C0879"/>
    <w:rsid w:val="004C1BD4"/>
    <w:rsid w:val="004C21A1"/>
    <w:rsid w:val="004C2418"/>
    <w:rsid w:val="004C3193"/>
    <w:rsid w:val="004C3B01"/>
    <w:rsid w:val="004C3F4D"/>
    <w:rsid w:val="004C5250"/>
    <w:rsid w:val="004C5763"/>
    <w:rsid w:val="004C58E5"/>
    <w:rsid w:val="004C6386"/>
    <w:rsid w:val="004C660A"/>
    <w:rsid w:val="004C6809"/>
    <w:rsid w:val="004C6821"/>
    <w:rsid w:val="004C6A6A"/>
    <w:rsid w:val="004C6D68"/>
    <w:rsid w:val="004C7AEA"/>
    <w:rsid w:val="004D0334"/>
    <w:rsid w:val="004D04CF"/>
    <w:rsid w:val="004D0CF3"/>
    <w:rsid w:val="004D1162"/>
    <w:rsid w:val="004D19FC"/>
    <w:rsid w:val="004D1A0A"/>
    <w:rsid w:val="004D1D9E"/>
    <w:rsid w:val="004D3D50"/>
    <w:rsid w:val="004D6FDC"/>
    <w:rsid w:val="004E0C14"/>
    <w:rsid w:val="004E1139"/>
    <w:rsid w:val="004E1AAF"/>
    <w:rsid w:val="004E296F"/>
    <w:rsid w:val="004E3D72"/>
    <w:rsid w:val="004E4D78"/>
    <w:rsid w:val="004E5A0D"/>
    <w:rsid w:val="004E5D16"/>
    <w:rsid w:val="004E61A5"/>
    <w:rsid w:val="004E791B"/>
    <w:rsid w:val="004F004B"/>
    <w:rsid w:val="004F05A1"/>
    <w:rsid w:val="004F0603"/>
    <w:rsid w:val="004F19EC"/>
    <w:rsid w:val="004F37F0"/>
    <w:rsid w:val="004F3954"/>
    <w:rsid w:val="004F3957"/>
    <w:rsid w:val="004F4B34"/>
    <w:rsid w:val="004F4FF5"/>
    <w:rsid w:val="004F60D9"/>
    <w:rsid w:val="004F737C"/>
    <w:rsid w:val="004F7458"/>
    <w:rsid w:val="004F7720"/>
    <w:rsid w:val="004F7F7F"/>
    <w:rsid w:val="00500761"/>
    <w:rsid w:val="00500903"/>
    <w:rsid w:val="00500D57"/>
    <w:rsid w:val="00500D9A"/>
    <w:rsid w:val="005010B8"/>
    <w:rsid w:val="005016AB"/>
    <w:rsid w:val="00501714"/>
    <w:rsid w:val="005022E7"/>
    <w:rsid w:val="00502D0E"/>
    <w:rsid w:val="00502EB4"/>
    <w:rsid w:val="00502F9D"/>
    <w:rsid w:val="00503244"/>
    <w:rsid w:val="005037F6"/>
    <w:rsid w:val="005056AF"/>
    <w:rsid w:val="00505A19"/>
    <w:rsid w:val="00506492"/>
    <w:rsid w:val="0050684F"/>
    <w:rsid w:val="005073C6"/>
    <w:rsid w:val="0050798D"/>
    <w:rsid w:val="005103B0"/>
    <w:rsid w:val="0051117E"/>
    <w:rsid w:val="00511A13"/>
    <w:rsid w:val="00512740"/>
    <w:rsid w:val="00512FC5"/>
    <w:rsid w:val="00513866"/>
    <w:rsid w:val="005156D2"/>
    <w:rsid w:val="00516339"/>
    <w:rsid w:val="0051713F"/>
    <w:rsid w:val="005175F7"/>
    <w:rsid w:val="00517CD7"/>
    <w:rsid w:val="00521818"/>
    <w:rsid w:val="00522E79"/>
    <w:rsid w:val="00522FB9"/>
    <w:rsid w:val="00523000"/>
    <w:rsid w:val="00524750"/>
    <w:rsid w:val="00524B3B"/>
    <w:rsid w:val="00525876"/>
    <w:rsid w:val="00525B98"/>
    <w:rsid w:val="00527437"/>
    <w:rsid w:val="00530692"/>
    <w:rsid w:val="0053144F"/>
    <w:rsid w:val="005319DD"/>
    <w:rsid w:val="00531E86"/>
    <w:rsid w:val="005325F7"/>
    <w:rsid w:val="00532FB4"/>
    <w:rsid w:val="005343A5"/>
    <w:rsid w:val="00534529"/>
    <w:rsid w:val="005346B6"/>
    <w:rsid w:val="00534B3D"/>
    <w:rsid w:val="0053532A"/>
    <w:rsid w:val="00535BF8"/>
    <w:rsid w:val="00536887"/>
    <w:rsid w:val="005368D7"/>
    <w:rsid w:val="00536C4C"/>
    <w:rsid w:val="005406CB"/>
    <w:rsid w:val="00540E65"/>
    <w:rsid w:val="005414A5"/>
    <w:rsid w:val="00541D6F"/>
    <w:rsid w:val="00542110"/>
    <w:rsid w:val="00542E66"/>
    <w:rsid w:val="005433D5"/>
    <w:rsid w:val="005435A1"/>
    <w:rsid w:val="00543789"/>
    <w:rsid w:val="00543EA3"/>
    <w:rsid w:val="00544342"/>
    <w:rsid w:val="00544EAA"/>
    <w:rsid w:val="00545352"/>
    <w:rsid w:val="005458E6"/>
    <w:rsid w:val="00546FAD"/>
    <w:rsid w:val="00550964"/>
    <w:rsid w:val="00551694"/>
    <w:rsid w:val="00551A09"/>
    <w:rsid w:val="00551EDC"/>
    <w:rsid w:val="0055281C"/>
    <w:rsid w:val="005541F7"/>
    <w:rsid w:val="005553AF"/>
    <w:rsid w:val="00555557"/>
    <w:rsid w:val="00556A24"/>
    <w:rsid w:val="00556DC4"/>
    <w:rsid w:val="00560E78"/>
    <w:rsid w:val="00560FD0"/>
    <w:rsid w:val="00562CDC"/>
    <w:rsid w:val="00563F04"/>
    <w:rsid w:val="00564DB7"/>
    <w:rsid w:val="00566009"/>
    <w:rsid w:val="005663C9"/>
    <w:rsid w:val="00566D86"/>
    <w:rsid w:val="00567487"/>
    <w:rsid w:val="005704B8"/>
    <w:rsid w:val="0057174B"/>
    <w:rsid w:val="00571A1F"/>
    <w:rsid w:val="0057280C"/>
    <w:rsid w:val="00573629"/>
    <w:rsid w:val="005748CE"/>
    <w:rsid w:val="00574C75"/>
    <w:rsid w:val="00576F56"/>
    <w:rsid w:val="00577BA1"/>
    <w:rsid w:val="0058060C"/>
    <w:rsid w:val="00580A67"/>
    <w:rsid w:val="005814AF"/>
    <w:rsid w:val="005814C3"/>
    <w:rsid w:val="00581D47"/>
    <w:rsid w:val="00582299"/>
    <w:rsid w:val="00582C99"/>
    <w:rsid w:val="0058316E"/>
    <w:rsid w:val="00584230"/>
    <w:rsid w:val="0058470D"/>
    <w:rsid w:val="005848CE"/>
    <w:rsid w:val="00585E34"/>
    <w:rsid w:val="00585E54"/>
    <w:rsid w:val="005869B8"/>
    <w:rsid w:val="005870FE"/>
    <w:rsid w:val="00587E01"/>
    <w:rsid w:val="00590759"/>
    <w:rsid w:val="005907F8"/>
    <w:rsid w:val="00590F55"/>
    <w:rsid w:val="005912D6"/>
    <w:rsid w:val="00591B83"/>
    <w:rsid w:val="00593926"/>
    <w:rsid w:val="00593B9D"/>
    <w:rsid w:val="00593F2D"/>
    <w:rsid w:val="00594002"/>
    <w:rsid w:val="00595591"/>
    <w:rsid w:val="00596625"/>
    <w:rsid w:val="0059729F"/>
    <w:rsid w:val="00597441"/>
    <w:rsid w:val="005A06E3"/>
    <w:rsid w:val="005A09A9"/>
    <w:rsid w:val="005A1B4E"/>
    <w:rsid w:val="005A2099"/>
    <w:rsid w:val="005A3410"/>
    <w:rsid w:val="005A3DE7"/>
    <w:rsid w:val="005A4C9E"/>
    <w:rsid w:val="005A5BA2"/>
    <w:rsid w:val="005A5D59"/>
    <w:rsid w:val="005A6971"/>
    <w:rsid w:val="005A787C"/>
    <w:rsid w:val="005A7C1D"/>
    <w:rsid w:val="005A7EDC"/>
    <w:rsid w:val="005B14DC"/>
    <w:rsid w:val="005B305A"/>
    <w:rsid w:val="005B38F6"/>
    <w:rsid w:val="005B4244"/>
    <w:rsid w:val="005B4878"/>
    <w:rsid w:val="005B6D01"/>
    <w:rsid w:val="005B7966"/>
    <w:rsid w:val="005C0E15"/>
    <w:rsid w:val="005C1CF4"/>
    <w:rsid w:val="005C21B8"/>
    <w:rsid w:val="005C376F"/>
    <w:rsid w:val="005C38EA"/>
    <w:rsid w:val="005C47D0"/>
    <w:rsid w:val="005C4BAC"/>
    <w:rsid w:val="005C509F"/>
    <w:rsid w:val="005C55F8"/>
    <w:rsid w:val="005C5944"/>
    <w:rsid w:val="005C61BE"/>
    <w:rsid w:val="005C654C"/>
    <w:rsid w:val="005C6BC7"/>
    <w:rsid w:val="005C72E1"/>
    <w:rsid w:val="005C759E"/>
    <w:rsid w:val="005C7FD4"/>
    <w:rsid w:val="005D066E"/>
    <w:rsid w:val="005D24E3"/>
    <w:rsid w:val="005D2880"/>
    <w:rsid w:val="005D3946"/>
    <w:rsid w:val="005D4521"/>
    <w:rsid w:val="005D46A6"/>
    <w:rsid w:val="005D4A84"/>
    <w:rsid w:val="005D5074"/>
    <w:rsid w:val="005D52A9"/>
    <w:rsid w:val="005D5912"/>
    <w:rsid w:val="005D605E"/>
    <w:rsid w:val="005D712E"/>
    <w:rsid w:val="005D7332"/>
    <w:rsid w:val="005D77DB"/>
    <w:rsid w:val="005D7ED9"/>
    <w:rsid w:val="005E0EFF"/>
    <w:rsid w:val="005E2341"/>
    <w:rsid w:val="005E23EB"/>
    <w:rsid w:val="005E24A9"/>
    <w:rsid w:val="005E2634"/>
    <w:rsid w:val="005E2F42"/>
    <w:rsid w:val="005E32BD"/>
    <w:rsid w:val="005E46CD"/>
    <w:rsid w:val="005E5F70"/>
    <w:rsid w:val="005E64B6"/>
    <w:rsid w:val="005E6625"/>
    <w:rsid w:val="005E699A"/>
    <w:rsid w:val="005F0331"/>
    <w:rsid w:val="005F1509"/>
    <w:rsid w:val="005F1BCC"/>
    <w:rsid w:val="005F267E"/>
    <w:rsid w:val="005F329C"/>
    <w:rsid w:val="005F4D0A"/>
    <w:rsid w:val="005F4E50"/>
    <w:rsid w:val="005F58FB"/>
    <w:rsid w:val="005F5E0A"/>
    <w:rsid w:val="005F60D9"/>
    <w:rsid w:val="005F64F2"/>
    <w:rsid w:val="005F6BF5"/>
    <w:rsid w:val="005F758A"/>
    <w:rsid w:val="005F7B61"/>
    <w:rsid w:val="00600BAF"/>
    <w:rsid w:val="00601A8F"/>
    <w:rsid w:val="00601AA4"/>
    <w:rsid w:val="0060217E"/>
    <w:rsid w:val="006022DA"/>
    <w:rsid w:val="006027A4"/>
    <w:rsid w:val="00602B7E"/>
    <w:rsid w:val="006034A6"/>
    <w:rsid w:val="0060387A"/>
    <w:rsid w:val="006050FF"/>
    <w:rsid w:val="006051F2"/>
    <w:rsid w:val="0060527D"/>
    <w:rsid w:val="00605509"/>
    <w:rsid w:val="0060679D"/>
    <w:rsid w:val="00606DC9"/>
    <w:rsid w:val="006073AF"/>
    <w:rsid w:val="0061017A"/>
    <w:rsid w:val="0061028F"/>
    <w:rsid w:val="00610563"/>
    <w:rsid w:val="00610F70"/>
    <w:rsid w:val="0061235E"/>
    <w:rsid w:val="00613B47"/>
    <w:rsid w:val="00613B89"/>
    <w:rsid w:val="00614EC2"/>
    <w:rsid w:val="0061508F"/>
    <w:rsid w:val="006150F7"/>
    <w:rsid w:val="0061523B"/>
    <w:rsid w:val="00615958"/>
    <w:rsid w:val="00616A98"/>
    <w:rsid w:val="00616F29"/>
    <w:rsid w:val="00617EB0"/>
    <w:rsid w:val="0062068D"/>
    <w:rsid w:val="00623194"/>
    <w:rsid w:val="00623F1F"/>
    <w:rsid w:val="00624975"/>
    <w:rsid w:val="0062529D"/>
    <w:rsid w:val="00625807"/>
    <w:rsid w:val="00626048"/>
    <w:rsid w:val="006272C7"/>
    <w:rsid w:val="00627BCD"/>
    <w:rsid w:val="00630FC4"/>
    <w:rsid w:val="00631815"/>
    <w:rsid w:val="006344F6"/>
    <w:rsid w:val="006345E2"/>
    <w:rsid w:val="00635BB8"/>
    <w:rsid w:val="00637405"/>
    <w:rsid w:val="006375A2"/>
    <w:rsid w:val="0063786C"/>
    <w:rsid w:val="00640158"/>
    <w:rsid w:val="00640D28"/>
    <w:rsid w:val="00640F24"/>
    <w:rsid w:val="006410B5"/>
    <w:rsid w:val="00641199"/>
    <w:rsid w:val="006417E2"/>
    <w:rsid w:val="006418DC"/>
    <w:rsid w:val="00641C9E"/>
    <w:rsid w:val="00642B4F"/>
    <w:rsid w:val="00642EF0"/>
    <w:rsid w:val="00643C26"/>
    <w:rsid w:val="006443A8"/>
    <w:rsid w:val="00644467"/>
    <w:rsid w:val="00644F62"/>
    <w:rsid w:val="006457FA"/>
    <w:rsid w:val="00645E35"/>
    <w:rsid w:val="00646A04"/>
    <w:rsid w:val="006471F3"/>
    <w:rsid w:val="00647220"/>
    <w:rsid w:val="00650B7B"/>
    <w:rsid w:val="00650CAC"/>
    <w:rsid w:val="00650EB5"/>
    <w:rsid w:val="006512D7"/>
    <w:rsid w:val="00651370"/>
    <w:rsid w:val="00651D76"/>
    <w:rsid w:val="00653076"/>
    <w:rsid w:val="00653E2C"/>
    <w:rsid w:val="00654CD4"/>
    <w:rsid w:val="0065704A"/>
    <w:rsid w:val="00660055"/>
    <w:rsid w:val="006619BC"/>
    <w:rsid w:val="0066239A"/>
    <w:rsid w:val="0066262B"/>
    <w:rsid w:val="0066365F"/>
    <w:rsid w:val="006637BF"/>
    <w:rsid w:val="00663C1F"/>
    <w:rsid w:val="00664EEC"/>
    <w:rsid w:val="006654EC"/>
    <w:rsid w:val="00666BD2"/>
    <w:rsid w:val="00666DDF"/>
    <w:rsid w:val="00666EDB"/>
    <w:rsid w:val="00666FFE"/>
    <w:rsid w:val="0067037B"/>
    <w:rsid w:val="0067078C"/>
    <w:rsid w:val="006716FC"/>
    <w:rsid w:val="00671F02"/>
    <w:rsid w:val="00672F17"/>
    <w:rsid w:val="006740AC"/>
    <w:rsid w:val="0067471A"/>
    <w:rsid w:val="00675058"/>
    <w:rsid w:val="00676C4F"/>
    <w:rsid w:val="00676DB5"/>
    <w:rsid w:val="00677803"/>
    <w:rsid w:val="00677824"/>
    <w:rsid w:val="006810B2"/>
    <w:rsid w:val="00683FDC"/>
    <w:rsid w:val="00684938"/>
    <w:rsid w:val="00684BF3"/>
    <w:rsid w:val="00684CFB"/>
    <w:rsid w:val="00684DDC"/>
    <w:rsid w:val="00684F7D"/>
    <w:rsid w:val="00685607"/>
    <w:rsid w:val="00685949"/>
    <w:rsid w:val="006876AC"/>
    <w:rsid w:val="006876F9"/>
    <w:rsid w:val="0069049B"/>
    <w:rsid w:val="00690B4D"/>
    <w:rsid w:val="00691EDB"/>
    <w:rsid w:val="00692EBD"/>
    <w:rsid w:val="0069378D"/>
    <w:rsid w:val="0069495B"/>
    <w:rsid w:val="006964FC"/>
    <w:rsid w:val="00696E84"/>
    <w:rsid w:val="00697AE2"/>
    <w:rsid w:val="00697C87"/>
    <w:rsid w:val="006A1432"/>
    <w:rsid w:val="006A1AD4"/>
    <w:rsid w:val="006A326E"/>
    <w:rsid w:val="006A4633"/>
    <w:rsid w:val="006A4A4F"/>
    <w:rsid w:val="006A57EB"/>
    <w:rsid w:val="006A61B0"/>
    <w:rsid w:val="006B1051"/>
    <w:rsid w:val="006B11AA"/>
    <w:rsid w:val="006B1436"/>
    <w:rsid w:val="006B2519"/>
    <w:rsid w:val="006B2613"/>
    <w:rsid w:val="006B3407"/>
    <w:rsid w:val="006B3E2D"/>
    <w:rsid w:val="006B47BF"/>
    <w:rsid w:val="006B48C8"/>
    <w:rsid w:val="006B49A1"/>
    <w:rsid w:val="006B5ACC"/>
    <w:rsid w:val="006B6290"/>
    <w:rsid w:val="006B724A"/>
    <w:rsid w:val="006B7266"/>
    <w:rsid w:val="006B735D"/>
    <w:rsid w:val="006B7798"/>
    <w:rsid w:val="006C0A8C"/>
    <w:rsid w:val="006C0EC7"/>
    <w:rsid w:val="006C23B5"/>
    <w:rsid w:val="006C2A56"/>
    <w:rsid w:val="006C2C31"/>
    <w:rsid w:val="006C2D49"/>
    <w:rsid w:val="006C3BA0"/>
    <w:rsid w:val="006C3D1B"/>
    <w:rsid w:val="006C3ECC"/>
    <w:rsid w:val="006C49AA"/>
    <w:rsid w:val="006C4AA7"/>
    <w:rsid w:val="006C5B25"/>
    <w:rsid w:val="006C5E5E"/>
    <w:rsid w:val="006C6984"/>
    <w:rsid w:val="006C738A"/>
    <w:rsid w:val="006C74AC"/>
    <w:rsid w:val="006D1098"/>
    <w:rsid w:val="006D1B3D"/>
    <w:rsid w:val="006D3189"/>
    <w:rsid w:val="006D3AF8"/>
    <w:rsid w:val="006D3C49"/>
    <w:rsid w:val="006D4D5B"/>
    <w:rsid w:val="006D550D"/>
    <w:rsid w:val="006D5AE2"/>
    <w:rsid w:val="006D7852"/>
    <w:rsid w:val="006E05E4"/>
    <w:rsid w:val="006E2346"/>
    <w:rsid w:val="006E2369"/>
    <w:rsid w:val="006E24E2"/>
    <w:rsid w:val="006E46CE"/>
    <w:rsid w:val="006E4F52"/>
    <w:rsid w:val="006E516E"/>
    <w:rsid w:val="006E5215"/>
    <w:rsid w:val="006E5A3A"/>
    <w:rsid w:val="006E5AEF"/>
    <w:rsid w:val="006E5E7B"/>
    <w:rsid w:val="006E6389"/>
    <w:rsid w:val="006F06CC"/>
    <w:rsid w:val="006F26CA"/>
    <w:rsid w:val="006F29DE"/>
    <w:rsid w:val="006F2B00"/>
    <w:rsid w:val="006F462E"/>
    <w:rsid w:val="006F4CF3"/>
    <w:rsid w:val="006F5727"/>
    <w:rsid w:val="006F61FD"/>
    <w:rsid w:val="007000E8"/>
    <w:rsid w:val="00700799"/>
    <w:rsid w:val="007008CD"/>
    <w:rsid w:val="00701A93"/>
    <w:rsid w:val="00701DCE"/>
    <w:rsid w:val="00701E8C"/>
    <w:rsid w:val="007027DE"/>
    <w:rsid w:val="007044B6"/>
    <w:rsid w:val="0070517F"/>
    <w:rsid w:val="00705A68"/>
    <w:rsid w:val="007067A7"/>
    <w:rsid w:val="00707B78"/>
    <w:rsid w:val="00707DCF"/>
    <w:rsid w:val="00710433"/>
    <w:rsid w:val="00710BCB"/>
    <w:rsid w:val="00710CF0"/>
    <w:rsid w:val="0071139D"/>
    <w:rsid w:val="007116EC"/>
    <w:rsid w:val="00712378"/>
    <w:rsid w:val="00712892"/>
    <w:rsid w:val="007129D2"/>
    <w:rsid w:val="00713E2B"/>
    <w:rsid w:val="00713E86"/>
    <w:rsid w:val="00714916"/>
    <w:rsid w:val="00715086"/>
    <w:rsid w:val="00716994"/>
    <w:rsid w:val="007201E1"/>
    <w:rsid w:val="007202D9"/>
    <w:rsid w:val="007214F2"/>
    <w:rsid w:val="00721563"/>
    <w:rsid w:val="0072260A"/>
    <w:rsid w:val="00722727"/>
    <w:rsid w:val="007233A7"/>
    <w:rsid w:val="007239A8"/>
    <w:rsid w:val="007244DA"/>
    <w:rsid w:val="00724A06"/>
    <w:rsid w:val="00724BF3"/>
    <w:rsid w:val="007252E2"/>
    <w:rsid w:val="00727FCD"/>
    <w:rsid w:val="007310D9"/>
    <w:rsid w:val="00732C2B"/>
    <w:rsid w:val="00734659"/>
    <w:rsid w:val="00735D3E"/>
    <w:rsid w:val="0073645F"/>
    <w:rsid w:val="00736E8D"/>
    <w:rsid w:val="007376ED"/>
    <w:rsid w:val="00741F69"/>
    <w:rsid w:val="0074231C"/>
    <w:rsid w:val="00743561"/>
    <w:rsid w:val="00744066"/>
    <w:rsid w:val="00745391"/>
    <w:rsid w:val="007469F9"/>
    <w:rsid w:val="007471C3"/>
    <w:rsid w:val="00747956"/>
    <w:rsid w:val="00751F89"/>
    <w:rsid w:val="0075266A"/>
    <w:rsid w:val="00752AF2"/>
    <w:rsid w:val="007542B5"/>
    <w:rsid w:val="00754DF7"/>
    <w:rsid w:val="00754F2A"/>
    <w:rsid w:val="00754F5A"/>
    <w:rsid w:val="00755216"/>
    <w:rsid w:val="00755D36"/>
    <w:rsid w:val="00756C05"/>
    <w:rsid w:val="00756C6E"/>
    <w:rsid w:val="00760121"/>
    <w:rsid w:val="00762F76"/>
    <w:rsid w:val="00763252"/>
    <w:rsid w:val="00763762"/>
    <w:rsid w:val="0076388A"/>
    <w:rsid w:val="007638BE"/>
    <w:rsid w:val="00763EA2"/>
    <w:rsid w:val="007648AB"/>
    <w:rsid w:val="00765042"/>
    <w:rsid w:val="00765F2D"/>
    <w:rsid w:val="00766C25"/>
    <w:rsid w:val="0076743A"/>
    <w:rsid w:val="007711D9"/>
    <w:rsid w:val="007717D4"/>
    <w:rsid w:val="00773860"/>
    <w:rsid w:val="007745A2"/>
    <w:rsid w:val="0077506A"/>
    <w:rsid w:val="007754F2"/>
    <w:rsid w:val="00775CAA"/>
    <w:rsid w:val="00777179"/>
    <w:rsid w:val="007778E1"/>
    <w:rsid w:val="0078119C"/>
    <w:rsid w:val="00781B27"/>
    <w:rsid w:val="00781E33"/>
    <w:rsid w:val="007821E1"/>
    <w:rsid w:val="00784814"/>
    <w:rsid w:val="0078550D"/>
    <w:rsid w:val="00785972"/>
    <w:rsid w:val="00785D00"/>
    <w:rsid w:val="00785F95"/>
    <w:rsid w:val="00786DD8"/>
    <w:rsid w:val="007878B3"/>
    <w:rsid w:val="007912E4"/>
    <w:rsid w:val="00791D33"/>
    <w:rsid w:val="007941FD"/>
    <w:rsid w:val="0079529D"/>
    <w:rsid w:val="00795840"/>
    <w:rsid w:val="007A035F"/>
    <w:rsid w:val="007A049C"/>
    <w:rsid w:val="007A0678"/>
    <w:rsid w:val="007A277A"/>
    <w:rsid w:val="007A3B2E"/>
    <w:rsid w:val="007A3DD7"/>
    <w:rsid w:val="007A4F7A"/>
    <w:rsid w:val="007A56CD"/>
    <w:rsid w:val="007A5C23"/>
    <w:rsid w:val="007A6270"/>
    <w:rsid w:val="007A6BD8"/>
    <w:rsid w:val="007A751C"/>
    <w:rsid w:val="007A7CC0"/>
    <w:rsid w:val="007B0B15"/>
    <w:rsid w:val="007B2BAF"/>
    <w:rsid w:val="007B3755"/>
    <w:rsid w:val="007B4F67"/>
    <w:rsid w:val="007B5F90"/>
    <w:rsid w:val="007B6768"/>
    <w:rsid w:val="007B6E15"/>
    <w:rsid w:val="007B6ED8"/>
    <w:rsid w:val="007B7C4C"/>
    <w:rsid w:val="007C0432"/>
    <w:rsid w:val="007C0524"/>
    <w:rsid w:val="007C22E0"/>
    <w:rsid w:val="007C2F10"/>
    <w:rsid w:val="007C3C1F"/>
    <w:rsid w:val="007C5041"/>
    <w:rsid w:val="007C58E8"/>
    <w:rsid w:val="007C62D6"/>
    <w:rsid w:val="007C785F"/>
    <w:rsid w:val="007D0821"/>
    <w:rsid w:val="007D1041"/>
    <w:rsid w:val="007D1278"/>
    <w:rsid w:val="007D24F8"/>
    <w:rsid w:val="007D2B05"/>
    <w:rsid w:val="007D2E59"/>
    <w:rsid w:val="007D30DA"/>
    <w:rsid w:val="007D3266"/>
    <w:rsid w:val="007D365B"/>
    <w:rsid w:val="007D4298"/>
    <w:rsid w:val="007D4684"/>
    <w:rsid w:val="007D4DCC"/>
    <w:rsid w:val="007D5703"/>
    <w:rsid w:val="007D58FB"/>
    <w:rsid w:val="007D596F"/>
    <w:rsid w:val="007D5A9A"/>
    <w:rsid w:val="007D5C05"/>
    <w:rsid w:val="007D5C74"/>
    <w:rsid w:val="007D638A"/>
    <w:rsid w:val="007D690F"/>
    <w:rsid w:val="007D6F44"/>
    <w:rsid w:val="007D6F92"/>
    <w:rsid w:val="007E05EF"/>
    <w:rsid w:val="007E0CCD"/>
    <w:rsid w:val="007E16E6"/>
    <w:rsid w:val="007E1BAA"/>
    <w:rsid w:val="007E235C"/>
    <w:rsid w:val="007E2670"/>
    <w:rsid w:val="007E2708"/>
    <w:rsid w:val="007E273D"/>
    <w:rsid w:val="007E27D8"/>
    <w:rsid w:val="007E2EAB"/>
    <w:rsid w:val="007E3ED7"/>
    <w:rsid w:val="007E4174"/>
    <w:rsid w:val="007E41F7"/>
    <w:rsid w:val="007E70B0"/>
    <w:rsid w:val="007E792B"/>
    <w:rsid w:val="007E7F5C"/>
    <w:rsid w:val="007F17A8"/>
    <w:rsid w:val="007F2659"/>
    <w:rsid w:val="007F392A"/>
    <w:rsid w:val="007F564B"/>
    <w:rsid w:val="007F5E05"/>
    <w:rsid w:val="007F71DA"/>
    <w:rsid w:val="007F7A9A"/>
    <w:rsid w:val="008000AB"/>
    <w:rsid w:val="00801062"/>
    <w:rsid w:val="00801822"/>
    <w:rsid w:val="008035B7"/>
    <w:rsid w:val="00804058"/>
    <w:rsid w:val="00804292"/>
    <w:rsid w:val="00805693"/>
    <w:rsid w:val="008057CC"/>
    <w:rsid w:val="008068E1"/>
    <w:rsid w:val="00806DA5"/>
    <w:rsid w:val="0081007E"/>
    <w:rsid w:val="008105B7"/>
    <w:rsid w:val="00810877"/>
    <w:rsid w:val="0081141B"/>
    <w:rsid w:val="008116D1"/>
    <w:rsid w:val="008121D1"/>
    <w:rsid w:val="0081227C"/>
    <w:rsid w:val="0081265A"/>
    <w:rsid w:val="00813C5C"/>
    <w:rsid w:val="008140C5"/>
    <w:rsid w:val="008143C6"/>
    <w:rsid w:val="008156AD"/>
    <w:rsid w:val="00815A10"/>
    <w:rsid w:val="008162A4"/>
    <w:rsid w:val="00816BC8"/>
    <w:rsid w:val="00817CED"/>
    <w:rsid w:val="00820B1C"/>
    <w:rsid w:val="00821946"/>
    <w:rsid w:val="00821DF1"/>
    <w:rsid w:val="00822BE6"/>
    <w:rsid w:val="00823FC3"/>
    <w:rsid w:val="00824056"/>
    <w:rsid w:val="00824628"/>
    <w:rsid w:val="008249E9"/>
    <w:rsid w:val="00826503"/>
    <w:rsid w:val="00826EFF"/>
    <w:rsid w:val="008278BC"/>
    <w:rsid w:val="008304C0"/>
    <w:rsid w:val="0083096E"/>
    <w:rsid w:val="0083314E"/>
    <w:rsid w:val="00834148"/>
    <w:rsid w:val="00834E7A"/>
    <w:rsid w:val="00835C1D"/>
    <w:rsid w:val="00835C53"/>
    <w:rsid w:val="00836383"/>
    <w:rsid w:val="008367B3"/>
    <w:rsid w:val="008368C0"/>
    <w:rsid w:val="008377C2"/>
    <w:rsid w:val="00840D44"/>
    <w:rsid w:val="00840F8E"/>
    <w:rsid w:val="008417FB"/>
    <w:rsid w:val="00841D66"/>
    <w:rsid w:val="00842328"/>
    <w:rsid w:val="0084286A"/>
    <w:rsid w:val="00842D28"/>
    <w:rsid w:val="0084329F"/>
    <w:rsid w:val="00843348"/>
    <w:rsid w:val="00843449"/>
    <w:rsid w:val="008438E2"/>
    <w:rsid w:val="00843E4E"/>
    <w:rsid w:val="00844219"/>
    <w:rsid w:val="00846CD0"/>
    <w:rsid w:val="00846DB7"/>
    <w:rsid w:val="008505A0"/>
    <w:rsid w:val="008506C4"/>
    <w:rsid w:val="00854831"/>
    <w:rsid w:val="008549E3"/>
    <w:rsid w:val="00854D26"/>
    <w:rsid w:val="00854E2B"/>
    <w:rsid w:val="00854FC0"/>
    <w:rsid w:val="0086121A"/>
    <w:rsid w:val="00861AAC"/>
    <w:rsid w:val="00862151"/>
    <w:rsid w:val="008636C9"/>
    <w:rsid w:val="00863FE6"/>
    <w:rsid w:val="00865308"/>
    <w:rsid w:val="008658E9"/>
    <w:rsid w:val="008667CF"/>
    <w:rsid w:val="00866CB9"/>
    <w:rsid w:val="00866EB2"/>
    <w:rsid w:val="00867DFA"/>
    <w:rsid w:val="00870060"/>
    <w:rsid w:val="00871429"/>
    <w:rsid w:val="00872E6A"/>
    <w:rsid w:val="008739FF"/>
    <w:rsid w:val="00873FC0"/>
    <w:rsid w:val="008745B5"/>
    <w:rsid w:val="0087492C"/>
    <w:rsid w:val="00874AC9"/>
    <w:rsid w:val="00874C6A"/>
    <w:rsid w:val="00874D5F"/>
    <w:rsid w:val="00875E21"/>
    <w:rsid w:val="0087654E"/>
    <w:rsid w:val="008765C3"/>
    <w:rsid w:val="0088059E"/>
    <w:rsid w:val="00880797"/>
    <w:rsid w:val="00880CC8"/>
    <w:rsid w:val="00881BBD"/>
    <w:rsid w:val="00881F2A"/>
    <w:rsid w:val="00884F12"/>
    <w:rsid w:val="00884F64"/>
    <w:rsid w:val="00885559"/>
    <w:rsid w:val="00885751"/>
    <w:rsid w:val="00885D09"/>
    <w:rsid w:val="0088675A"/>
    <w:rsid w:val="00887483"/>
    <w:rsid w:val="00887514"/>
    <w:rsid w:val="0088772F"/>
    <w:rsid w:val="00887E89"/>
    <w:rsid w:val="00890C93"/>
    <w:rsid w:val="00890DB7"/>
    <w:rsid w:val="0089112A"/>
    <w:rsid w:val="00891914"/>
    <w:rsid w:val="00893931"/>
    <w:rsid w:val="0089434A"/>
    <w:rsid w:val="00894580"/>
    <w:rsid w:val="008946C5"/>
    <w:rsid w:val="00897791"/>
    <w:rsid w:val="008A0A15"/>
    <w:rsid w:val="008A0C7C"/>
    <w:rsid w:val="008A20C1"/>
    <w:rsid w:val="008A2C8E"/>
    <w:rsid w:val="008A2CE9"/>
    <w:rsid w:val="008A3911"/>
    <w:rsid w:val="008A4751"/>
    <w:rsid w:val="008A4EF6"/>
    <w:rsid w:val="008A6969"/>
    <w:rsid w:val="008A7445"/>
    <w:rsid w:val="008A779C"/>
    <w:rsid w:val="008B1273"/>
    <w:rsid w:val="008B1B2B"/>
    <w:rsid w:val="008B1D26"/>
    <w:rsid w:val="008B2325"/>
    <w:rsid w:val="008B2FBC"/>
    <w:rsid w:val="008B369B"/>
    <w:rsid w:val="008B4632"/>
    <w:rsid w:val="008B480C"/>
    <w:rsid w:val="008B50F5"/>
    <w:rsid w:val="008B555D"/>
    <w:rsid w:val="008B5DE8"/>
    <w:rsid w:val="008B5ECC"/>
    <w:rsid w:val="008B671E"/>
    <w:rsid w:val="008B67F6"/>
    <w:rsid w:val="008B7EA4"/>
    <w:rsid w:val="008C0CEF"/>
    <w:rsid w:val="008C1385"/>
    <w:rsid w:val="008C1CB4"/>
    <w:rsid w:val="008C1D60"/>
    <w:rsid w:val="008C2837"/>
    <w:rsid w:val="008C34C1"/>
    <w:rsid w:val="008C3B2A"/>
    <w:rsid w:val="008C47A8"/>
    <w:rsid w:val="008C4DAF"/>
    <w:rsid w:val="008C532F"/>
    <w:rsid w:val="008C54CA"/>
    <w:rsid w:val="008C6B41"/>
    <w:rsid w:val="008C730B"/>
    <w:rsid w:val="008D10C3"/>
    <w:rsid w:val="008D27A1"/>
    <w:rsid w:val="008D3030"/>
    <w:rsid w:val="008D3B9B"/>
    <w:rsid w:val="008D44D3"/>
    <w:rsid w:val="008D519E"/>
    <w:rsid w:val="008D5458"/>
    <w:rsid w:val="008D54C4"/>
    <w:rsid w:val="008D626A"/>
    <w:rsid w:val="008E0E13"/>
    <w:rsid w:val="008E3708"/>
    <w:rsid w:val="008E4192"/>
    <w:rsid w:val="008E44F7"/>
    <w:rsid w:val="008E5AB4"/>
    <w:rsid w:val="008E63C9"/>
    <w:rsid w:val="008E64AD"/>
    <w:rsid w:val="008E69E1"/>
    <w:rsid w:val="008E6BDE"/>
    <w:rsid w:val="008E7C7E"/>
    <w:rsid w:val="008F0A54"/>
    <w:rsid w:val="008F17A3"/>
    <w:rsid w:val="008F1C98"/>
    <w:rsid w:val="008F20D4"/>
    <w:rsid w:val="008F248D"/>
    <w:rsid w:val="008F46B4"/>
    <w:rsid w:val="008F4AB4"/>
    <w:rsid w:val="008F4E74"/>
    <w:rsid w:val="008F5263"/>
    <w:rsid w:val="008F7195"/>
    <w:rsid w:val="008F7515"/>
    <w:rsid w:val="008F7D6F"/>
    <w:rsid w:val="008F7EC7"/>
    <w:rsid w:val="009009CF"/>
    <w:rsid w:val="00901039"/>
    <w:rsid w:val="009011CE"/>
    <w:rsid w:val="009015AB"/>
    <w:rsid w:val="00901E65"/>
    <w:rsid w:val="009029E1"/>
    <w:rsid w:val="00903151"/>
    <w:rsid w:val="00904025"/>
    <w:rsid w:val="009042A7"/>
    <w:rsid w:val="00904A5A"/>
    <w:rsid w:val="00904FDD"/>
    <w:rsid w:val="00905193"/>
    <w:rsid w:val="0090542D"/>
    <w:rsid w:val="009063B7"/>
    <w:rsid w:val="0090659A"/>
    <w:rsid w:val="00906995"/>
    <w:rsid w:val="00906AF7"/>
    <w:rsid w:val="00906CF2"/>
    <w:rsid w:val="00907A46"/>
    <w:rsid w:val="00907CC5"/>
    <w:rsid w:val="009105EE"/>
    <w:rsid w:val="00910C82"/>
    <w:rsid w:val="00912397"/>
    <w:rsid w:val="00912DC1"/>
    <w:rsid w:val="00913244"/>
    <w:rsid w:val="00914074"/>
    <w:rsid w:val="009146E4"/>
    <w:rsid w:val="009152C1"/>
    <w:rsid w:val="00916045"/>
    <w:rsid w:val="00916AFF"/>
    <w:rsid w:val="00916D4F"/>
    <w:rsid w:val="0091743A"/>
    <w:rsid w:val="00917728"/>
    <w:rsid w:val="00920951"/>
    <w:rsid w:val="00920D48"/>
    <w:rsid w:val="00920F56"/>
    <w:rsid w:val="00921A80"/>
    <w:rsid w:val="00922766"/>
    <w:rsid w:val="00922941"/>
    <w:rsid w:val="0092384A"/>
    <w:rsid w:val="00923A75"/>
    <w:rsid w:val="00923DB6"/>
    <w:rsid w:val="00924648"/>
    <w:rsid w:val="00924C27"/>
    <w:rsid w:val="00926695"/>
    <w:rsid w:val="009277EF"/>
    <w:rsid w:val="009278CC"/>
    <w:rsid w:val="00931143"/>
    <w:rsid w:val="0093134C"/>
    <w:rsid w:val="00931B00"/>
    <w:rsid w:val="00932064"/>
    <w:rsid w:val="00932319"/>
    <w:rsid w:val="0093285A"/>
    <w:rsid w:val="00932DAF"/>
    <w:rsid w:val="00933298"/>
    <w:rsid w:val="00933735"/>
    <w:rsid w:val="00933B80"/>
    <w:rsid w:val="00933DCC"/>
    <w:rsid w:val="00934EBC"/>
    <w:rsid w:val="00935630"/>
    <w:rsid w:val="0093636D"/>
    <w:rsid w:val="00936A6A"/>
    <w:rsid w:val="00936E9C"/>
    <w:rsid w:val="00937840"/>
    <w:rsid w:val="009404B1"/>
    <w:rsid w:val="00941263"/>
    <w:rsid w:val="009414FF"/>
    <w:rsid w:val="009422CE"/>
    <w:rsid w:val="0094266A"/>
    <w:rsid w:val="00942E38"/>
    <w:rsid w:val="00944347"/>
    <w:rsid w:val="009452CB"/>
    <w:rsid w:val="00945AE5"/>
    <w:rsid w:val="00946EA3"/>
    <w:rsid w:val="009470B0"/>
    <w:rsid w:val="00951419"/>
    <w:rsid w:val="009531F6"/>
    <w:rsid w:val="00953DE4"/>
    <w:rsid w:val="0095465A"/>
    <w:rsid w:val="00955AA6"/>
    <w:rsid w:val="00955EB9"/>
    <w:rsid w:val="00956426"/>
    <w:rsid w:val="009566EB"/>
    <w:rsid w:val="009578A1"/>
    <w:rsid w:val="0096086A"/>
    <w:rsid w:val="0096121B"/>
    <w:rsid w:val="00961ADE"/>
    <w:rsid w:val="00962337"/>
    <w:rsid w:val="00962B22"/>
    <w:rsid w:val="00962E91"/>
    <w:rsid w:val="00963071"/>
    <w:rsid w:val="00963854"/>
    <w:rsid w:val="009641BC"/>
    <w:rsid w:val="00965649"/>
    <w:rsid w:val="00965EE4"/>
    <w:rsid w:val="009669DC"/>
    <w:rsid w:val="00966D39"/>
    <w:rsid w:val="0096715C"/>
    <w:rsid w:val="009676B6"/>
    <w:rsid w:val="00967F70"/>
    <w:rsid w:val="009700F2"/>
    <w:rsid w:val="00971082"/>
    <w:rsid w:val="00972351"/>
    <w:rsid w:val="009727BC"/>
    <w:rsid w:val="00973729"/>
    <w:rsid w:val="00974018"/>
    <w:rsid w:val="009746EC"/>
    <w:rsid w:val="00974B45"/>
    <w:rsid w:val="00974D18"/>
    <w:rsid w:val="009750BA"/>
    <w:rsid w:val="00975270"/>
    <w:rsid w:val="009752BB"/>
    <w:rsid w:val="00976126"/>
    <w:rsid w:val="009766E1"/>
    <w:rsid w:val="00976769"/>
    <w:rsid w:val="00976795"/>
    <w:rsid w:val="00976A8B"/>
    <w:rsid w:val="00977ACC"/>
    <w:rsid w:val="00980151"/>
    <w:rsid w:val="00980614"/>
    <w:rsid w:val="0098075F"/>
    <w:rsid w:val="0098104C"/>
    <w:rsid w:val="0098118C"/>
    <w:rsid w:val="00981519"/>
    <w:rsid w:val="00981DD9"/>
    <w:rsid w:val="0098245A"/>
    <w:rsid w:val="00983449"/>
    <w:rsid w:val="0098562C"/>
    <w:rsid w:val="009860FD"/>
    <w:rsid w:val="009863E5"/>
    <w:rsid w:val="00986D03"/>
    <w:rsid w:val="00987493"/>
    <w:rsid w:val="00990116"/>
    <w:rsid w:val="00990EAD"/>
    <w:rsid w:val="00991EBE"/>
    <w:rsid w:val="00991FAE"/>
    <w:rsid w:val="00992395"/>
    <w:rsid w:val="009930EC"/>
    <w:rsid w:val="009937EC"/>
    <w:rsid w:val="00995773"/>
    <w:rsid w:val="009971A2"/>
    <w:rsid w:val="009A0DCF"/>
    <w:rsid w:val="009A1A98"/>
    <w:rsid w:val="009A1AF7"/>
    <w:rsid w:val="009A1B59"/>
    <w:rsid w:val="009A290A"/>
    <w:rsid w:val="009A317B"/>
    <w:rsid w:val="009A3FFC"/>
    <w:rsid w:val="009A44C2"/>
    <w:rsid w:val="009A477D"/>
    <w:rsid w:val="009A4F03"/>
    <w:rsid w:val="009A551E"/>
    <w:rsid w:val="009A5A69"/>
    <w:rsid w:val="009A6A5A"/>
    <w:rsid w:val="009A794A"/>
    <w:rsid w:val="009B0DF1"/>
    <w:rsid w:val="009B128E"/>
    <w:rsid w:val="009B14C2"/>
    <w:rsid w:val="009B14D7"/>
    <w:rsid w:val="009B1F3C"/>
    <w:rsid w:val="009B2290"/>
    <w:rsid w:val="009B2779"/>
    <w:rsid w:val="009B29C8"/>
    <w:rsid w:val="009B2A21"/>
    <w:rsid w:val="009B37EF"/>
    <w:rsid w:val="009B3C46"/>
    <w:rsid w:val="009B433E"/>
    <w:rsid w:val="009B4371"/>
    <w:rsid w:val="009B5580"/>
    <w:rsid w:val="009B55EF"/>
    <w:rsid w:val="009B62EA"/>
    <w:rsid w:val="009B63C4"/>
    <w:rsid w:val="009B6811"/>
    <w:rsid w:val="009B6EC6"/>
    <w:rsid w:val="009B78FC"/>
    <w:rsid w:val="009B7EDF"/>
    <w:rsid w:val="009C000E"/>
    <w:rsid w:val="009C0909"/>
    <w:rsid w:val="009C1F81"/>
    <w:rsid w:val="009C254C"/>
    <w:rsid w:val="009C3778"/>
    <w:rsid w:val="009C472D"/>
    <w:rsid w:val="009C4D55"/>
    <w:rsid w:val="009C6BF9"/>
    <w:rsid w:val="009C711F"/>
    <w:rsid w:val="009D0045"/>
    <w:rsid w:val="009D0FE1"/>
    <w:rsid w:val="009D1121"/>
    <w:rsid w:val="009D3511"/>
    <w:rsid w:val="009D398A"/>
    <w:rsid w:val="009D3FF5"/>
    <w:rsid w:val="009D4177"/>
    <w:rsid w:val="009D487A"/>
    <w:rsid w:val="009D48E5"/>
    <w:rsid w:val="009D56F2"/>
    <w:rsid w:val="009D5EAD"/>
    <w:rsid w:val="009D6897"/>
    <w:rsid w:val="009D6A2C"/>
    <w:rsid w:val="009D6A99"/>
    <w:rsid w:val="009D70B5"/>
    <w:rsid w:val="009D7A19"/>
    <w:rsid w:val="009D7B23"/>
    <w:rsid w:val="009E02C2"/>
    <w:rsid w:val="009E0953"/>
    <w:rsid w:val="009E0BAB"/>
    <w:rsid w:val="009E0D7C"/>
    <w:rsid w:val="009E12DE"/>
    <w:rsid w:val="009E16E0"/>
    <w:rsid w:val="009E19A4"/>
    <w:rsid w:val="009E1C77"/>
    <w:rsid w:val="009E1FDC"/>
    <w:rsid w:val="009E26DE"/>
    <w:rsid w:val="009E3000"/>
    <w:rsid w:val="009E4E71"/>
    <w:rsid w:val="009E53B0"/>
    <w:rsid w:val="009E5A7B"/>
    <w:rsid w:val="009E5F63"/>
    <w:rsid w:val="009E7CB6"/>
    <w:rsid w:val="009E7E73"/>
    <w:rsid w:val="009F04E9"/>
    <w:rsid w:val="009F2278"/>
    <w:rsid w:val="009F29DB"/>
    <w:rsid w:val="009F33BF"/>
    <w:rsid w:val="009F4040"/>
    <w:rsid w:val="009F4239"/>
    <w:rsid w:val="009F44E9"/>
    <w:rsid w:val="009F4906"/>
    <w:rsid w:val="009F5366"/>
    <w:rsid w:val="009F553E"/>
    <w:rsid w:val="009F6F5A"/>
    <w:rsid w:val="009F7B72"/>
    <w:rsid w:val="009F7C16"/>
    <w:rsid w:val="00A00200"/>
    <w:rsid w:val="00A00A69"/>
    <w:rsid w:val="00A03043"/>
    <w:rsid w:val="00A039B6"/>
    <w:rsid w:val="00A03A20"/>
    <w:rsid w:val="00A03C8C"/>
    <w:rsid w:val="00A04084"/>
    <w:rsid w:val="00A040E5"/>
    <w:rsid w:val="00A041F3"/>
    <w:rsid w:val="00A04695"/>
    <w:rsid w:val="00A05071"/>
    <w:rsid w:val="00A0624B"/>
    <w:rsid w:val="00A0678D"/>
    <w:rsid w:val="00A06AFE"/>
    <w:rsid w:val="00A10C78"/>
    <w:rsid w:val="00A11D0E"/>
    <w:rsid w:val="00A12A57"/>
    <w:rsid w:val="00A13C4A"/>
    <w:rsid w:val="00A14FDE"/>
    <w:rsid w:val="00A16EDA"/>
    <w:rsid w:val="00A17311"/>
    <w:rsid w:val="00A21134"/>
    <w:rsid w:val="00A214B6"/>
    <w:rsid w:val="00A218C9"/>
    <w:rsid w:val="00A21ABC"/>
    <w:rsid w:val="00A224CC"/>
    <w:rsid w:val="00A22B1D"/>
    <w:rsid w:val="00A22E26"/>
    <w:rsid w:val="00A22F95"/>
    <w:rsid w:val="00A232BA"/>
    <w:rsid w:val="00A23643"/>
    <w:rsid w:val="00A23C6E"/>
    <w:rsid w:val="00A24A38"/>
    <w:rsid w:val="00A2550E"/>
    <w:rsid w:val="00A25ED9"/>
    <w:rsid w:val="00A27706"/>
    <w:rsid w:val="00A27BDE"/>
    <w:rsid w:val="00A305B1"/>
    <w:rsid w:val="00A30E88"/>
    <w:rsid w:val="00A3127E"/>
    <w:rsid w:val="00A31631"/>
    <w:rsid w:val="00A33289"/>
    <w:rsid w:val="00A3379D"/>
    <w:rsid w:val="00A3478D"/>
    <w:rsid w:val="00A347D2"/>
    <w:rsid w:val="00A3530A"/>
    <w:rsid w:val="00A35B8A"/>
    <w:rsid w:val="00A379EF"/>
    <w:rsid w:val="00A4069A"/>
    <w:rsid w:val="00A412F1"/>
    <w:rsid w:val="00A41612"/>
    <w:rsid w:val="00A4166E"/>
    <w:rsid w:val="00A428ED"/>
    <w:rsid w:val="00A42A10"/>
    <w:rsid w:val="00A42A9F"/>
    <w:rsid w:val="00A4698F"/>
    <w:rsid w:val="00A47191"/>
    <w:rsid w:val="00A5260B"/>
    <w:rsid w:val="00A5334E"/>
    <w:rsid w:val="00A538B9"/>
    <w:rsid w:val="00A53FD5"/>
    <w:rsid w:val="00A557F3"/>
    <w:rsid w:val="00A56342"/>
    <w:rsid w:val="00A5771E"/>
    <w:rsid w:val="00A60891"/>
    <w:rsid w:val="00A61F59"/>
    <w:rsid w:val="00A627BA"/>
    <w:rsid w:val="00A627EF"/>
    <w:rsid w:val="00A644EA"/>
    <w:rsid w:val="00A65F54"/>
    <w:rsid w:val="00A66597"/>
    <w:rsid w:val="00A668EE"/>
    <w:rsid w:val="00A66E49"/>
    <w:rsid w:val="00A674FB"/>
    <w:rsid w:val="00A67918"/>
    <w:rsid w:val="00A67E2A"/>
    <w:rsid w:val="00A7067C"/>
    <w:rsid w:val="00A70F0A"/>
    <w:rsid w:val="00A716D6"/>
    <w:rsid w:val="00A7213F"/>
    <w:rsid w:val="00A725F7"/>
    <w:rsid w:val="00A72813"/>
    <w:rsid w:val="00A73C9E"/>
    <w:rsid w:val="00A73D42"/>
    <w:rsid w:val="00A73EB4"/>
    <w:rsid w:val="00A73ED1"/>
    <w:rsid w:val="00A7406F"/>
    <w:rsid w:val="00A75E7D"/>
    <w:rsid w:val="00A7678A"/>
    <w:rsid w:val="00A7780A"/>
    <w:rsid w:val="00A8135E"/>
    <w:rsid w:val="00A82E62"/>
    <w:rsid w:val="00A840D8"/>
    <w:rsid w:val="00A850B4"/>
    <w:rsid w:val="00A860CC"/>
    <w:rsid w:val="00A863C0"/>
    <w:rsid w:val="00A86871"/>
    <w:rsid w:val="00A87A85"/>
    <w:rsid w:val="00A9050C"/>
    <w:rsid w:val="00A91198"/>
    <w:rsid w:val="00A922B9"/>
    <w:rsid w:val="00A92386"/>
    <w:rsid w:val="00A929A4"/>
    <w:rsid w:val="00A92AA4"/>
    <w:rsid w:val="00A94EE9"/>
    <w:rsid w:val="00A95C33"/>
    <w:rsid w:val="00A96603"/>
    <w:rsid w:val="00A96C51"/>
    <w:rsid w:val="00A97401"/>
    <w:rsid w:val="00A974B7"/>
    <w:rsid w:val="00AA07D4"/>
    <w:rsid w:val="00AA08BC"/>
    <w:rsid w:val="00AA1811"/>
    <w:rsid w:val="00AA23F4"/>
    <w:rsid w:val="00AA2766"/>
    <w:rsid w:val="00AA3675"/>
    <w:rsid w:val="00AA3DB6"/>
    <w:rsid w:val="00AA4B09"/>
    <w:rsid w:val="00AA5F76"/>
    <w:rsid w:val="00AA62CD"/>
    <w:rsid w:val="00AA6D9A"/>
    <w:rsid w:val="00AA7BD9"/>
    <w:rsid w:val="00AB019D"/>
    <w:rsid w:val="00AB0212"/>
    <w:rsid w:val="00AB15A0"/>
    <w:rsid w:val="00AB3405"/>
    <w:rsid w:val="00AB4B4F"/>
    <w:rsid w:val="00AB55B2"/>
    <w:rsid w:val="00AB58B6"/>
    <w:rsid w:val="00AB5BEE"/>
    <w:rsid w:val="00AB6034"/>
    <w:rsid w:val="00AB6FAD"/>
    <w:rsid w:val="00AB705B"/>
    <w:rsid w:val="00AC0225"/>
    <w:rsid w:val="00AC1622"/>
    <w:rsid w:val="00AC16CA"/>
    <w:rsid w:val="00AC36BB"/>
    <w:rsid w:val="00AC392F"/>
    <w:rsid w:val="00AC437E"/>
    <w:rsid w:val="00AC4548"/>
    <w:rsid w:val="00AC46B3"/>
    <w:rsid w:val="00AC5A7D"/>
    <w:rsid w:val="00AC61B0"/>
    <w:rsid w:val="00AC6336"/>
    <w:rsid w:val="00AC6A3E"/>
    <w:rsid w:val="00AC782A"/>
    <w:rsid w:val="00AD09C1"/>
    <w:rsid w:val="00AD10EA"/>
    <w:rsid w:val="00AD209E"/>
    <w:rsid w:val="00AD360A"/>
    <w:rsid w:val="00AD3BE7"/>
    <w:rsid w:val="00AD3E55"/>
    <w:rsid w:val="00AD5C8D"/>
    <w:rsid w:val="00AD6505"/>
    <w:rsid w:val="00AD6B53"/>
    <w:rsid w:val="00AD768C"/>
    <w:rsid w:val="00AE087F"/>
    <w:rsid w:val="00AE161E"/>
    <w:rsid w:val="00AE2579"/>
    <w:rsid w:val="00AE32CA"/>
    <w:rsid w:val="00AE4034"/>
    <w:rsid w:val="00AE4E75"/>
    <w:rsid w:val="00AE5A7A"/>
    <w:rsid w:val="00AE6A47"/>
    <w:rsid w:val="00AE7B4A"/>
    <w:rsid w:val="00AE7C66"/>
    <w:rsid w:val="00AF0352"/>
    <w:rsid w:val="00AF0679"/>
    <w:rsid w:val="00AF08D3"/>
    <w:rsid w:val="00AF1479"/>
    <w:rsid w:val="00AF18F4"/>
    <w:rsid w:val="00AF280F"/>
    <w:rsid w:val="00AF2A81"/>
    <w:rsid w:val="00AF377D"/>
    <w:rsid w:val="00AF3C52"/>
    <w:rsid w:val="00AF4907"/>
    <w:rsid w:val="00AF4B4F"/>
    <w:rsid w:val="00AF4F6E"/>
    <w:rsid w:val="00AF5988"/>
    <w:rsid w:val="00AF75F3"/>
    <w:rsid w:val="00B00F3C"/>
    <w:rsid w:val="00B013DD"/>
    <w:rsid w:val="00B01691"/>
    <w:rsid w:val="00B03C96"/>
    <w:rsid w:val="00B03F35"/>
    <w:rsid w:val="00B04930"/>
    <w:rsid w:val="00B05209"/>
    <w:rsid w:val="00B05982"/>
    <w:rsid w:val="00B05FE5"/>
    <w:rsid w:val="00B062DB"/>
    <w:rsid w:val="00B06317"/>
    <w:rsid w:val="00B06358"/>
    <w:rsid w:val="00B06FA5"/>
    <w:rsid w:val="00B07699"/>
    <w:rsid w:val="00B078FB"/>
    <w:rsid w:val="00B07D30"/>
    <w:rsid w:val="00B07F69"/>
    <w:rsid w:val="00B10B79"/>
    <w:rsid w:val="00B1166F"/>
    <w:rsid w:val="00B12C8B"/>
    <w:rsid w:val="00B13578"/>
    <w:rsid w:val="00B13696"/>
    <w:rsid w:val="00B13AAE"/>
    <w:rsid w:val="00B13DB5"/>
    <w:rsid w:val="00B13FB7"/>
    <w:rsid w:val="00B14FC0"/>
    <w:rsid w:val="00B15B73"/>
    <w:rsid w:val="00B16B32"/>
    <w:rsid w:val="00B17314"/>
    <w:rsid w:val="00B17964"/>
    <w:rsid w:val="00B20314"/>
    <w:rsid w:val="00B2058F"/>
    <w:rsid w:val="00B2066A"/>
    <w:rsid w:val="00B20BA8"/>
    <w:rsid w:val="00B20E4E"/>
    <w:rsid w:val="00B2108A"/>
    <w:rsid w:val="00B21359"/>
    <w:rsid w:val="00B21E92"/>
    <w:rsid w:val="00B22097"/>
    <w:rsid w:val="00B228C7"/>
    <w:rsid w:val="00B23C6E"/>
    <w:rsid w:val="00B23D85"/>
    <w:rsid w:val="00B23F22"/>
    <w:rsid w:val="00B23FA6"/>
    <w:rsid w:val="00B240F3"/>
    <w:rsid w:val="00B24124"/>
    <w:rsid w:val="00B2609A"/>
    <w:rsid w:val="00B26302"/>
    <w:rsid w:val="00B265B2"/>
    <w:rsid w:val="00B272FD"/>
    <w:rsid w:val="00B300F1"/>
    <w:rsid w:val="00B3243E"/>
    <w:rsid w:val="00B32F2F"/>
    <w:rsid w:val="00B33C50"/>
    <w:rsid w:val="00B34E6A"/>
    <w:rsid w:val="00B3525E"/>
    <w:rsid w:val="00B35A62"/>
    <w:rsid w:val="00B35BD6"/>
    <w:rsid w:val="00B36927"/>
    <w:rsid w:val="00B369C5"/>
    <w:rsid w:val="00B37967"/>
    <w:rsid w:val="00B37AEE"/>
    <w:rsid w:val="00B407FC"/>
    <w:rsid w:val="00B40E65"/>
    <w:rsid w:val="00B41E11"/>
    <w:rsid w:val="00B427FC"/>
    <w:rsid w:val="00B42CA4"/>
    <w:rsid w:val="00B44B52"/>
    <w:rsid w:val="00B44BEF"/>
    <w:rsid w:val="00B459F8"/>
    <w:rsid w:val="00B45B62"/>
    <w:rsid w:val="00B45DDD"/>
    <w:rsid w:val="00B45F98"/>
    <w:rsid w:val="00B46615"/>
    <w:rsid w:val="00B46818"/>
    <w:rsid w:val="00B46D60"/>
    <w:rsid w:val="00B47995"/>
    <w:rsid w:val="00B521AF"/>
    <w:rsid w:val="00B5232E"/>
    <w:rsid w:val="00B52348"/>
    <w:rsid w:val="00B54184"/>
    <w:rsid w:val="00B55CA6"/>
    <w:rsid w:val="00B561A5"/>
    <w:rsid w:val="00B5636F"/>
    <w:rsid w:val="00B56B52"/>
    <w:rsid w:val="00B570BC"/>
    <w:rsid w:val="00B57129"/>
    <w:rsid w:val="00B57DC2"/>
    <w:rsid w:val="00B60BE8"/>
    <w:rsid w:val="00B61D5B"/>
    <w:rsid w:val="00B6222B"/>
    <w:rsid w:val="00B62858"/>
    <w:rsid w:val="00B64655"/>
    <w:rsid w:val="00B64A2B"/>
    <w:rsid w:val="00B64DD8"/>
    <w:rsid w:val="00B65305"/>
    <w:rsid w:val="00B66894"/>
    <w:rsid w:val="00B67F83"/>
    <w:rsid w:val="00B7049F"/>
    <w:rsid w:val="00B705C1"/>
    <w:rsid w:val="00B70D4F"/>
    <w:rsid w:val="00B715BF"/>
    <w:rsid w:val="00B7168B"/>
    <w:rsid w:val="00B7219C"/>
    <w:rsid w:val="00B72373"/>
    <w:rsid w:val="00B72A88"/>
    <w:rsid w:val="00B73321"/>
    <w:rsid w:val="00B74980"/>
    <w:rsid w:val="00B7520C"/>
    <w:rsid w:val="00B773D6"/>
    <w:rsid w:val="00B77C7B"/>
    <w:rsid w:val="00B8061A"/>
    <w:rsid w:val="00B814BE"/>
    <w:rsid w:val="00B8265A"/>
    <w:rsid w:val="00B8480E"/>
    <w:rsid w:val="00B849B1"/>
    <w:rsid w:val="00B84C5C"/>
    <w:rsid w:val="00B8528F"/>
    <w:rsid w:val="00B854D9"/>
    <w:rsid w:val="00B856BF"/>
    <w:rsid w:val="00B85BF5"/>
    <w:rsid w:val="00B85E8C"/>
    <w:rsid w:val="00B87208"/>
    <w:rsid w:val="00B87B55"/>
    <w:rsid w:val="00B90273"/>
    <w:rsid w:val="00B907A5"/>
    <w:rsid w:val="00B91C2B"/>
    <w:rsid w:val="00B92CF2"/>
    <w:rsid w:val="00B92F78"/>
    <w:rsid w:val="00B93951"/>
    <w:rsid w:val="00B9452F"/>
    <w:rsid w:val="00B94667"/>
    <w:rsid w:val="00B95698"/>
    <w:rsid w:val="00B9641E"/>
    <w:rsid w:val="00B971EC"/>
    <w:rsid w:val="00BA0083"/>
    <w:rsid w:val="00BA00AC"/>
    <w:rsid w:val="00BA177B"/>
    <w:rsid w:val="00BA2173"/>
    <w:rsid w:val="00BA219A"/>
    <w:rsid w:val="00BA2303"/>
    <w:rsid w:val="00BA3453"/>
    <w:rsid w:val="00BA5636"/>
    <w:rsid w:val="00BA5923"/>
    <w:rsid w:val="00BA6AFC"/>
    <w:rsid w:val="00BA6C1C"/>
    <w:rsid w:val="00BA792F"/>
    <w:rsid w:val="00BB01FD"/>
    <w:rsid w:val="00BB06A3"/>
    <w:rsid w:val="00BB198A"/>
    <w:rsid w:val="00BB238E"/>
    <w:rsid w:val="00BB30D4"/>
    <w:rsid w:val="00BB38E3"/>
    <w:rsid w:val="00BB5876"/>
    <w:rsid w:val="00BB5B38"/>
    <w:rsid w:val="00BB6035"/>
    <w:rsid w:val="00BB62BE"/>
    <w:rsid w:val="00BB74FF"/>
    <w:rsid w:val="00BC21AC"/>
    <w:rsid w:val="00BC2AAA"/>
    <w:rsid w:val="00BC2D27"/>
    <w:rsid w:val="00BC32B0"/>
    <w:rsid w:val="00BC3723"/>
    <w:rsid w:val="00BC3D4C"/>
    <w:rsid w:val="00BC4154"/>
    <w:rsid w:val="00BC419A"/>
    <w:rsid w:val="00BC451E"/>
    <w:rsid w:val="00BC4FE7"/>
    <w:rsid w:val="00BC5212"/>
    <w:rsid w:val="00BC56CF"/>
    <w:rsid w:val="00BC5708"/>
    <w:rsid w:val="00BC5D7F"/>
    <w:rsid w:val="00BC7EC7"/>
    <w:rsid w:val="00BD0773"/>
    <w:rsid w:val="00BD1131"/>
    <w:rsid w:val="00BD18DC"/>
    <w:rsid w:val="00BD4AA6"/>
    <w:rsid w:val="00BD5D68"/>
    <w:rsid w:val="00BD65B6"/>
    <w:rsid w:val="00BD6E5C"/>
    <w:rsid w:val="00BE1830"/>
    <w:rsid w:val="00BE1A4B"/>
    <w:rsid w:val="00BE1E9B"/>
    <w:rsid w:val="00BE2A84"/>
    <w:rsid w:val="00BE2C18"/>
    <w:rsid w:val="00BE343B"/>
    <w:rsid w:val="00BE3732"/>
    <w:rsid w:val="00BE4534"/>
    <w:rsid w:val="00BE5A05"/>
    <w:rsid w:val="00BE6253"/>
    <w:rsid w:val="00BF00C5"/>
    <w:rsid w:val="00BF0194"/>
    <w:rsid w:val="00BF0CDC"/>
    <w:rsid w:val="00BF172B"/>
    <w:rsid w:val="00BF1BAE"/>
    <w:rsid w:val="00BF1DD6"/>
    <w:rsid w:val="00BF2704"/>
    <w:rsid w:val="00BF2B40"/>
    <w:rsid w:val="00BF469F"/>
    <w:rsid w:val="00BF53B2"/>
    <w:rsid w:val="00BF5449"/>
    <w:rsid w:val="00BF6B50"/>
    <w:rsid w:val="00BF7CD8"/>
    <w:rsid w:val="00C0027D"/>
    <w:rsid w:val="00C002DD"/>
    <w:rsid w:val="00C0218A"/>
    <w:rsid w:val="00C02206"/>
    <w:rsid w:val="00C02382"/>
    <w:rsid w:val="00C023E1"/>
    <w:rsid w:val="00C05A0B"/>
    <w:rsid w:val="00C06850"/>
    <w:rsid w:val="00C07263"/>
    <w:rsid w:val="00C1158E"/>
    <w:rsid w:val="00C122C0"/>
    <w:rsid w:val="00C12540"/>
    <w:rsid w:val="00C13B8E"/>
    <w:rsid w:val="00C14867"/>
    <w:rsid w:val="00C1494F"/>
    <w:rsid w:val="00C14996"/>
    <w:rsid w:val="00C152C3"/>
    <w:rsid w:val="00C154EE"/>
    <w:rsid w:val="00C16EA8"/>
    <w:rsid w:val="00C17349"/>
    <w:rsid w:val="00C17F55"/>
    <w:rsid w:val="00C20B62"/>
    <w:rsid w:val="00C21DA1"/>
    <w:rsid w:val="00C22A34"/>
    <w:rsid w:val="00C240DB"/>
    <w:rsid w:val="00C242D2"/>
    <w:rsid w:val="00C246B7"/>
    <w:rsid w:val="00C24A0C"/>
    <w:rsid w:val="00C24A42"/>
    <w:rsid w:val="00C25D79"/>
    <w:rsid w:val="00C25E5E"/>
    <w:rsid w:val="00C2611F"/>
    <w:rsid w:val="00C26CDA"/>
    <w:rsid w:val="00C26E8F"/>
    <w:rsid w:val="00C272F6"/>
    <w:rsid w:val="00C27322"/>
    <w:rsid w:val="00C27A58"/>
    <w:rsid w:val="00C3034F"/>
    <w:rsid w:val="00C31BBA"/>
    <w:rsid w:val="00C3276E"/>
    <w:rsid w:val="00C32EFD"/>
    <w:rsid w:val="00C3548A"/>
    <w:rsid w:val="00C36016"/>
    <w:rsid w:val="00C36D01"/>
    <w:rsid w:val="00C371C5"/>
    <w:rsid w:val="00C37387"/>
    <w:rsid w:val="00C37A41"/>
    <w:rsid w:val="00C405B1"/>
    <w:rsid w:val="00C40820"/>
    <w:rsid w:val="00C40B37"/>
    <w:rsid w:val="00C41713"/>
    <w:rsid w:val="00C41D10"/>
    <w:rsid w:val="00C42BFC"/>
    <w:rsid w:val="00C438F4"/>
    <w:rsid w:val="00C454C0"/>
    <w:rsid w:val="00C458E3"/>
    <w:rsid w:val="00C46C25"/>
    <w:rsid w:val="00C47022"/>
    <w:rsid w:val="00C47157"/>
    <w:rsid w:val="00C47346"/>
    <w:rsid w:val="00C474C1"/>
    <w:rsid w:val="00C47987"/>
    <w:rsid w:val="00C50563"/>
    <w:rsid w:val="00C50698"/>
    <w:rsid w:val="00C508BB"/>
    <w:rsid w:val="00C50B8A"/>
    <w:rsid w:val="00C51558"/>
    <w:rsid w:val="00C5155C"/>
    <w:rsid w:val="00C51EAE"/>
    <w:rsid w:val="00C5232C"/>
    <w:rsid w:val="00C52639"/>
    <w:rsid w:val="00C528C7"/>
    <w:rsid w:val="00C5399F"/>
    <w:rsid w:val="00C54693"/>
    <w:rsid w:val="00C54E67"/>
    <w:rsid w:val="00C555CC"/>
    <w:rsid w:val="00C56522"/>
    <w:rsid w:val="00C60692"/>
    <w:rsid w:val="00C60E5E"/>
    <w:rsid w:val="00C61374"/>
    <w:rsid w:val="00C61C9C"/>
    <w:rsid w:val="00C6266D"/>
    <w:rsid w:val="00C6330A"/>
    <w:rsid w:val="00C6368B"/>
    <w:rsid w:val="00C63DB8"/>
    <w:rsid w:val="00C6440E"/>
    <w:rsid w:val="00C64A29"/>
    <w:rsid w:val="00C6502E"/>
    <w:rsid w:val="00C66087"/>
    <w:rsid w:val="00C67553"/>
    <w:rsid w:val="00C708D9"/>
    <w:rsid w:val="00C72A98"/>
    <w:rsid w:val="00C72E7F"/>
    <w:rsid w:val="00C73BB7"/>
    <w:rsid w:val="00C744F7"/>
    <w:rsid w:val="00C74A42"/>
    <w:rsid w:val="00C762F2"/>
    <w:rsid w:val="00C76727"/>
    <w:rsid w:val="00C76888"/>
    <w:rsid w:val="00C77A14"/>
    <w:rsid w:val="00C8076F"/>
    <w:rsid w:val="00C80EFB"/>
    <w:rsid w:val="00C817AB"/>
    <w:rsid w:val="00C81929"/>
    <w:rsid w:val="00C820A2"/>
    <w:rsid w:val="00C83D59"/>
    <w:rsid w:val="00C83E18"/>
    <w:rsid w:val="00C841E8"/>
    <w:rsid w:val="00C84B3B"/>
    <w:rsid w:val="00C85C5A"/>
    <w:rsid w:val="00C87F9C"/>
    <w:rsid w:val="00C905C0"/>
    <w:rsid w:val="00C9083F"/>
    <w:rsid w:val="00C90ED7"/>
    <w:rsid w:val="00C927DC"/>
    <w:rsid w:val="00C92F09"/>
    <w:rsid w:val="00C93702"/>
    <w:rsid w:val="00C93922"/>
    <w:rsid w:val="00C93B4A"/>
    <w:rsid w:val="00C93DB6"/>
    <w:rsid w:val="00C93F70"/>
    <w:rsid w:val="00C9489C"/>
    <w:rsid w:val="00C94C90"/>
    <w:rsid w:val="00C9599F"/>
    <w:rsid w:val="00C95C20"/>
    <w:rsid w:val="00C964BC"/>
    <w:rsid w:val="00CA092D"/>
    <w:rsid w:val="00CA1371"/>
    <w:rsid w:val="00CA1834"/>
    <w:rsid w:val="00CA3380"/>
    <w:rsid w:val="00CA3E36"/>
    <w:rsid w:val="00CA4605"/>
    <w:rsid w:val="00CA5B09"/>
    <w:rsid w:val="00CA705A"/>
    <w:rsid w:val="00CA7AED"/>
    <w:rsid w:val="00CB0298"/>
    <w:rsid w:val="00CB0362"/>
    <w:rsid w:val="00CB0C2A"/>
    <w:rsid w:val="00CB0CC2"/>
    <w:rsid w:val="00CB12E0"/>
    <w:rsid w:val="00CB2259"/>
    <w:rsid w:val="00CB38FD"/>
    <w:rsid w:val="00CB4C46"/>
    <w:rsid w:val="00CB4C5E"/>
    <w:rsid w:val="00CB5598"/>
    <w:rsid w:val="00CB5AC5"/>
    <w:rsid w:val="00CB617E"/>
    <w:rsid w:val="00CB743B"/>
    <w:rsid w:val="00CB7943"/>
    <w:rsid w:val="00CC08E6"/>
    <w:rsid w:val="00CC0A6B"/>
    <w:rsid w:val="00CC0C1B"/>
    <w:rsid w:val="00CC222A"/>
    <w:rsid w:val="00CC2E62"/>
    <w:rsid w:val="00CC3D46"/>
    <w:rsid w:val="00CC5F48"/>
    <w:rsid w:val="00CC76BC"/>
    <w:rsid w:val="00CC7FAC"/>
    <w:rsid w:val="00CD0068"/>
    <w:rsid w:val="00CD05E7"/>
    <w:rsid w:val="00CD082D"/>
    <w:rsid w:val="00CD1962"/>
    <w:rsid w:val="00CD2B2E"/>
    <w:rsid w:val="00CD397B"/>
    <w:rsid w:val="00CD3EFA"/>
    <w:rsid w:val="00CD4550"/>
    <w:rsid w:val="00CD4C65"/>
    <w:rsid w:val="00CD4F42"/>
    <w:rsid w:val="00CD5056"/>
    <w:rsid w:val="00CD5765"/>
    <w:rsid w:val="00CD6084"/>
    <w:rsid w:val="00CD691D"/>
    <w:rsid w:val="00CD6957"/>
    <w:rsid w:val="00CD70DE"/>
    <w:rsid w:val="00CD7B46"/>
    <w:rsid w:val="00CD7CB9"/>
    <w:rsid w:val="00CD7ED7"/>
    <w:rsid w:val="00CE0661"/>
    <w:rsid w:val="00CE1C62"/>
    <w:rsid w:val="00CE230D"/>
    <w:rsid w:val="00CE6119"/>
    <w:rsid w:val="00CE6A73"/>
    <w:rsid w:val="00CE7DE9"/>
    <w:rsid w:val="00CE7F56"/>
    <w:rsid w:val="00CF057F"/>
    <w:rsid w:val="00CF13DF"/>
    <w:rsid w:val="00CF1958"/>
    <w:rsid w:val="00CF28C4"/>
    <w:rsid w:val="00CF29B5"/>
    <w:rsid w:val="00CF49E4"/>
    <w:rsid w:val="00CF563C"/>
    <w:rsid w:val="00CF56F6"/>
    <w:rsid w:val="00CF5CA6"/>
    <w:rsid w:val="00CF68C6"/>
    <w:rsid w:val="00CF7A07"/>
    <w:rsid w:val="00CF7AC0"/>
    <w:rsid w:val="00D003F9"/>
    <w:rsid w:val="00D006F1"/>
    <w:rsid w:val="00D007B7"/>
    <w:rsid w:val="00D00D42"/>
    <w:rsid w:val="00D00FFA"/>
    <w:rsid w:val="00D01067"/>
    <w:rsid w:val="00D01A0D"/>
    <w:rsid w:val="00D01DD2"/>
    <w:rsid w:val="00D01F79"/>
    <w:rsid w:val="00D02329"/>
    <w:rsid w:val="00D02C56"/>
    <w:rsid w:val="00D048C6"/>
    <w:rsid w:val="00D04B90"/>
    <w:rsid w:val="00D065EE"/>
    <w:rsid w:val="00D06835"/>
    <w:rsid w:val="00D12967"/>
    <w:rsid w:val="00D12BBE"/>
    <w:rsid w:val="00D12C10"/>
    <w:rsid w:val="00D12FC0"/>
    <w:rsid w:val="00D139CF"/>
    <w:rsid w:val="00D14087"/>
    <w:rsid w:val="00D156B6"/>
    <w:rsid w:val="00D16067"/>
    <w:rsid w:val="00D16082"/>
    <w:rsid w:val="00D1648B"/>
    <w:rsid w:val="00D16B1E"/>
    <w:rsid w:val="00D230D8"/>
    <w:rsid w:val="00D2362D"/>
    <w:rsid w:val="00D237F5"/>
    <w:rsid w:val="00D2446A"/>
    <w:rsid w:val="00D257F7"/>
    <w:rsid w:val="00D25C1C"/>
    <w:rsid w:val="00D26212"/>
    <w:rsid w:val="00D272A6"/>
    <w:rsid w:val="00D319F6"/>
    <w:rsid w:val="00D3254A"/>
    <w:rsid w:val="00D34625"/>
    <w:rsid w:val="00D35C80"/>
    <w:rsid w:val="00D36BF9"/>
    <w:rsid w:val="00D37E46"/>
    <w:rsid w:val="00D41275"/>
    <w:rsid w:val="00D416F2"/>
    <w:rsid w:val="00D41EEB"/>
    <w:rsid w:val="00D421F1"/>
    <w:rsid w:val="00D4272D"/>
    <w:rsid w:val="00D42950"/>
    <w:rsid w:val="00D42E9F"/>
    <w:rsid w:val="00D431CD"/>
    <w:rsid w:val="00D43B4A"/>
    <w:rsid w:val="00D43F6F"/>
    <w:rsid w:val="00D43F83"/>
    <w:rsid w:val="00D44029"/>
    <w:rsid w:val="00D441F7"/>
    <w:rsid w:val="00D446A6"/>
    <w:rsid w:val="00D454DB"/>
    <w:rsid w:val="00D46540"/>
    <w:rsid w:val="00D47C7E"/>
    <w:rsid w:val="00D5150B"/>
    <w:rsid w:val="00D51B2F"/>
    <w:rsid w:val="00D51E24"/>
    <w:rsid w:val="00D524D3"/>
    <w:rsid w:val="00D549ED"/>
    <w:rsid w:val="00D5608B"/>
    <w:rsid w:val="00D568B0"/>
    <w:rsid w:val="00D56934"/>
    <w:rsid w:val="00D610F9"/>
    <w:rsid w:val="00D61AE9"/>
    <w:rsid w:val="00D61BD2"/>
    <w:rsid w:val="00D62840"/>
    <w:rsid w:val="00D62C08"/>
    <w:rsid w:val="00D64398"/>
    <w:rsid w:val="00D64957"/>
    <w:rsid w:val="00D64D1F"/>
    <w:rsid w:val="00D64FA8"/>
    <w:rsid w:val="00D657BF"/>
    <w:rsid w:val="00D67E23"/>
    <w:rsid w:val="00D70588"/>
    <w:rsid w:val="00D710CB"/>
    <w:rsid w:val="00D71F33"/>
    <w:rsid w:val="00D72995"/>
    <w:rsid w:val="00D72A61"/>
    <w:rsid w:val="00D73DE6"/>
    <w:rsid w:val="00D744F6"/>
    <w:rsid w:val="00D74AF2"/>
    <w:rsid w:val="00D75534"/>
    <w:rsid w:val="00D758AD"/>
    <w:rsid w:val="00D7664C"/>
    <w:rsid w:val="00D768FE"/>
    <w:rsid w:val="00D806EE"/>
    <w:rsid w:val="00D812AF"/>
    <w:rsid w:val="00D81CD2"/>
    <w:rsid w:val="00D822CB"/>
    <w:rsid w:val="00D8237B"/>
    <w:rsid w:val="00D8330E"/>
    <w:rsid w:val="00D83892"/>
    <w:rsid w:val="00D868B9"/>
    <w:rsid w:val="00D87492"/>
    <w:rsid w:val="00D8754A"/>
    <w:rsid w:val="00D87CDA"/>
    <w:rsid w:val="00D90EC5"/>
    <w:rsid w:val="00D91C14"/>
    <w:rsid w:val="00D9209F"/>
    <w:rsid w:val="00D932F2"/>
    <w:rsid w:val="00D957C3"/>
    <w:rsid w:val="00D95DD6"/>
    <w:rsid w:val="00D96DF2"/>
    <w:rsid w:val="00DA089E"/>
    <w:rsid w:val="00DA0B67"/>
    <w:rsid w:val="00DA0E43"/>
    <w:rsid w:val="00DA0F9B"/>
    <w:rsid w:val="00DA1247"/>
    <w:rsid w:val="00DA1967"/>
    <w:rsid w:val="00DA1AB5"/>
    <w:rsid w:val="00DA2D48"/>
    <w:rsid w:val="00DA30B5"/>
    <w:rsid w:val="00DA32E1"/>
    <w:rsid w:val="00DA357E"/>
    <w:rsid w:val="00DA3CCF"/>
    <w:rsid w:val="00DA4428"/>
    <w:rsid w:val="00DA4F95"/>
    <w:rsid w:val="00DA53F5"/>
    <w:rsid w:val="00DA55D3"/>
    <w:rsid w:val="00DA5752"/>
    <w:rsid w:val="00DA6B4D"/>
    <w:rsid w:val="00DA76EF"/>
    <w:rsid w:val="00DA7916"/>
    <w:rsid w:val="00DB0003"/>
    <w:rsid w:val="00DB0B4E"/>
    <w:rsid w:val="00DB2BB3"/>
    <w:rsid w:val="00DB30FC"/>
    <w:rsid w:val="00DB360A"/>
    <w:rsid w:val="00DB41C8"/>
    <w:rsid w:val="00DB42EC"/>
    <w:rsid w:val="00DB4D27"/>
    <w:rsid w:val="00DB5C0F"/>
    <w:rsid w:val="00DB5C5D"/>
    <w:rsid w:val="00DB607B"/>
    <w:rsid w:val="00DB7423"/>
    <w:rsid w:val="00DC0033"/>
    <w:rsid w:val="00DC1216"/>
    <w:rsid w:val="00DC1C0B"/>
    <w:rsid w:val="00DC2271"/>
    <w:rsid w:val="00DC2390"/>
    <w:rsid w:val="00DC2505"/>
    <w:rsid w:val="00DC28DB"/>
    <w:rsid w:val="00DC2B2F"/>
    <w:rsid w:val="00DC2D13"/>
    <w:rsid w:val="00DC34EB"/>
    <w:rsid w:val="00DC37D5"/>
    <w:rsid w:val="00DC3844"/>
    <w:rsid w:val="00DC3934"/>
    <w:rsid w:val="00DC407B"/>
    <w:rsid w:val="00DC5C7D"/>
    <w:rsid w:val="00DC7E83"/>
    <w:rsid w:val="00DD0086"/>
    <w:rsid w:val="00DD0FCF"/>
    <w:rsid w:val="00DD1268"/>
    <w:rsid w:val="00DD1D9F"/>
    <w:rsid w:val="00DD2732"/>
    <w:rsid w:val="00DD374F"/>
    <w:rsid w:val="00DD3CB4"/>
    <w:rsid w:val="00DD4B61"/>
    <w:rsid w:val="00DD63CC"/>
    <w:rsid w:val="00DD65AB"/>
    <w:rsid w:val="00DD6AB3"/>
    <w:rsid w:val="00DD72B6"/>
    <w:rsid w:val="00DD77D3"/>
    <w:rsid w:val="00DD7F4A"/>
    <w:rsid w:val="00DE02F6"/>
    <w:rsid w:val="00DE03BC"/>
    <w:rsid w:val="00DE11F5"/>
    <w:rsid w:val="00DE1989"/>
    <w:rsid w:val="00DE2116"/>
    <w:rsid w:val="00DE36CB"/>
    <w:rsid w:val="00DE3780"/>
    <w:rsid w:val="00DE3A96"/>
    <w:rsid w:val="00DE5D57"/>
    <w:rsid w:val="00DE680A"/>
    <w:rsid w:val="00DE6A91"/>
    <w:rsid w:val="00DE72C1"/>
    <w:rsid w:val="00DF12D5"/>
    <w:rsid w:val="00DF20D9"/>
    <w:rsid w:val="00DF22A0"/>
    <w:rsid w:val="00DF23BC"/>
    <w:rsid w:val="00DF2D4B"/>
    <w:rsid w:val="00DF31BF"/>
    <w:rsid w:val="00DF3396"/>
    <w:rsid w:val="00DF3D78"/>
    <w:rsid w:val="00DF5536"/>
    <w:rsid w:val="00DF6223"/>
    <w:rsid w:val="00E01428"/>
    <w:rsid w:val="00E027BE"/>
    <w:rsid w:val="00E02A41"/>
    <w:rsid w:val="00E0317D"/>
    <w:rsid w:val="00E03935"/>
    <w:rsid w:val="00E0468F"/>
    <w:rsid w:val="00E04B5A"/>
    <w:rsid w:val="00E06A8C"/>
    <w:rsid w:val="00E079E9"/>
    <w:rsid w:val="00E07C62"/>
    <w:rsid w:val="00E07E20"/>
    <w:rsid w:val="00E07EFF"/>
    <w:rsid w:val="00E123CD"/>
    <w:rsid w:val="00E128E5"/>
    <w:rsid w:val="00E12C0C"/>
    <w:rsid w:val="00E12D4F"/>
    <w:rsid w:val="00E138ED"/>
    <w:rsid w:val="00E139FF"/>
    <w:rsid w:val="00E13FB7"/>
    <w:rsid w:val="00E149E1"/>
    <w:rsid w:val="00E17114"/>
    <w:rsid w:val="00E1794D"/>
    <w:rsid w:val="00E2066D"/>
    <w:rsid w:val="00E20B2A"/>
    <w:rsid w:val="00E2125C"/>
    <w:rsid w:val="00E21BC1"/>
    <w:rsid w:val="00E21FDA"/>
    <w:rsid w:val="00E24AF0"/>
    <w:rsid w:val="00E25021"/>
    <w:rsid w:val="00E25756"/>
    <w:rsid w:val="00E257A1"/>
    <w:rsid w:val="00E2662B"/>
    <w:rsid w:val="00E269A4"/>
    <w:rsid w:val="00E300BC"/>
    <w:rsid w:val="00E302C3"/>
    <w:rsid w:val="00E3113A"/>
    <w:rsid w:val="00E311DA"/>
    <w:rsid w:val="00E31D43"/>
    <w:rsid w:val="00E31FC2"/>
    <w:rsid w:val="00E3210C"/>
    <w:rsid w:val="00E3414B"/>
    <w:rsid w:val="00E35E7C"/>
    <w:rsid w:val="00E3606A"/>
    <w:rsid w:val="00E368A6"/>
    <w:rsid w:val="00E371FF"/>
    <w:rsid w:val="00E37389"/>
    <w:rsid w:val="00E40E03"/>
    <w:rsid w:val="00E41741"/>
    <w:rsid w:val="00E41C9D"/>
    <w:rsid w:val="00E4314D"/>
    <w:rsid w:val="00E435BF"/>
    <w:rsid w:val="00E445B7"/>
    <w:rsid w:val="00E44EC1"/>
    <w:rsid w:val="00E45BFF"/>
    <w:rsid w:val="00E46141"/>
    <w:rsid w:val="00E4705C"/>
    <w:rsid w:val="00E477EC"/>
    <w:rsid w:val="00E478B7"/>
    <w:rsid w:val="00E50A2A"/>
    <w:rsid w:val="00E511BD"/>
    <w:rsid w:val="00E5193A"/>
    <w:rsid w:val="00E521DF"/>
    <w:rsid w:val="00E52B75"/>
    <w:rsid w:val="00E52D08"/>
    <w:rsid w:val="00E53607"/>
    <w:rsid w:val="00E537AC"/>
    <w:rsid w:val="00E542AC"/>
    <w:rsid w:val="00E5448D"/>
    <w:rsid w:val="00E544CB"/>
    <w:rsid w:val="00E54A88"/>
    <w:rsid w:val="00E563F8"/>
    <w:rsid w:val="00E56D2C"/>
    <w:rsid w:val="00E56E03"/>
    <w:rsid w:val="00E57AF2"/>
    <w:rsid w:val="00E608DE"/>
    <w:rsid w:val="00E6117B"/>
    <w:rsid w:val="00E61333"/>
    <w:rsid w:val="00E618E7"/>
    <w:rsid w:val="00E61910"/>
    <w:rsid w:val="00E62D54"/>
    <w:rsid w:val="00E62E2B"/>
    <w:rsid w:val="00E6335A"/>
    <w:rsid w:val="00E63DB8"/>
    <w:rsid w:val="00E64816"/>
    <w:rsid w:val="00E64BAE"/>
    <w:rsid w:val="00E64F78"/>
    <w:rsid w:val="00E650B0"/>
    <w:rsid w:val="00E658EA"/>
    <w:rsid w:val="00E661FF"/>
    <w:rsid w:val="00E66259"/>
    <w:rsid w:val="00E66787"/>
    <w:rsid w:val="00E671F0"/>
    <w:rsid w:val="00E6766B"/>
    <w:rsid w:val="00E6776B"/>
    <w:rsid w:val="00E67F7B"/>
    <w:rsid w:val="00E71208"/>
    <w:rsid w:val="00E748F1"/>
    <w:rsid w:val="00E765E5"/>
    <w:rsid w:val="00E76E72"/>
    <w:rsid w:val="00E8037E"/>
    <w:rsid w:val="00E83358"/>
    <w:rsid w:val="00E8383A"/>
    <w:rsid w:val="00E83D0E"/>
    <w:rsid w:val="00E84371"/>
    <w:rsid w:val="00E8501C"/>
    <w:rsid w:val="00E8744B"/>
    <w:rsid w:val="00E911FB"/>
    <w:rsid w:val="00E918A1"/>
    <w:rsid w:val="00E91962"/>
    <w:rsid w:val="00E91AA2"/>
    <w:rsid w:val="00E91ADF"/>
    <w:rsid w:val="00E91E7E"/>
    <w:rsid w:val="00E92B5D"/>
    <w:rsid w:val="00E935A4"/>
    <w:rsid w:val="00E938B1"/>
    <w:rsid w:val="00E93F3B"/>
    <w:rsid w:val="00E9468C"/>
    <w:rsid w:val="00E97E4A"/>
    <w:rsid w:val="00EA0350"/>
    <w:rsid w:val="00EA0514"/>
    <w:rsid w:val="00EA082B"/>
    <w:rsid w:val="00EA0F02"/>
    <w:rsid w:val="00EA15CA"/>
    <w:rsid w:val="00EA23BB"/>
    <w:rsid w:val="00EA244F"/>
    <w:rsid w:val="00EA247F"/>
    <w:rsid w:val="00EA2A78"/>
    <w:rsid w:val="00EA3FDE"/>
    <w:rsid w:val="00EA4C28"/>
    <w:rsid w:val="00EA506D"/>
    <w:rsid w:val="00EA5218"/>
    <w:rsid w:val="00EA59FA"/>
    <w:rsid w:val="00EA5BC9"/>
    <w:rsid w:val="00EA5CAB"/>
    <w:rsid w:val="00EA6C37"/>
    <w:rsid w:val="00EB0638"/>
    <w:rsid w:val="00EB0E39"/>
    <w:rsid w:val="00EB1FAB"/>
    <w:rsid w:val="00EB37E8"/>
    <w:rsid w:val="00EB451E"/>
    <w:rsid w:val="00EB4803"/>
    <w:rsid w:val="00EB5366"/>
    <w:rsid w:val="00EB56D6"/>
    <w:rsid w:val="00EB5823"/>
    <w:rsid w:val="00EB6781"/>
    <w:rsid w:val="00EB6B6D"/>
    <w:rsid w:val="00EB7B58"/>
    <w:rsid w:val="00EC0429"/>
    <w:rsid w:val="00EC122E"/>
    <w:rsid w:val="00EC24B9"/>
    <w:rsid w:val="00EC2F99"/>
    <w:rsid w:val="00EC3213"/>
    <w:rsid w:val="00EC32C1"/>
    <w:rsid w:val="00EC3C38"/>
    <w:rsid w:val="00EC4681"/>
    <w:rsid w:val="00EC4E36"/>
    <w:rsid w:val="00EC5DE5"/>
    <w:rsid w:val="00EC6B59"/>
    <w:rsid w:val="00EC6C9D"/>
    <w:rsid w:val="00EC716D"/>
    <w:rsid w:val="00EC7F68"/>
    <w:rsid w:val="00ED03ED"/>
    <w:rsid w:val="00ED1B08"/>
    <w:rsid w:val="00ED1B80"/>
    <w:rsid w:val="00ED3884"/>
    <w:rsid w:val="00ED48C4"/>
    <w:rsid w:val="00ED4F0E"/>
    <w:rsid w:val="00ED79B7"/>
    <w:rsid w:val="00ED7CE1"/>
    <w:rsid w:val="00ED7FBB"/>
    <w:rsid w:val="00EE049A"/>
    <w:rsid w:val="00EE0E78"/>
    <w:rsid w:val="00EE1B16"/>
    <w:rsid w:val="00EE25A7"/>
    <w:rsid w:val="00EE282F"/>
    <w:rsid w:val="00EE2E16"/>
    <w:rsid w:val="00EE2F6B"/>
    <w:rsid w:val="00EE3CBC"/>
    <w:rsid w:val="00EE4523"/>
    <w:rsid w:val="00EE516F"/>
    <w:rsid w:val="00EE595B"/>
    <w:rsid w:val="00EE5A12"/>
    <w:rsid w:val="00EE5A85"/>
    <w:rsid w:val="00EE6137"/>
    <w:rsid w:val="00EE6374"/>
    <w:rsid w:val="00EE6631"/>
    <w:rsid w:val="00EE74C7"/>
    <w:rsid w:val="00EE7C97"/>
    <w:rsid w:val="00EF06B8"/>
    <w:rsid w:val="00EF1A98"/>
    <w:rsid w:val="00EF1B77"/>
    <w:rsid w:val="00EF1CF9"/>
    <w:rsid w:val="00EF3AFD"/>
    <w:rsid w:val="00EF3E23"/>
    <w:rsid w:val="00EF4E4A"/>
    <w:rsid w:val="00EF6AE0"/>
    <w:rsid w:val="00EF6F0C"/>
    <w:rsid w:val="00EF70F3"/>
    <w:rsid w:val="00F00B91"/>
    <w:rsid w:val="00F01F6B"/>
    <w:rsid w:val="00F02834"/>
    <w:rsid w:val="00F02DF4"/>
    <w:rsid w:val="00F034AE"/>
    <w:rsid w:val="00F03BD0"/>
    <w:rsid w:val="00F0427D"/>
    <w:rsid w:val="00F044F5"/>
    <w:rsid w:val="00F0649B"/>
    <w:rsid w:val="00F06D03"/>
    <w:rsid w:val="00F0732F"/>
    <w:rsid w:val="00F07C97"/>
    <w:rsid w:val="00F07E84"/>
    <w:rsid w:val="00F10372"/>
    <w:rsid w:val="00F11EB2"/>
    <w:rsid w:val="00F138EA"/>
    <w:rsid w:val="00F143E6"/>
    <w:rsid w:val="00F14C10"/>
    <w:rsid w:val="00F14F5D"/>
    <w:rsid w:val="00F14F6F"/>
    <w:rsid w:val="00F17898"/>
    <w:rsid w:val="00F20563"/>
    <w:rsid w:val="00F20E11"/>
    <w:rsid w:val="00F21385"/>
    <w:rsid w:val="00F21568"/>
    <w:rsid w:val="00F22701"/>
    <w:rsid w:val="00F22B8F"/>
    <w:rsid w:val="00F22CF5"/>
    <w:rsid w:val="00F22E35"/>
    <w:rsid w:val="00F233D6"/>
    <w:rsid w:val="00F23596"/>
    <w:rsid w:val="00F2363B"/>
    <w:rsid w:val="00F24566"/>
    <w:rsid w:val="00F24DF5"/>
    <w:rsid w:val="00F250A3"/>
    <w:rsid w:val="00F25B00"/>
    <w:rsid w:val="00F26002"/>
    <w:rsid w:val="00F2607F"/>
    <w:rsid w:val="00F26285"/>
    <w:rsid w:val="00F26308"/>
    <w:rsid w:val="00F2673F"/>
    <w:rsid w:val="00F26D80"/>
    <w:rsid w:val="00F279E9"/>
    <w:rsid w:val="00F27A39"/>
    <w:rsid w:val="00F30F69"/>
    <w:rsid w:val="00F326FC"/>
    <w:rsid w:val="00F32725"/>
    <w:rsid w:val="00F32A42"/>
    <w:rsid w:val="00F343DA"/>
    <w:rsid w:val="00F34EC4"/>
    <w:rsid w:val="00F35368"/>
    <w:rsid w:val="00F355F3"/>
    <w:rsid w:val="00F36806"/>
    <w:rsid w:val="00F36A86"/>
    <w:rsid w:val="00F374F2"/>
    <w:rsid w:val="00F37FC5"/>
    <w:rsid w:val="00F401CD"/>
    <w:rsid w:val="00F409DA"/>
    <w:rsid w:val="00F40F22"/>
    <w:rsid w:val="00F40F8D"/>
    <w:rsid w:val="00F4273D"/>
    <w:rsid w:val="00F42F81"/>
    <w:rsid w:val="00F44E4D"/>
    <w:rsid w:val="00F45C49"/>
    <w:rsid w:val="00F46519"/>
    <w:rsid w:val="00F46ABC"/>
    <w:rsid w:val="00F47912"/>
    <w:rsid w:val="00F50388"/>
    <w:rsid w:val="00F507C0"/>
    <w:rsid w:val="00F50D54"/>
    <w:rsid w:val="00F522B4"/>
    <w:rsid w:val="00F524D7"/>
    <w:rsid w:val="00F53275"/>
    <w:rsid w:val="00F53C53"/>
    <w:rsid w:val="00F54963"/>
    <w:rsid w:val="00F56217"/>
    <w:rsid w:val="00F565B6"/>
    <w:rsid w:val="00F578B6"/>
    <w:rsid w:val="00F600AA"/>
    <w:rsid w:val="00F602C2"/>
    <w:rsid w:val="00F61221"/>
    <w:rsid w:val="00F612BB"/>
    <w:rsid w:val="00F63E98"/>
    <w:rsid w:val="00F6519C"/>
    <w:rsid w:val="00F65451"/>
    <w:rsid w:val="00F65594"/>
    <w:rsid w:val="00F659AC"/>
    <w:rsid w:val="00F66385"/>
    <w:rsid w:val="00F664A4"/>
    <w:rsid w:val="00F6719C"/>
    <w:rsid w:val="00F6751E"/>
    <w:rsid w:val="00F67D50"/>
    <w:rsid w:val="00F70356"/>
    <w:rsid w:val="00F71837"/>
    <w:rsid w:val="00F71CEB"/>
    <w:rsid w:val="00F71D30"/>
    <w:rsid w:val="00F73E57"/>
    <w:rsid w:val="00F74703"/>
    <w:rsid w:val="00F749BD"/>
    <w:rsid w:val="00F74E3C"/>
    <w:rsid w:val="00F75CC7"/>
    <w:rsid w:val="00F779B7"/>
    <w:rsid w:val="00F8006D"/>
    <w:rsid w:val="00F809E3"/>
    <w:rsid w:val="00F80DBE"/>
    <w:rsid w:val="00F818F2"/>
    <w:rsid w:val="00F81B02"/>
    <w:rsid w:val="00F83235"/>
    <w:rsid w:val="00F8337D"/>
    <w:rsid w:val="00F83FA8"/>
    <w:rsid w:val="00F86414"/>
    <w:rsid w:val="00F86991"/>
    <w:rsid w:val="00F875D1"/>
    <w:rsid w:val="00F8791B"/>
    <w:rsid w:val="00F879AC"/>
    <w:rsid w:val="00F87E30"/>
    <w:rsid w:val="00F91E6A"/>
    <w:rsid w:val="00F925F9"/>
    <w:rsid w:val="00F927FE"/>
    <w:rsid w:val="00F93B95"/>
    <w:rsid w:val="00F94B6B"/>
    <w:rsid w:val="00F95370"/>
    <w:rsid w:val="00F96988"/>
    <w:rsid w:val="00F96FD3"/>
    <w:rsid w:val="00F9798E"/>
    <w:rsid w:val="00F97DA2"/>
    <w:rsid w:val="00FA074D"/>
    <w:rsid w:val="00FA0D70"/>
    <w:rsid w:val="00FA1A1C"/>
    <w:rsid w:val="00FA1BC1"/>
    <w:rsid w:val="00FA1D90"/>
    <w:rsid w:val="00FA2BEF"/>
    <w:rsid w:val="00FA3F42"/>
    <w:rsid w:val="00FA4810"/>
    <w:rsid w:val="00FA555D"/>
    <w:rsid w:val="00FA64F4"/>
    <w:rsid w:val="00FA66FE"/>
    <w:rsid w:val="00FA67E0"/>
    <w:rsid w:val="00FA6A6D"/>
    <w:rsid w:val="00FA6A8C"/>
    <w:rsid w:val="00FB0FB6"/>
    <w:rsid w:val="00FB14FB"/>
    <w:rsid w:val="00FB15F3"/>
    <w:rsid w:val="00FB31FD"/>
    <w:rsid w:val="00FB5427"/>
    <w:rsid w:val="00FB555C"/>
    <w:rsid w:val="00FB5B20"/>
    <w:rsid w:val="00FB5B96"/>
    <w:rsid w:val="00FB61A0"/>
    <w:rsid w:val="00FB63E8"/>
    <w:rsid w:val="00FB65DF"/>
    <w:rsid w:val="00FB6899"/>
    <w:rsid w:val="00FB6F32"/>
    <w:rsid w:val="00FC0627"/>
    <w:rsid w:val="00FC2885"/>
    <w:rsid w:val="00FC2A20"/>
    <w:rsid w:val="00FC47A7"/>
    <w:rsid w:val="00FC512A"/>
    <w:rsid w:val="00FC6355"/>
    <w:rsid w:val="00FC73CD"/>
    <w:rsid w:val="00FD029E"/>
    <w:rsid w:val="00FD07FB"/>
    <w:rsid w:val="00FD093A"/>
    <w:rsid w:val="00FD0C9B"/>
    <w:rsid w:val="00FD0CA2"/>
    <w:rsid w:val="00FD0D95"/>
    <w:rsid w:val="00FD10D8"/>
    <w:rsid w:val="00FD1438"/>
    <w:rsid w:val="00FD1798"/>
    <w:rsid w:val="00FD1E01"/>
    <w:rsid w:val="00FD2668"/>
    <w:rsid w:val="00FD278D"/>
    <w:rsid w:val="00FD28F2"/>
    <w:rsid w:val="00FD2FC6"/>
    <w:rsid w:val="00FD3D82"/>
    <w:rsid w:val="00FD41CF"/>
    <w:rsid w:val="00FD4234"/>
    <w:rsid w:val="00FD43EE"/>
    <w:rsid w:val="00FD53BC"/>
    <w:rsid w:val="00FD5736"/>
    <w:rsid w:val="00FD670A"/>
    <w:rsid w:val="00FD67B0"/>
    <w:rsid w:val="00FD686F"/>
    <w:rsid w:val="00FD7DC0"/>
    <w:rsid w:val="00FD7DF7"/>
    <w:rsid w:val="00FE0355"/>
    <w:rsid w:val="00FE06DA"/>
    <w:rsid w:val="00FE1AD4"/>
    <w:rsid w:val="00FE1AD5"/>
    <w:rsid w:val="00FE24FB"/>
    <w:rsid w:val="00FE2DC0"/>
    <w:rsid w:val="00FE4678"/>
    <w:rsid w:val="00FE4C33"/>
    <w:rsid w:val="00FE4E40"/>
    <w:rsid w:val="00FE4EC6"/>
    <w:rsid w:val="00FE4F82"/>
    <w:rsid w:val="00FE5ADE"/>
    <w:rsid w:val="00FE7A44"/>
    <w:rsid w:val="00FF00D4"/>
    <w:rsid w:val="00FF24D6"/>
    <w:rsid w:val="00FF4864"/>
    <w:rsid w:val="00FF4DB8"/>
    <w:rsid w:val="00FF517E"/>
    <w:rsid w:val="00FF51EE"/>
    <w:rsid w:val="00FF5224"/>
    <w:rsid w:val="00FF5C87"/>
    <w:rsid w:val="00FF758F"/>
    <w:rsid w:val="00FF7C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04299C1"/>
  <w15:chartTrackingRefBased/>
  <w15:docId w15:val="{B26EAF57-3345-9B42-85B2-2533253DAD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083AD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083AD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083AD6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3AD6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3AD6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3AD6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3AD6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3AD6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3AD6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3AD6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rsid w:val="00083AD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rsid w:val="00083AD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3AD6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3AD6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3AD6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3AD6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3AD6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3AD6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3AD6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3AD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3AD6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3AD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3AD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3AD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3AD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3AD6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3AD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3AD6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3AD6"/>
    <w:rPr>
      <w:b/>
      <w:bCs/>
      <w:smallCaps/>
      <w:color w:val="0F4761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A232BA"/>
    <w:rPr>
      <w:color w:val="467886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A232BA"/>
    <w:rPr>
      <w:color w:val="605E5C"/>
      <w:shd w:val="clear" w:color="auto" w:fill="E1DFDD"/>
    </w:rPr>
  </w:style>
  <w:style w:type="character" w:styleId="af0">
    <w:name w:val="FollowedHyperlink"/>
    <w:basedOn w:val="a0"/>
    <w:uiPriority w:val="99"/>
    <w:semiHidden/>
    <w:unhideWhenUsed/>
    <w:rsid w:val="00A232BA"/>
    <w:rPr>
      <w:color w:val="96607D" w:themeColor="followedHyperlink"/>
      <w:u w:val="single"/>
    </w:rPr>
  </w:style>
  <w:style w:type="table" w:styleId="21">
    <w:name w:val="Plain Table 2"/>
    <w:basedOn w:val="a1"/>
    <w:uiPriority w:val="42"/>
    <w:rsid w:val="000F0D53"/>
    <w:rPr>
      <w:sz w:val="24"/>
    </w:r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af1">
    <w:name w:val="中文表题"/>
    <w:basedOn w:val="a"/>
    <w:rsid w:val="000F0D53"/>
    <w:pPr>
      <w:widowControl/>
      <w:overflowPunct w:val="0"/>
      <w:autoSpaceDE w:val="0"/>
      <w:autoSpaceDN w:val="0"/>
      <w:adjustRightInd w:val="0"/>
      <w:spacing w:before="120" w:line="380" w:lineRule="exact"/>
      <w:ind w:left="227" w:right="227"/>
      <w:textAlignment w:val="baseline"/>
    </w:pPr>
    <w:rPr>
      <w:rFonts w:ascii="Times New Roman" w:eastAsia="宋体" w:hAnsi="Times New Roman" w:cs="Times New Roman"/>
      <w:color w:val="000000"/>
      <w:spacing w:val="6"/>
      <w:kern w:val="0"/>
      <w:sz w:val="22"/>
      <w:szCs w:val="20"/>
    </w:rPr>
  </w:style>
  <w:style w:type="paragraph" w:customStyle="1" w:styleId="EndNoteBibliographyTitle">
    <w:name w:val="EndNote Bibliography Title"/>
    <w:basedOn w:val="a"/>
    <w:link w:val="EndNoteBibliographyTitle0"/>
    <w:rsid w:val="002D2003"/>
    <w:pPr>
      <w:jc w:val="center"/>
    </w:pPr>
    <w:rPr>
      <w:rFonts w:ascii="Times New Roman" w:eastAsia="DengXian" w:hAnsi="Times New Roman" w:cs="Times New Roman"/>
      <w:sz w:val="22"/>
    </w:rPr>
  </w:style>
  <w:style w:type="character" w:customStyle="1" w:styleId="EndNoteBibliographyTitle0">
    <w:name w:val="EndNote Bibliography Title 字符"/>
    <w:basedOn w:val="a0"/>
    <w:link w:val="EndNoteBibliographyTitle"/>
    <w:rsid w:val="002D2003"/>
    <w:rPr>
      <w:rFonts w:ascii="Times New Roman" w:eastAsia="DengXian" w:hAnsi="Times New Roman" w:cs="Times New Roman"/>
      <w:sz w:val="22"/>
    </w:rPr>
  </w:style>
  <w:style w:type="paragraph" w:customStyle="1" w:styleId="EndNoteBibliography">
    <w:name w:val="EndNote Bibliography"/>
    <w:basedOn w:val="a"/>
    <w:link w:val="EndNoteBibliography0"/>
    <w:rsid w:val="002D2003"/>
    <w:pPr>
      <w:jc w:val="left"/>
    </w:pPr>
    <w:rPr>
      <w:rFonts w:ascii="Times New Roman" w:eastAsia="DengXian" w:hAnsi="Times New Roman" w:cs="Times New Roman"/>
      <w:sz w:val="22"/>
    </w:rPr>
  </w:style>
  <w:style w:type="character" w:customStyle="1" w:styleId="EndNoteBibliography0">
    <w:name w:val="EndNote Bibliography 字符"/>
    <w:basedOn w:val="a0"/>
    <w:link w:val="EndNoteBibliography"/>
    <w:rsid w:val="002D2003"/>
    <w:rPr>
      <w:rFonts w:ascii="Times New Roman" w:eastAsia="DengXian" w:hAnsi="Times New Roman" w:cs="Times New Roman"/>
      <w:sz w:val="22"/>
    </w:rPr>
  </w:style>
  <w:style w:type="character" w:customStyle="1" w:styleId="mord">
    <w:name w:val="mord"/>
    <w:basedOn w:val="a0"/>
    <w:rsid w:val="0057280C"/>
  </w:style>
  <w:style w:type="character" w:customStyle="1" w:styleId="vlist-s">
    <w:name w:val="vlist-s"/>
    <w:basedOn w:val="a0"/>
    <w:rsid w:val="0057280C"/>
  </w:style>
  <w:style w:type="character" w:customStyle="1" w:styleId="mrel">
    <w:name w:val="mrel"/>
    <w:basedOn w:val="a0"/>
    <w:rsid w:val="0057280C"/>
  </w:style>
  <w:style w:type="character" w:customStyle="1" w:styleId="mbin">
    <w:name w:val="mbin"/>
    <w:basedOn w:val="a0"/>
    <w:rsid w:val="0057280C"/>
  </w:style>
  <w:style w:type="table" w:styleId="af2">
    <w:name w:val="Table Grid"/>
    <w:basedOn w:val="a1"/>
    <w:uiPriority w:val="39"/>
    <w:rsid w:val="00241E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katex-mathml">
    <w:name w:val="katex-mathml"/>
    <w:basedOn w:val="a0"/>
    <w:rsid w:val="00E56D2C"/>
  </w:style>
  <w:style w:type="character" w:styleId="af3">
    <w:name w:val="line number"/>
    <w:basedOn w:val="a0"/>
    <w:uiPriority w:val="99"/>
    <w:semiHidden/>
    <w:unhideWhenUsed/>
    <w:rsid w:val="003A2834"/>
  </w:style>
  <w:style w:type="paragraph" w:customStyle="1" w:styleId="p1">
    <w:name w:val="p1"/>
    <w:basedOn w:val="a"/>
    <w:rsid w:val="00B521AF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  <w:style w:type="paragraph" w:customStyle="1" w:styleId="p2">
    <w:name w:val="p2"/>
    <w:basedOn w:val="a"/>
    <w:rsid w:val="00B521AF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  <w:style w:type="character" w:customStyle="1" w:styleId="s1">
    <w:name w:val="s1"/>
    <w:basedOn w:val="a0"/>
    <w:rsid w:val="00104B7E"/>
  </w:style>
  <w:style w:type="character" w:customStyle="1" w:styleId="s2">
    <w:name w:val="s2"/>
    <w:basedOn w:val="a0"/>
    <w:rsid w:val="00104B7E"/>
  </w:style>
  <w:style w:type="character" w:customStyle="1" w:styleId="apple-converted-space">
    <w:name w:val="apple-converted-space"/>
    <w:basedOn w:val="a0"/>
    <w:rsid w:val="00104B7E"/>
  </w:style>
  <w:style w:type="paragraph" w:styleId="af4">
    <w:name w:val="header"/>
    <w:basedOn w:val="a"/>
    <w:link w:val="af5"/>
    <w:uiPriority w:val="99"/>
    <w:unhideWhenUsed/>
    <w:rsid w:val="00C92F0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5">
    <w:name w:val="页眉 字符"/>
    <w:basedOn w:val="a0"/>
    <w:link w:val="af4"/>
    <w:uiPriority w:val="99"/>
    <w:rsid w:val="00C92F09"/>
    <w:rPr>
      <w:sz w:val="18"/>
      <w:szCs w:val="18"/>
    </w:rPr>
  </w:style>
  <w:style w:type="paragraph" w:styleId="af6">
    <w:name w:val="footer"/>
    <w:basedOn w:val="a"/>
    <w:link w:val="af7"/>
    <w:uiPriority w:val="99"/>
    <w:unhideWhenUsed/>
    <w:rsid w:val="00C92F0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7">
    <w:name w:val="页脚 字符"/>
    <w:basedOn w:val="a0"/>
    <w:link w:val="af6"/>
    <w:uiPriority w:val="99"/>
    <w:rsid w:val="00C92F09"/>
    <w:rPr>
      <w:sz w:val="18"/>
      <w:szCs w:val="18"/>
    </w:rPr>
  </w:style>
  <w:style w:type="paragraph" w:styleId="af8">
    <w:name w:val="Revision"/>
    <w:hidden/>
    <w:uiPriority w:val="99"/>
    <w:semiHidden/>
    <w:rsid w:val="005156D2"/>
  </w:style>
  <w:style w:type="character" w:styleId="af9">
    <w:name w:val="Placeholder Text"/>
    <w:basedOn w:val="a0"/>
    <w:uiPriority w:val="99"/>
    <w:semiHidden/>
    <w:rsid w:val="008A0A15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385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2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8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7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1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doi.org/https://doi.org/10.5194/gmd-11-2273-2018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doi.org/10.1038/s41558-021-01015-8" TargetMode="External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yperlink" Target="https://doi.org/10.1038/s41597-023-02041-1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doi.org/https://doi.org/10.1016/0301-4215(96)00034-1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doi.org/10.1080/14693062.2021.1970504" TargetMode="External"/><Relationship Id="rId28" Type="http://schemas.openxmlformats.org/officeDocument/2006/relationships/hyperlink" Target="https://doi.org/10.1038/s41467-024-54039-x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doi.org/10.1007/s10640-025-01016-7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doi.org/10.1038/nclimate2774" TargetMode="External"/><Relationship Id="rId27" Type="http://schemas.openxmlformats.org/officeDocument/2006/relationships/hyperlink" Target="https://doi.org/https://doi.org/10.1038/s41586-022-05224-9" TargetMode="External"/><Relationship Id="rId30" Type="http://schemas.openxmlformats.org/officeDocument/2006/relationships/hyperlink" Target="https://doi.org/10.1038/s41467-025-56397-6" TargetMode="Externa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8E0CECA-FFBD-A64F-A9ED-292DE39174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525</TotalTime>
  <Pages>20</Pages>
  <Words>3957</Words>
  <Characters>22560</Characters>
  <Application>Microsoft Office Word</Application>
  <DocSecurity>0</DocSecurity>
  <Lines>188</Lines>
  <Paragraphs>52</Paragraphs>
  <ScaleCrop>false</ScaleCrop>
  <Company/>
  <LinksUpToDate>false</LinksUpToDate>
  <CharactersWithSpaces>26465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WangTianpeng</dc:creator>
  <cp:keywords/>
  <dc:description/>
  <cp:lastModifiedBy>WangTianpeng</cp:lastModifiedBy>
  <cp:revision>2352</cp:revision>
  <dcterms:created xsi:type="dcterms:W3CDTF">2024-05-04T01:28:00Z</dcterms:created>
  <dcterms:modified xsi:type="dcterms:W3CDTF">2026-06-14T11:59:00Z</dcterms:modified>
</cp:coreProperties>
</file>