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line="320"/>
        <w:jc w:val="center"/>
      </w:pPr>
      <w:r>
        <w:rPr>
          <w:rFonts w:ascii="Arial" w:cs="Arial" w:eastAsia="Arial" w:hAnsi="Arial"/>
          <w:b/>
          <w:bCs/>
          <w:sz w:val="32"/>
          <w:szCs w:val="32"/>
        </w:rPr>
        <w:t xml:space="preserve">Supplementary Material</w:t>
      </w:r>
    </w:p>
    <w:p>
      <w:pPr>
        <w:spacing w:after="240" w:line="320"/>
        <w:jc w:val="center"/>
      </w:pPr>
      <w:r>
        <w:rPr>
          <w:rFonts w:ascii="Arial" w:cs="Arial" w:eastAsia="Arial" w:hAnsi="Arial"/>
          <w:i/>
          <w:iCs/>
          <w:sz w:val="24"/>
          <w:szCs w:val="24"/>
        </w:rPr>
        <w:t>Long-term functional and coping trajectories in axial spondyloarthritis within a community-based interdisciplinary rehabilitation programme coordinated with primary care and pain medicine: a retrospective case series</w:t>
      </w:r>
    </w:p>
    <w:p>
      <w:pPr>
        <w:spacing w:after="360" w:line="320"/>
        <w:jc w:val="center"/>
      </w:pPr>
      <w:r>
        <w:rPr>
          <w:rFonts w:ascii="Arial" w:cs="Arial" w:eastAsia="Arial" w:hAnsi="Arial"/>
          <w:sz w:val="22"/>
          <w:szCs w:val="22"/>
        </w:rPr>
        <w:t xml:space="preserve">F. Gimeno Marco, I. Castillo Salazar, G. Domínguez Almuzara, J. Tenas Gonzalvo, S. Ara Gimeno, E. Charte Alegre, J. C. Carrión Pareja</w:t>
      </w:r>
    </w:p>
    <w:p>
      <w:pPr>
        <w:pStyle w:val="Heading1"/>
        <w:spacing w:after="180" w:before="360" w:line="320"/>
      </w:pPr>
      <w:r>
        <w:rPr>
          <w:rFonts w:ascii="Arial" w:cs="Arial" w:eastAsia="Arial" w:hAnsi="Arial"/>
          <w:b/>
          <w:bCs/>
          <w:sz w:val="28"/>
          <w:szCs w:val="28"/>
        </w:rPr>
        <w:t xml:space="preserve">Contents</w:t>
      </w:r>
    </w:p>
    <w:p>
      <w:pPr>
        <w:spacing w:after="120" w:line="320"/>
        <w:jc w:val="both"/>
      </w:pPr>
      <w:r>
        <w:rPr>
          <w:rFonts w:ascii="Arial" w:cs="Arial" w:eastAsia="Arial" w:hAnsi="Arial"/>
          <w:sz w:val="22"/>
          <w:szCs w:val="22"/>
        </w:rPr>
        <w:t xml:space="preserve">S1. Note on data structure and identifiability</w:t>
      </w:r>
    </w:p>
    <w:p>
      <w:pPr>
        <w:spacing w:after="120" w:line="320"/>
        <w:jc w:val="both"/>
      </w:pPr>
      <w:r>
        <w:rPr>
          <w:rFonts w:ascii="Arial" w:cs="Arial" w:eastAsia="Arial" w:hAnsi="Arial"/>
          <w:sz w:val="22"/>
          <w:szCs w:val="22"/>
        </w:rPr>
        <w:t xml:space="preserve">S2. Case AL — Progressive consolidation</w:t>
      </w:r>
    </w:p>
    <w:p>
      <w:pPr>
        <w:spacing w:after="120" w:line="320"/>
        <w:jc w:val="both"/>
      </w:pPr>
      <w:r>
        <w:rPr>
          <w:rFonts w:ascii="Arial" w:cs="Arial" w:eastAsia="Arial" w:hAnsi="Arial"/>
          <w:sz w:val="22"/>
          <w:szCs w:val="22"/>
        </w:rPr>
        <w:t xml:space="preserve">S3. Case AN — Documented improvement and sustained integration</w:t>
      </w:r>
    </w:p>
    <w:p>
      <w:pPr>
        <w:spacing w:after="120" w:line="320"/>
        <w:jc w:val="both"/>
      </w:pPr>
      <w:r>
        <w:rPr>
          <w:rFonts w:ascii="Arial" w:cs="Arial" w:eastAsia="Arial" w:hAnsi="Arial"/>
          <w:sz w:val="22"/>
          <w:szCs w:val="22"/>
        </w:rPr>
        <w:t>S4. Case MI — Patient-reported sustained functional remission</w:t>
      </w:r>
    </w:p>
    <w:p>
      <w:pPr>
        <w:spacing w:after="120" w:line="320"/>
        <w:jc w:val="both"/>
      </w:pPr>
      <w:r>
        <w:rPr>
          <w:rFonts w:ascii="Arial" w:cs="Arial" w:eastAsia="Arial" w:hAnsi="Arial"/>
          <w:sz w:val="22"/>
          <w:szCs w:val="22"/>
        </w:rPr>
        <w:t xml:space="preserve">S5. Case NA — Oscillating regulation in long-standing chronicity</w:t>
      </w:r>
    </w:p>
    <w:p>
      <w:pPr>
        <w:spacing w:after="120" w:line="320"/>
        <w:jc w:val="both"/>
      </w:pPr>
      <w:r>
        <w:rPr>
          <w:rFonts w:ascii="Arial" w:cs="Arial" w:eastAsia="Arial" w:hAnsi="Arial"/>
          <w:sz w:val="22"/>
          <w:szCs w:val="22"/>
        </w:rPr>
        <w:t xml:space="preserve">S6. Case SA — Early regulation without biologic; successful exit via medical discharge</w:t>
      </w:r>
    </w:p>
    <w:p>
      <w:pPr>
        <w:spacing w:after="120" w:line="320"/>
        <w:jc w:val="both"/>
      </w:pPr>
      <w:r>
        <w:rPr>
          <w:rFonts w:ascii="Arial" w:cs="Arial" w:eastAsia="Arial" w:hAnsi="Arial"/>
          <w:sz w:val="22"/>
          <w:szCs w:val="22"/>
        </w:rPr>
        <w:t xml:space="preserve">S7. Illustrative contrast case (LO) — Early regulation with pharmacological–behavioural synergy</w:t>
      </w:r>
    </w:p>
    <w:p>
      <w:r>
        <w:br w:type="page"/>
      </w:r>
    </w:p>
    <w:p>
      <w:pPr>
        <w:pStyle w:val="Heading1"/>
        <w:spacing w:after="180" w:before="360" w:line="320"/>
      </w:pPr>
      <w:r>
        <w:rPr>
          <w:rFonts w:ascii="Arial" w:cs="Arial" w:eastAsia="Arial" w:hAnsi="Arial"/>
          <w:b/>
          <w:bCs/>
          <w:sz w:val="28"/>
          <w:szCs w:val="28"/>
        </w:rPr>
        <w:t xml:space="preserve">S1. Note on data structure and identifiability</w:t>
      </w:r>
    </w:p>
    <w:p>
      <w:pPr>
        <w:spacing w:after="120" w:line="320"/>
        <w:jc w:val="both"/>
      </w:pPr>
      <w:r>
        <w:rPr>
          <w:rFonts w:ascii="Arial" w:cs="Arial" w:eastAsia="Arial" w:hAnsi="Arial"/>
          <w:sz w:val="22"/>
          <w:szCs w:val="22"/>
        </w:rPr>
        <w:t xml:space="preserve">This Supplementary Material contains individual case dossiers for the five participants whose longitudinal trajectories are analysed in the main manuscript (S2–S6), and an illustrative contrast case (S7) reported here because pharmacological confounding precluded interpretation of programme-attributable change in the main analysis. Each dossier presents demographic and clinical background, summary changes across standardised instruments from M0 (first systematic evaluation) to the last available evaluation, evolution of medication and nutritional adherence, coping profile, daily self-monitoring summary, and a qualitative narrative of the trajectory.</w:t>
      </w:r>
    </w:p>
    <w:p>
      <w:pPr>
        <w:spacing w:after="120" w:line="320"/>
        <w:jc w:val="both"/>
      </w:pPr>
      <w:r>
        <w:rPr>
          <w:rFonts w:ascii="Arial" w:cs="Arial" w:eastAsia="Arial" w:hAnsi="Arial"/>
          <w:sz w:val="22"/>
          <w:szCs w:val="22"/>
        </w:rPr>
        <w:t>Cases are coded with two-letter alphanumeric identifiers (AL, AN, LO, MI, NA, SA) and any potentially identifying information has been adapted or generalised. Time is expressed in relative months from each participant's M0; dates have been omitted or transformed to preserve confidentiality while maintaining the temporal structure of the data. All six participants whose dossiers appear in this supplementary material (five included in the main analysis plus the illustrative contrast case, LO) provided written informed consent at the time of programme enrolment, which explicitly authorises the use of their pseudonymised longitudinal data for scientific research and publication.</w:t>
      </w:r>
    </w:p>
    <w:p>
      <w:pPr>
        <w:spacing w:after="120" w:line="320"/>
        <w:jc w:val="both"/>
      </w:pPr>
      <w:r>
        <w:rPr>
          <w:rFonts w:ascii="Arial" w:cs="Arial" w:eastAsia="Arial" w:hAnsi="Arial"/>
          <w:sz w:val="22"/>
          <w:szCs w:val="22"/>
        </w:rPr>
        <w:t xml:space="preserve">The per-evaluation tables (one row per evaluation, with all instrument values for each time point) are available from the corresponding author upon reasonable request, subject to compliance with data protection regulations (GDPR; Spanish Ley Orgánica 3/2018) and ethical safeguards. Selected longitudinal patterns are summarised in narrative form in each dossier below.</w:t>
      </w:r>
    </w:p>
    <w:p>
      <w:r>
        <w:br w:type="page"/>
      </w:r>
    </w:p>
    <w:p>
      <w:pPr>
        <w:pStyle w:val="Heading1"/>
        <w:spacing w:after="180" w:before="360" w:line="320"/>
      </w:pPr>
      <w:r>
        <w:rPr>
          <w:rFonts w:ascii="Arial" w:cs="Arial" w:eastAsia="Arial" w:hAnsi="Arial"/>
          <w:b/>
          <w:bCs/>
          <w:sz w:val="28"/>
          <w:szCs w:val="28"/>
        </w:rPr>
        <w:t xml:space="preserve">S2. Case AL — Progressive consolidation</w:t>
      </w:r>
    </w:p>
    <w:p>
      <w:pPr>
        <w:pStyle w:val="Heading2"/>
        <w:spacing w:after="160" w:before="320" w:line="320"/>
      </w:pPr>
      <w:r>
        <w:rPr>
          <w:rFonts w:ascii="Arial" w:cs="Arial" w:eastAsia="Arial" w:hAnsi="Arial"/>
          <w:b/>
          <w:bCs/>
          <w:sz w:val="26"/>
          <w:szCs w:val="26"/>
        </w:rPr>
        <w:t xml:space="preserve">Demographic and clinical background</w:t>
      </w:r>
    </w:p>
    <w:p>
      <w:pPr>
        <w:spacing w:after="120" w:line="320"/>
        <w:jc w:val="both"/>
      </w:pPr>
      <w:r>
        <w:rPr>
          <w:rFonts w:ascii="Arial" w:cs="Arial" w:eastAsia="Arial" w:hAnsi="Arial"/>
          <w:b/>
          <w:bCs/>
          <w:i w:val="0"/>
          <w:iCs w:val="false"/>
          <w:sz w:val="22"/>
          <w:szCs w:val="22"/>
        </w:rPr>
        <w:t>Sex: Female. Diagnosis: Ankylosing spondylitis with documented sacroiliitis (clinical diagnosis 2010). Site: Huesca group. Comorbidities: osteoporosis (managed with denosumab); dyslipidaemia (managed with phytotherapy). Professional background: health-care training.</w:t>
      </w:r>
      <w:r>
        <w:rPr>
          <w:rFonts w:ascii="Arial" w:cs="Arial" w:eastAsia="Arial" w:hAnsi="Arial"/>
          <w:b w:val="false"/>
          <w:bCs w:val="false"/>
          <w:i w:val="false"/>
          <w:iCs w:val="false"/>
          <w:sz w:val="22"/>
          <w:szCs w:val="22"/>
        </w:rPr>
      </w:r>
      <w:r>
        <w:rPr>
          <w:rFonts w:ascii="Arial" w:cs="Arial" w:eastAsia="Arial" w:hAnsi="Arial"/>
          <w:b/>
          <w:bCs/>
          <w:i w:val="false"/>
          <w:iCs w:val="false"/>
          <w:sz w:val="22"/>
          <w:szCs w:val="22"/>
        </w:rPr>
      </w:r>
      <w:r>
        <w:rPr>
          <w:rFonts w:ascii="Arial" w:cs="Arial" w:eastAsia="Arial" w:hAnsi="Arial"/>
          <w:b w:val="false"/>
          <w:bCs w:val="false"/>
          <w:i w:val="false"/>
          <w:iCs w:val="false"/>
          <w:sz w:val="22"/>
          <w:szCs w:val="22"/>
        </w:rPr>
      </w:r>
      <w:r>
        <w:rPr>
          <w:rFonts w:ascii="Arial" w:cs="Arial" w:eastAsia="Arial" w:hAnsi="Arial"/>
          <w:b/>
          <w:bCs/>
          <w:i w:val="false"/>
          <w:iCs w:val="false"/>
          <w:sz w:val="22"/>
          <w:szCs w:val="22"/>
        </w:rPr>
      </w:r>
      <w:r>
        <w:rPr>
          <w:rFonts w:ascii="Arial" w:cs="Arial" w:eastAsia="Arial" w:hAnsi="Arial"/>
          <w:b w:val="false"/>
          <w:bCs w:val="false"/>
          <w:i w:val="false"/>
          <w:iCs w:val="false"/>
          <w:sz w:val="22"/>
          <w:szCs w:val="22"/>
        </w:rPr>
      </w:r>
      <w:r>
        <w:rPr>
          <w:rFonts w:ascii="Arial" w:cs="Arial" w:eastAsia="Arial" w:hAnsi="Arial"/>
          <w:b/>
          <w:bCs/>
          <w:i w:val="false"/>
          <w:iCs w:val="false"/>
          <w:sz w:val="22"/>
          <w:szCs w:val="22"/>
        </w:rPr>
      </w:r>
      <w:r>
        <w:rPr>
          <w:rFonts w:ascii="Arial" w:cs="Arial" w:eastAsia="Arial" w:hAnsi="Arial"/>
          <w:b w:val="false"/>
          <w:bCs w:val="false"/>
          <w:i w:val="false"/>
          <w:iCs w:val="false"/>
          <w:sz w:val="22"/>
          <w:szCs w:val="22"/>
        </w:rPr>
      </w:r>
      <w:r>
        <w:rPr>
          <w:rFonts w:ascii="Arial" w:cs="Arial" w:eastAsia="Arial" w:hAnsi="Arial"/>
          <w:b/>
          <w:bCs/>
          <w:i w:val="false"/>
          <w:iCs w:val="false"/>
          <w:sz w:val="22"/>
          <w:szCs w:val="22"/>
        </w:rPr>
      </w:r>
      <w:r>
        <w:rPr>
          <w:rFonts w:ascii="Arial" w:cs="Arial" w:eastAsia="Arial" w:hAnsi="Arial"/>
          <w:b w:val="false"/>
          <w:bCs w:val="false"/>
          <w:i w:val="false"/>
          <w:iCs w:val="false"/>
          <w:sz w:val="22"/>
          <w:szCs w:val="22"/>
        </w:rPr>
      </w:r>
    </w:p>
    <w:p>
      <w:pPr>
        <w:pStyle w:val="Heading2"/>
        <w:spacing w:after="160" w:before="320" w:line="320"/>
      </w:pPr>
      <w:r>
        <w:rPr>
          <w:rFonts w:ascii="Arial" w:cs="Arial" w:eastAsia="Arial" w:hAnsi="Arial"/>
          <w:b/>
          <w:bCs/>
          <w:sz w:val="26"/>
          <w:szCs w:val="26"/>
        </w:rPr>
        <w:t xml:space="preserve">Programme participation</w:t>
      </w:r>
    </w:p>
    <w:p>
      <w:pPr>
        <w:spacing w:after="120" w:line="320"/>
        <w:jc w:val="both"/>
      </w:pPr>
      <w:r>
        <w:rPr>
          <w:rFonts w:ascii="Arial" w:cs="Arial" w:eastAsia="Arial" w:hAnsi="Arial"/>
          <w:b/>
          <w:bCs/>
          <w:i w:val="0"/>
          <w:iCs w:val="false"/>
          <w:sz w:val="22"/>
          <w:szCs w:val="22"/>
        </w:rPr>
        <w:t>Follow-up: M0–M125 (≈10.4 years of systematic dossier). Evaluations: 21 BASFI, 22 BASDAI. Engagement pattern: continuous and high; consistent attendance to weekly sessions and active participation in group activities, with documented role as informal peer reference within the group.</w:t>
      </w:r>
      <w:r>
        <w:rPr>
          <w:rFonts w:ascii="Arial" w:cs="Arial" w:eastAsia="Arial" w:hAnsi="Arial"/>
          <w:b w:val="false"/>
          <w:bCs w:val="false"/>
          <w:i w:val="false"/>
          <w:iCs w:val="false"/>
          <w:sz w:val="22"/>
          <w:szCs w:val="22"/>
        </w:rPr>
      </w:r>
      <w:r>
        <w:rPr>
          <w:rFonts w:ascii="Arial" w:cs="Arial" w:eastAsia="Arial" w:hAnsi="Arial"/>
          <w:b/>
          <w:bCs/>
          <w:i w:val="false"/>
          <w:iCs w:val="false"/>
          <w:sz w:val="22"/>
          <w:szCs w:val="22"/>
        </w:rPr>
      </w:r>
      <w:r>
        <w:rPr>
          <w:rFonts w:ascii="Arial" w:cs="Arial" w:eastAsia="Arial" w:hAnsi="Arial"/>
          <w:b w:val="false"/>
          <w:bCs w:val="false"/>
          <w:i w:val="false"/>
          <w:iCs w:val="false"/>
          <w:sz w:val="22"/>
          <w:szCs w:val="22"/>
        </w:rPr>
      </w:r>
      <w:r>
        <w:rPr>
          <w:rFonts w:ascii="Arial" w:cs="Arial" w:eastAsia="Arial" w:hAnsi="Arial"/>
          <w:b/>
          <w:bCs/>
          <w:i w:val="false"/>
          <w:iCs w:val="false"/>
          <w:sz w:val="22"/>
          <w:szCs w:val="22"/>
        </w:rPr>
      </w:r>
      <w:r>
        <w:rPr>
          <w:rFonts w:ascii="Arial" w:cs="Arial" w:eastAsia="Arial" w:hAnsi="Arial"/>
          <w:b w:val="false"/>
          <w:bCs w:val="false"/>
          <w:i w:val="false"/>
          <w:iCs w:val="false"/>
          <w:sz w:val="22"/>
          <w:szCs w:val="22"/>
        </w:rPr>
      </w:r>
    </w:p>
    <w:p>
      <w:pPr>
        <w:pStyle w:val="Heading2"/>
        <w:spacing w:after="160" w:before="320" w:line="320"/>
      </w:pPr>
      <w:r>
        <w:rPr>
          <w:rFonts w:ascii="Arial" w:cs="Arial" w:eastAsia="Arial" w:hAnsi="Arial"/>
          <w:b/>
          <w:bCs/>
          <w:sz w:val="26"/>
          <w:szCs w:val="26"/>
        </w:rPr>
        <w:t xml:space="preserve">Summary of changes (M0 → last evaluation)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1740"/>
        <w:gridCol w:w="1740"/>
        <w:gridCol w:w="1740"/>
        <w:gridCol w:w="1740"/>
      </w:tblGrid>
      <w:tr>
        <w:tc>
          <w:tcPr>
            <w:tcW w:type="dxa" w:w="2400"/>
            <w:tcBorders>
              <w:top w:val="single" w:color="888888" w:sz="4"/>
              <w:left w:val="single" w:color="888888" w:sz="4"/>
              <w:bottom w:val="single" w:color="888888" w:sz="4"/>
              <w:right w:val="single" w:color="888888" w:sz="4"/>
            </w:tcBorders>
            <w:shd w:fill="D9E2F3" w:val="clear"/>
            <w:tcMar>
              <w:top w:type="dxa" w:w="80"/>
              <w:left w:type="dxa" w:w="120"/>
              <w:bottom w:type="dxa" w:w="80"/>
              <w:right w:type="dxa" w:w="120"/>
            </w:tcMar>
            <w:vAlign w:val="center"/>
          </w:tcPr>
          <w:p>
            <w:pPr>
              <w:spacing w:after="0" w:line="280"/>
              <w:jc w:val="center"/>
            </w:pPr>
            <w:r>
              <w:rPr>
                <w:rFonts w:ascii="Arial" w:cs="Arial" w:eastAsia="Arial" w:hAnsi="Arial"/>
                <w:b/>
                <w:bCs/>
                <w:i w:val="false"/>
                <w:iCs w:val="false"/>
                <w:sz w:val="20"/>
                <w:szCs w:val="20"/>
              </w:rPr>
              <w:t xml:space="preserve">Instrument</w:t>
            </w:r>
          </w:p>
        </w:tc>
        <w:tc>
          <w:tcPr>
            <w:tcW w:type="dxa" w:w="1740"/>
            <w:tcBorders>
              <w:top w:val="single" w:color="888888" w:sz="4"/>
              <w:left w:val="single" w:color="888888" w:sz="4"/>
              <w:bottom w:val="single" w:color="888888" w:sz="4"/>
              <w:right w:val="single" w:color="888888" w:sz="4"/>
            </w:tcBorders>
            <w:shd w:fill="D9E2F3" w:val="clear"/>
            <w:tcMar>
              <w:top w:type="dxa" w:w="80"/>
              <w:left w:type="dxa" w:w="120"/>
              <w:bottom w:type="dxa" w:w="80"/>
              <w:right w:type="dxa" w:w="120"/>
            </w:tcMar>
            <w:vAlign w:val="center"/>
          </w:tcPr>
          <w:p>
            <w:pPr>
              <w:spacing w:after="0" w:line="280"/>
              <w:jc w:val="center"/>
            </w:pPr>
            <w:r>
              <w:rPr>
                <w:rFonts w:ascii="Arial" w:cs="Arial" w:eastAsia="Arial" w:hAnsi="Arial"/>
                <w:b/>
                <w:bCs/>
                <w:i w:val="false"/>
                <w:iCs w:val="false"/>
                <w:sz w:val="20"/>
                <w:szCs w:val="20"/>
              </w:rPr>
              <w:t xml:space="preserve">M0 value</w:t>
            </w:r>
          </w:p>
        </w:tc>
        <w:tc>
          <w:tcPr>
            <w:tcW w:type="dxa" w:w="1740"/>
            <w:tcBorders>
              <w:top w:val="single" w:color="888888" w:sz="4"/>
              <w:left w:val="single" w:color="888888" w:sz="4"/>
              <w:bottom w:val="single" w:color="888888" w:sz="4"/>
              <w:right w:val="single" w:color="888888" w:sz="4"/>
            </w:tcBorders>
            <w:shd w:fill="D9E2F3" w:val="clear"/>
            <w:tcMar>
              <w:top w:type="dxa" w:w="80"/>
              <w:left w:type="dxa" w:w="120"/>
              <w:bottom w:type="dxa" w:w="80"/>
              <w:right w:type="dxa" w:w="120"/>
            </w:tcMar>
            <w:vAlign w:val="center"/>
          </w:tcPr>
          <w:p>
            <w:pPr>
              <w:spacing w:after="0" w:line="280"/>
              <w:jc w:val="center"/>
            </w:pPr>
            <w:r>
              <w:rPr>
                <w:rFonts w:ascii="Arial" w:cs="Arial" w:eastAsia="Arial" w:hAnsi="Arial"/>
                <w:b/>
                <w:bCs/>
                <w:i w:val="false"/>
                <w:iCs w:val="false"/>
                <w:sz w:val="20"/>
                <w:szCs w:val="20"/>
              </w:rPr>
              <w:t xml:space="preserve">Last value</w:t>
            </w:r>
          </w:p>
        </w:tc>
        <w:tc>
          <w:tcPr>
            <w:tcW w:type="dxa" w:w="1740"/>
            <w:tcBorders>
              <w:top w:val="single" w:color="888888" w:sz="4"/>
              <w:left w:val="single" w:color="888888" w:sz="4"/>
              <w:bottom w:val="single" w:color="888888" w:sz="4"/>
              <w:right w:val="single" w:color="888888" w:sz="4"/>
            </w:tcBorders>
            <w:shd w:fill="D9E2F3" w:val="clear"/>
            <w:tcMar>
              <w:top w:type="dxa" w:w="80"/>
              <w:left w:type="dxa" w:w="120"/>
              <w:bottom w:type="dxa" w:w="80"/>
              <w:right w:type="dxa" w:w="120"/>
            </w:tcMar>
            <w:vAlign w:val="center"/>
          </w:tcPr>
          <w:p>
            <w:pPr>
              <w:spacing w:after="0" w:line="280"/>
              <w:jc w:val="center"/>
            </w:pPr>
            <w:r>
              <w:rPr>
                <w:rFonts w:ascii="Arial" w:cs="Arial" w:eastAsia="Arial" w:hAnsi="Arial"/>
                <w:b/>
                <w:bCs/>
                <w:i w:val="false"/>
                <w:iCs w:val="false"/>
                <w:sz w:val="20"/>
                <w:szCs w:val="20"/>
              </w:rPr>
              <w:t>Δ (abs.)</w:t>
            </w:r>
          </w:p>
        </w:tc>
        <w:tc>
          <w:tcPr>
            <w:tcW w:type="dxa" w:w="1740"/>
            <w:tcBorders>
              <w:top w:val="single" w:color="888888" w:sz="4"/>
              <w:left w:val="single" w:color="888888" w:sz="4"/>
              <w:bottom w:val="single" w:color="888888" w:sz="4"/>
              <w:right w:val="single" w:color="888888" w:sz="4"/>
            </w:tcBorders>
            <w:shd w:fill="D9E2F3" w:val="clear"/>
            <w:tcMar>
              <w:top w:type="dxa" w:w="80"/>
              <w:left w:type="dxa" w:w="120"/>
              <w:bottom w:type="dxa" w:w="80"/>
              <w:right w:type="dxa" w:w="120"/>
            </w:tcMar>
            <w:vAlign w:val="center"/>
          </w:tcPr>
          <w:p>
            <w:pPr>
              <w:spacing w:after="0" w:line="280"/>
              <w:jc w:val="center"/>
            </w:pPr>
            <w:r>
              <w:rPr>
                <w:rFonts w:ascii="Arial" w:cs="Arial" w:eastAsia="Arial" w:hAnsi="Arial"/>
                <w:b/>
                <w:bCs/>
                <w:i w:val="false"/>
                <w:iCs w:val="false"/>
                <w:sz w:val="20"/>
                <w:szCs w:val="20"/>
              </w:rPr>
              <w:t xml:space="preserve">Interpretation</w:t>
            </w:r>
          </w:p>
        </w:tc>
      </w:tr>
      <w:tr>
        <w:tc>
          <w:tcPr>
            <w:tcW w:type="dxa" w:w="240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bCs/>
                <w:i w:val="false"/>
                <w:iCs w:val="false"/>
                <w:sz w:val="20"/>
                <w:szCs w:val="20"/>
              </w:rPr>
              <w:t xml:space="preserve">BASFI (0–10)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4.00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0.11</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−3.89 (&gt;&gt;MCID)</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val="false"/>
                <w:bCs w:val="false"/>
                <w:i w:val="false"/>
                <w:iCs w:val="false"/>
                <w:sz w:val="20"/>
                <w:szCs w:val="20"/>
              </w:rPr>
              <w:t xml:space="preserve">From MODERATE limitation to virtually full function</w:t>
            </w:r>
          </w:p>
        </w:tc>
      </w:tr>
      <w:tr>
        <w:tc>
          <w:tcPr>
            <w:tcW w:type="dxa" w:w="240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bCs/>
                <w:i w:val="false"/>
                <w:iCs w:val="false"/>
                <w:sz w:val="20"/>
                <w:szCs w:val="20"/>
              </w:rPr>
              <w:t xml:space="preserve">BASDAI (6-item, paired n=22)</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5.90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1.50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−4.40 (&gt;&gt;MCID)</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val="false"/>
                <w:bCs w:val="false"/>
                <w:i w:val="false"/>
                <w:iCs w:val="false"/>
                <w:sz w:val="20"/>
                <w:szCs w:val="20"/>
              </w:rPr>
              <w:t xml:space="preserve">From MODERATE to LOW activity</w:t>
            </w:r>
          </w:p>
        </w:tc>
      </w:tr>
      <w:tr>
        <w:tc>
          <w:tcPr>
            <w:tcW w:type="dxa" w:w="240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bCs/>
                <w:i w:val="false"/>
                <w:iCs w:val="false"/>
                <w:sz w:val="20"/>
                <w:szCs w:val="20"/>
              </w:rPr>
              <w:t xml:space="preserve">VAS-pain (0–10)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7</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2</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−5 (&gt;MCID)</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val="false"/>
                <w:bCs w:val="false"/>
                <w:i w:val="false"/>
                <w:iCs w:val="false"/>
                <w:sz w:val="20"/>
                <w:szCs w:val="20"/>
              </w:rPr>
              <w:t xml:space="preserve">From moderate-severe to minimal</w:t>
            </w:r>
          </w:p>
        </w:tc>
      </w:tr>
      <w:tr>
        <w:tc>
          <w:tcPr>
            <w:tcW w:type="dxa" w:w="240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bCs/>
                <w:i w:val="false"/>
                <w:iCs w:val="false"/>
                <w:sz w:val="20"/>
                <w:szCs w:val="20"/>
              </w:rPr>
              <w:t xml:space="preserve">HAQ-DI (0–3)</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0.85</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0.05</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−0.80 (&gt;MCID)</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val="false"/>
                <w:bCs w:val="false"/>
                <w:i w:val="false"/>
                <w:iCs w:val="false"/>
                <w:sz w:val="20"/>
                <w:szCs w:val="20"/>
              </w:rPr>
              <w:t xml:space="preserve">From MILD-MODERATE to no disability</w:t>
            </w:r>
          </w:p>
        </w:tc>
      </w:tr>
      <w:tr>
        <w:tc>
          <w:tcPr>
            <w:tcW w:type="dxa" w:w="240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bCs/>
                <w:i w:val="false"/>
                <w:iCs w:val="false"/>
                <w:sz w:val="20"/>
                <w:szCs w:val="20"/>
              </w:rPr>
              <w:t xml:space="preserve">EQ-5D-5L VAS (0–100)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Mid-range</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High</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val="false"/>
                <w:bCs w:val="false"/>
                <w:i w:val="false"/>
                <w:iCs w:val="false"/>
                <w:sz w:val="20"/>
                <w:szCs w:val="20"/>
              </w:rPr>
              <w:t xml:space="preserve">Sustained improvement in self-rated health</w:t>
            </w:r>
          </w:p>
        </w:tc>
      </w:tr>
      <w:tr>
        <w:tc>
          <w:tcPr>
            <w:tcW w:type="dxa" w:w="240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bCs/>
                <w:i w:val="false"/>
                <w:iCs w:val="false"/>
                <w:sz w:val="20"/>
                <w:szCs w:val="20"/>
              </w:rPr>
              <w:t xml:space="preserve">MEDAS (0–14, M88–M125)</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9–12</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10–12</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val="false"/>
                <w:bCs w:val="false"/>
                <w:i w:val="false"/>
                <w:iCs w:val="false"/>
                <w:sz w:val="20"/>
                <w:szCs w:val="20"/>
              </w:rPr>
              <w:t xml:space="preserve">Sustained MEDIUM–HIGH adherence</w:t>
            </w:r>
          </w:p>
        </w:tc>
      </w:tr>
    </w:tbl>
    <w:p>
      <w:pPr>
        <w:pStyle w:val="Heading2"/>
        <w:spacing w:after="160" w:before="320" w:line="320"/>
      </w:pPr>
      <w:r>
        <w:rPr>
          <w:rFonts w:ascii="Arial" w:cs="Arial" w:eastAsia="Arial" w:hAnsi="Arial"/>
          <w:b/>
          <w:bCs/>
          <w:sz w:val="26"/>
          <w:szCs w:val="26"/>
        </w:rPr>
        <w:t xml:space="preserve">Medication evolution</w:t>
      </w:r>
    </w:p>
    <w:p>
      <w:pPr>
        <w:spacing w:after="120" w:line="320"/>
        <w:jc w:val="both"/>
      </w:pPr>
      <w:r>
        <w:rPr>
          <w:rFonts w:ascii="Arial" w:cs="Arial" w:eastAsia="Arial" w:hAnsi="Arial"/>
          <w:b/>
          <w:bCs/>
          <w:i w:val="false"/>
          <w:iCs w:val="false"/>
          <w:sz w:val="22"/>
          <w:szCs w:val="22"/>
        </w:rPr>
        <w:t xml:space="preserve">At programme entry: </w:t>
      </w:r>
      <w:r>
        <w:rPr>
          <w:rFonts w:ascii="Arial" w:cs="Arial" w:eastAsia="Arial" w:hAnsi="Arial"/>
          <w:b w:val="false"/>
          <w:bCs w:val="false"/>
          <w:i w:val="false"/>
          <w:iCs w:val="false"/>
          <w:sz w:val="22"/>
          <w:szCs w:val="22"/>
        </w:rPr>
        <w:t xml:space="preserve">etoricoxib (NSAID, scheduled) and lorazepam (on demand). </w:t>
      </w:r>
      <w:r>
        <w:rPr>
          <w:rFonts w:ascii="Arial" w:cs="Arial" w:eastAsia="Arial" w:hAnsi="Arial"/>
          <w:b/>
          <w:bCs/>
          <w:i w:val="false"/>
          <w:iCs w:val="false"/>
          <w:sz w:val="22"/>
          <w:szCs w:val="22"/>
        </w:rPr>
        <w:t xml:space="preserve">Current: </w:t>
      </w:r>
      <w:r>
        <w:rPr>
          <w:rFonts w:ascii="Arial" w:cs="Arial" w:eastAsia="Arial" w:hAnsi="Arial"/>
          <w:b w:val="false"/>
          <w:bCs w:val="false"/>
          <w:i w:val="false"/>
          <w:iCs w:val="false"/>
          <w:sz w:val="22"/>
          <w:szCs w:val="22"/>
        </w:rPr>
        <w:t xml:space="preserve">no NSAID for axSpA management. Treatments in place are for comorbidities (denosumab for osteoporosis; phytotherapy for dyslipidaemia). This is the most favourable medication trajectory in the series.</w:t>
      </w:r>
    </w:p>
    <w:p>
      <w:pPr>
        <w:pStyle w:val="Heading2"/>
        <w:spacing w:after="160" w:before="320" w:line="320"/>
      </w:pPr>
      <w:r>
        <w:rPr>
          <w:rFonts w:ascii="Arial" w:cs="Arial" w:eastAsia="Arial" w:hAnsi="Arial"/>
          <w:b/>
          <w:bCs/>
          <w:sz w:val="26"/>
          <w:szCs w:val="26"/>
        </w:rPr>
        <w:t xml:space="preserve">Coping profile (CAD)</w:t>
      </w:r>
    </w:p>
    <w:p>
      <w:pPr>
        <w:spacing w:after="120" w:line="320"/>
        <w:jc w:val="both"/>
      </w:pPr>
      <w:r>
        <w:rPr>
          <w:rFonts w:ascii="Arial" w:cs="Arial" w:eastAsia="Arial" w:hAnsi="Arial"/>
          <w:sz w:val="22"/>
          <w:szCs w:val="22"/>
        </w:rPr>
        <w:t xml:space="preserve">Eight CAD evaluations across follow-up. Active strategies (Self-affirmation, Information Seeking, Distraction, Mental Self-control) consistently moderate-to-high; Religion variable (1.0–4.0), Catharsis variable (3.0–4.0). Predominantly active in 5 of 8 evaluations; passive predominant in 3 evaluations driven by elevated Religion scores. The use of religious faith as a coping strategy is interpreted as a culturally legitimate route coexisting with maximal functional improvement, not as an adaptive deficit.</w:t>
      </w:r>
    </w:p>
    <w:p>
      <w:pPr>
        <w:pStyle w:val="Heading2"/>
        <w:spacing w:after="160" w:before="320" w:line="320"/>
      </w:pPr>
      <w:r>
        <w:rPr>
          <w:rFonts w:ascii="Arial" w:cs="Arial" w:eastAsia="Arial" w:hAnsi="Arial"/>
          <w:b/>
          <w:bCs/>
          <w:sz w:val="26"/>
          <w:szCs w:val="26"/>
        </w:rPr>
        <w:t xml:space="preserve">Daily self-monitoring</w:t>
      </w:r>
    </w:p>
    <w:p>
      <w:pPr>
        <w:spacing w:after="120" w:line="320"/>
        <w:jc w:val="both"/>
      </w:pPr>
      <w:r>
        <w:rPr>
          <w:rFonts w:ascii="Arial" w:cs="Arial" w:eastAsia="Arial" w:hAnsi="Arial"/>
          <w:b w:val="false"/>
          <w:bCs w:val="false"/>
          <w:i w:val="false"/>
          <w:iCs w:val="false"/>
          <w:sz w:val="22"/>
          <w:szCs w:val="22"/>
        </w:rPr>
        <w:t xml:space="preserve">Total records: 865. Detected flares: 88. </w:t>
      </w:r>
      <w:r>
        <w:rPr>
          <w:rFonts w:ascii="Arial" w:cs="Arial" w:eastAsia="Arial" w:hAnsi="Arial"/>
          <w:b/>
          <w:bCs/>
          <w:i w:val="false"/>
          <w:iCs w:val="false"/>
          <w:sz w:val="22"/>
          <w:szCs w:val="22"/>
        </w:rPr>
        <w:t xml:space="preserve">Mean ratings (0–10): </w:t>
      </w:r>
      <w:r>
        <w:rPr>
          <w:rFonts w:ascii="Arial" w:cs="Arial" w:eastAsia="Arial" w:hAnsi="Arial"/>
          <w:b w:val="false"/>
          <w:bCs w:val="false"/>
          <w:i w:val="false"/>
          <w:iCs w:val="false"/>
          <w:sz w:val="22"/>
          <w:szCs w:val="22"/>
        </w:rPr>
        <w:t xml:space="preserve">pain 1.7; fatigue 2.4; stiffness 1.4; mood 4.1; anxiety 6.1.</w:t>
      </w:r>
    </w:p>
    <w:p>
      <w:pPr>
        <w:spacing w:after="120" w:line="320"/>
        <w:jc w:val="both"/>
      </w:pPr>
      <w:r>
        <w:rPr>
          <w:rFonts w:ascii="Arial" w:cs="Arial" w:eastAsia="Arial" w:hAnsi="Arial"/>
          <w:sz w:val="22"/>
          <w:szCs w:val="22"/>
        </w:rPr>
        <w:t xml:space="preserve">The mean anxiety rating of 6.1/10 is the highest in the series and is notably discordant with the optimal functional profile. According to available clinical information, this anxiety relates to life contexts unrelated to rheumatic disease management and does not indicate poor disease control. The finding highlights that disease-specific instruments are not sensitive to emotional load from non-rheumatic domains.</w:t>
      </w:r>
    </w:p>
    <w:p>
      <w:pPr>
        <w:pStyle w:val="Heading2"/>
        <w:spacing w:after="160" w:before="320" w:line="320"/>
      </w:pPr>
      <w:r>
        <w:rPr>
          <w:rFonts w:ascii="Arial" w:cs="Arial" w:eastAsia="Arial" w:hAnsi="Arial"/>
          <w:b/>
          <w:bCs/>
          <w:sz w:val="26"/>
          <w:szCs w:val="26"/>
        </w:rPr>
        <w:t xml:space="preserve">Qualitative narrative</w:t>
      </w:r>
    </w:p>
    <w:p>
      <w:pPr>
        <w:spacing w:after="120" w:line="320"/>
        <w:jc w:val="both"/>
      </w:pPr>
      <w:r>
        <w:rPr>
          <w:rFonts w:ascii="Arial" w:cs="Arial" w:eastAsia="Arial" w:hAnsi="Arial"/>
          <w:sz w:val="22"/>
          <w:szCs w:val="22"/>
        </w:rPr>
        <w:t>AL illustrates the trajectory typology of progressive consolidation: sustained reduction across all functional and disease activity indicators over more than ten years, complete elimination of NSAID requirement for axSpA, stable nutritional adherence in the period documented, and no active alerts in the last evaluation. The full integration phase is consolidated. The coexistence of optimal functional outcomes with a passive-modulated coping profile (driven by Religion) provides a clinically informative example of dissociation between the functional and coping dimensions.</w:t>
      </w:r>
    </w:p>
    <w:p>
      <w:r>
        <w:br w:type="page"/>
      </w:r>
    </w:p>
    <w:p>
      <w:pPr>
        <w:pStyle w:val="Heading1"/>
        <w:spacing w:after="180" w:before="360" w:line="320"/>
      </w:pPr>
      <w:r>
        <w:rPr>
          <w:rFonts w:ascii="Arial" w:cs="Arial" w:eastAsia="Arial" w:hAnsi="Arial"/>
          <w:b/>
          <w:bCs/>
          <w:sz w:val="28"/>
          <w:szCs w:val="28"/>
        </w:rPr>
        <w:t xml:space="preserve">S3. Case AN — Documented improvement and sustained integration</w:t>
      </w:r>
    </w:p>
    <w:p>
      <w:pPr>
        <w:pStyle w:val="Heading2"/>
        <w:spacing w:after="160" w:before="320" w:line="320"/>
      </w:pPr>
      <w:r>
        <w:rPr>
          <w:rFonts w:ascii="Arial" w:cs="Arial" w:eastAsia="Arial" w:hAnsi="Arial"/>
          <w:b/>
          <w:bCs/>
          <w:sz w:val="26"/>
          <w:szCs w:val="26"/>
        </w:rPr>
        <w:t xml:space="preserve">Demographic and clinical background</w:t>
      </w:r>
    </w:p>
    <w:p>
      <w:pPr>
        <w:spacing w:after="120" w:line="320"/>
        <w:jc w:val="both"/>
      </w:pPr>
      <w:r>
        <w:rPr>
          <w:rFonts w:ascii="Arial" w:cs="Arial" w:eastAsia="Arial" w:hAnsi="Arial"/>
          <w:b/>
          <w:bCs/>
          <w:i w:val="false"/>
          <w:iCs w:val="false"/>
          <w:sz w:val="22"/>
          <w:szCs w:val="22"/>
        </w:rPr>
        <w:t xml:space="preserve">Sex: </w:t>
      </w:r>
      <w:r>
        <w:rPr>
          <w:rFonts w:ascii="Arial" w:cs="Arial" w:eastAsia="Arial" w:hAnsi="Arial"/>
          <w:b w:val="false"/>
          <w:bCs w:val="false"/>
          <w:i w:val="false"/>
          <w:iCs w:val="false"/>
          <w:sz w:val="22"/>
          <w:szCs w:val="22"/>
        </w:rPr>
        <w:t xml:space="preserve">Male. </w:t>
      </w:r>
      <w:r>
        <w:rPr>
          <w:rFonts w:ascii="Arial" w:cs="Arial" w:eastAsia="Arial" w:hAnsi="Arial"/>
          <w:b/>
          <w:bCs/>
          <w:i w:val="false"/>
          <w:iCs w:val="false"/>
          <w:sz w:val="22"/>
          <w:szCs w:val="22"/>
        </w:rPr>
        <w:t xml:space="preserve">Diagnosis: </w:t>
      </w:r>
      <w:r>
        <w:rPr>
          <w:rFonts w:ascii="Arial" w:cs="Arial" w:eastAsia="Arial" w:hAnsi="Arial"/>
          <w:b w:val="false"/>
          <w:bCs w:val="false"/>
          <w:i w:val="false"/>
          <w:iCs w:val="false"/>
          <w:sz w:val="22"/>
          <w:szCs w:val="22"/>
        </w:rPr>
        <w:t xml:space="preserve">Ankylosing spondylitis. </w:t>
      </w:r>
      <w:r>
        <w:rPr>
          <w:rFonts w:ascii="Arial" w:cs="Arial" w:eastAsia="Arial" w:hAnsi="Arial"/>
          <w:b/>
          <w:bCs/>
          <w:i w:val="false"/>
          <w:iCs w:val="false"/>
          <w:sz w:val="22"/>
          <w:szCs w:val="22"/>
        </w:rPr>
        <w:t xml:space="preserve">Site: </w:t>
      </w:r>
      <w:r>
        <w:rPr>
          <w:rFonts w:ascii="Arial" w:cs="Arial" w:eastAsia="Arial" w:hAnsi="Arial"/>
          <w:b w:val="false"/>
          <w:bCs w:val="false"/>
          <w:i w:val="false"/>
          <w:iCs w:val="false"/>
          <w:sz w:val="22"/>
          <w:szCs w:val="22"/>
        </w:rPr>
        <w:t xml:space="preserve">Huesca group. </w:t>
      </w:r>
      <w:r>
        <w:rPr>
          <w:rFonts w:ascii="Arial" w:cs="Arial" w:eastAsia="Arial" w:hAnsi="Arial"/>
          <w:b/>
          <w:bCs/>
          <w:i w:val="false"/>
          <w:iCs w:val="false"/>
          <w:sz w:val="22"/>
          <w:szCs w:val="22"/>
        </w:rPr>
        <w:t xml:space="preserve">Comorbidities: </w:t>
      </w:r>
      <w:r>
        <w:rPr>
          <w:rFonts w:ascii="Arial" w:cs="Arial" w:eastAsia="Arial" w:hAnsi="Arial"/>
          <w:b w:val="false"/>
          <w:bCs w:val="false"/>
          <w:i w:val="false"/>
          <w:iCs w:val="false"/>
          <w:sz w:val="22"/>
          <w:szCs w:val="22"/>
        </w:rPr>
        <w:t xml:space="preserve">none clinically relevant in the documented period.</w:t>
      </w:r>
    </w:p>
    <w:p>
      <w:pPr>
        <w:pStyle w:val="Heading2"/>
        <w:spacing w:after="160" w:before="320" w:line="320"/>
      </w:pPr>
      <w:r>
        <w:rPr>
          <w:rFonts w:ascii="Arial" w:cs="Arial" w:eastAsia="Arial" w:hAnsi="Arial"/>
          <w:b/>
          <w:bCs/>
          <w:sz w:val="26"/>
          <w:szCs w:val="26"/>
        </w:rPr>
        <w:t xml:space="preserve">Programme participation</w:t>
      </w:r>
    </w:p>
    <w:p>
      <w:pPr>
        <w:spacing w:after="120" w:line="320"/>
        <w:jc w:val="both"/>
      </w:pPr>
      <w:r>
        <w:rPr>
          <w:rFonts w:ascii="Arial" w:cs="Arial" w:eastAsia="Arial" w:hAnsi="Arial"/>
          <w:b/>
          <w:bCs/>
          <w:i w:val="0"/>
          <w:iCs w:val="false"/>
          <w:sz w:val="22"/>
          <w:szCs w:val="22"/>
        </w:rPr>
        <w:t>Programme entry: 22 September 2017, the same date on which the participant began systematic documentation (M0). At programme entry AN presented with low functional limitation (BASFI 0.6) and moderate disease activity (BASDAI 3.20), placing him in a maintenance-phase trajectory from the outset rather than requiring an initial recovery phase. Over the subsequent systematic follow-up his disease activity decreased to low values (BASDAI 1.20). Dossier follow-up: M0–M85 (≈7 years). Evaluations: 22 BASFI, 22 BASDAI. Engagement pattern: highly consistent attendance with strong documented orientation towards peer support of other participants.</w:t>
      </w:r>
      <w:r>
        <w:rPr>
          <w:rFonts w:ascii="Arial" w:cs="Arial" w:eastAsia="Arial" w:hAnsi="Arial"/>
          <w:b w:val="false"/>
          <w:bCs w:val="false"/>
          <w:i w:val="false"/>
          <w:iCs w:val="false"/>
          <w:sz w:val="22"/>
          <w:szCs w:val="22"/>
        </w:rPr>
      </w:r>
      <w:r>
        <w:rPr>
          <w:rFonts w:ascii="Arial" w:cs="Arial" w:eastAsia="Arial" w:hAnsi="Arial"/>
          <w:b/>
          <w:bCs/>
          <w:i w:val="false"/>
          <w:iCs w:val="false"/>
          <w:sz w:val="22"/>
          <w:szCs w:val="22"/>
        </w:rPr>
      </w:r>
      <w:r>
        <w:rPr>
          <w:rFonts w:ascii="Arial" w:cs="Arial" w:eastAsia="Arial" w:hAnsi="Arial"/>
          <w:b w:val="false"/>
          <w:bCs w:val="false"/>
          <w:i w:val="false"/>
          <w:iCs w:val="false"/>
          <w:sz w:val="22"/>
          <w:szCs w:val="22"/>
        </w:rPr>
      </w:r>
      <w:r>
        <w:rPr>
          <w:rFonts w:ascii="Arial" w:cs="Arial" w:eastAsia="Arial" w:hAnsi="Arial"/>
          <w:b/>
          <w:bCs/>
          <w:i w:val="false"/>
          <w:iCs w:val="false"/>
          <w:sz w:val="22"/>
          <w:szCs w:val="22"/>
        </w:rPr>
      </w:r>
      <w:r>
        <w:rPr>
          <w:rFonts w:ascii="Arial" w:cs="Arial" w:eastAsia="Arial" w:hAnsi="Arial"/>
          <w:b w:val="false"/>
          <w:bCs w:val="false"/>
          <w:i w:val="false"/>
          <w:iCs w:val="false"/>
          <w:sz w:val="22"/>
          <w:szCs w:val="22"/>
        </w:rPr>
      </w:r>
      <w:r>
        <w:rPr>
          <w:rFonts w:ascii="Arial" w:cs="Arial" w:eastAsia="Arial" w:hAnsi="Arial"/>
          <w:b/>
          <w:bCs/>
          <w:i w:val="false"/>
          <w:iCs w:val="false"/>
          <w:sz w:val="22"/>
          <w:szCs w:val="22"/>
        </w:rPr>
      </w:r>
      <w:r>
        <w:rPr>
          <w:rFonts w:ascii="Arial" w:cs="Arial" w:eastAsia="Arial" w:hAnsi="Arial"/>
          <w:b w:val="false"/>
          <w:bCs w:val="false"/>
          <w:i w:val="false"/>
          <w:iCs w:val="false"/>
          <w:sz w:val="22"/>
          <w:szCs w:val="22"/>
        </w:rPr>
      </w:r>
    </w:p>
    <w:p>
      <w:pPr>
        <w:pStyle w:val="Heading2"/>
        <w:spacing w:after="160" w:before="320" w:line="320"/>
      </w:pPr>
      <w:r>
        <w:rPr>
          <w:rFonts w:ascii="Arial" w:cs="Arial" w:eastAsia="Arial" w:hAnsi="Arial"/>
          <w:b/>
          <w:bCs/>
          <w:sz w:val="26"/>
          <w:szCs w:val="26"/>
        </w:rPr>
        <w:t xml:space="preserve">Summary of changes (M0 → last evaluation)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1740"/>
        <w:gridCol w:w="1740"/>
        <w:gridCol w:w="1740"/>
        <w:gridCol w:w="1740"/>
      </w:tblGrid>
      <w:tr>
        <w:tc>
          <w:tcPr>
            <w:tcW w:type="dxa" w:w="2400"/>
            <w:tcBorders>
              <w:top w:val="single" w:color="888888" w:sz="4"/>
              <w:left w:val="single" w:color="888888" w:sz="4"/>
              <w:bottom w:val="single" w:color="888888" w:sz="4"/>
              <w:right w:val="single" w:color="888888" w:sz="4"/>
            </w:tcBorders>
            <w:shd w:fill="D9E2F3" w:val="clear"/>
            <w:tcMar>
              <w:top w:type="dxa" w:w="80"/>
              <w:left w:type="dxa" w:w="120"/>
              <w:bottom w:type="dxa" w:w="80"/>
              <w:right w:type="dxa" w:w="120"/>
            </w:tcMar>
            <w:vAlign w:val="center"/>
          </w:tcPr>
          <w:p>
            <w:pPr>
              <w:spacing w:after="0" w:line="280"/>
              <w:jc w:val="center"/>
            </w:pPr>
            <w:r>
              <w:rPr>
                <w:rFonts w:ascii="Arial" w:cs="Arial" w:eastAsia="Arial" w:hAnsi="Arial"/>
                <w:b/>
                <w:bCs/>
                <w:i w:val="false"/>
                <w:iCs w:val="false"/>
                <w:sz w:val="20"/>
                <w:szCs w:val="20"/>
              </w:rPr>
              <w:t xml:space="preserve">Instrument</w:t>
            </w:r>
          </w:p>
        </w:tc>
        <w:tc>
          <w:tcPr>
            <w:tcW w:type="dxa" w:w="1740"/>
            <w:tcBorders>
              <w:top w:val="single" w:color="888888" w:sz="4"/>
              <w:left w:val="single" w:color="888888" w:sz="4"/>
              <w:bottom w:val="single" w:color="888888" w:sz="4"/>
              <w:right w:val="single" w:color="888888" w:sz="4"/>
            </w:tcBorders>
            <w:shd w:fill="D9E2F3" w:val="clear"/>
            <w:tcMar>
              <w:top w:type="dxa" w:w="80"/>
              <w:left w:type="dxa" w:w="120"/>
              <w:bottom w:type="dxa" w:w="80"/>
              <w:right w:type="dxa" w:w="120"/>
            </w:tcMar>
            <w:vAlign w:val="center"/>
          </w:tcPr>
          <w:p>
            <w:pPr>
              <w:spacing w:after="0" w:line="280"/>
              <w:jc w:val="center"/>
            </w:pPr>
            <w:r>
              <w:rPr>
                <w:rFonts w:ascii="Arial" w:cs="Arial" w:eastAsia="Arial" w:hAnsi="Arial"/>
                <w:b/>
                <w:bCs/>
                <w:i w:val="false"/>
                <w:iCs w:val="false"/>
                <w:sz w:val="20"/>
                <w:szCs w:val="20"/>
              </w:rPr>
              <w:t xml:space="preserve">M0 value</w:t>
            </w:r>
          </w:p>
        </w:tc>
        <w:tc>
          <w:tcPr>
            <w:tcW w:type="dxa" w:w="1740"/>
            <w:tcBorders>
              <w:top w:val="single" w:color="888888" w:sz="4"/>
              <w:left w:val="single" w:color="888888" w:sz="4"/>
              <w:bottom w:val="single" w:color="888888" w:sz="4"/>
              <w:right w:val="single" w:color="888888" w:sz="4"/>
            </w:tcBorders>
            <w:shd w:fill="D9E2F3" w:val="clear"/>
            <w:tcMar>
              <w:top w:type="dxa" w:w="80"/>
              <w:left w:type="dxa" w:w="120"/>
              <w:bottom w:type="dxa" w:w="80"/>
              <w:right w:type="dxa" w:w="120"/>
            </w:tcMar>
            <w:vAlign w:val="center"/>
          </w:tcPr>
          <w:p>
            <w:pPr>
              <w:spacing w:after="0" w:line="280"/>
              <w:jc w:val="center"/>
            </w:pPr>
            <w:r>
              <w:rPr>
                <w:rFonts w:ascii="Arial" w:cs="Arial" w:eastAsia="Arial" w:hAnsi="Arial"/>
                <w:b/>
                <w:bCs/>
                <w:i w:val="false"/>
                <w:iCs w:val="false"/>
                <w:sz w:val="20"/>
                <w:szCs w:val="20"/>
              </w:rPr>
              <w:t xml:space="preserve">Last value</w:t>
            </w:r>
          </w:p>
        </w:tc>
        <w:tc>
          <w:tcPr>
            <w:tcW w:type="dxa" w:w="1740"/>
            <w:tcBorders>
              <w:top w:val="single" w:color="888888" w:sz="4"/>
              <w:left w:val="single" w:color="888888" w:sz="4"/>
              <w:bottom w:val="single" w:color="888888" w:sz="4"/>
              <w:right w:val="single" w:color="888888" w:sz="4"/>
            </w:tcBorders>
            <w:shd w:fill="D9E2F3" w:val="clear"/>
            <w:tcMar>
              <w:top w:type="dxa" w:w="80"/>
              <w:left w:type="dxa" w:w="120"/>
              <w:bottom w:type="dxa" w:w="80"/>
              <w:right w:type="dxa" w:w="120"/>
            </w:tcMar>
            <w:vAlign w:val="center"/>
          </w:tcPr>
          <w:p>
            <w:pPr>
              <w:spacing w:after="0" w:line="280"/>
              <w:jc w:val="center"/>
            </w:pPr>
            <w:r>
              <w:rPr>
                <w:rFonts w:ascii="Arial" w:cs="Arial" w:eastAsia="Arial" w:hAnsi="Arial"/>
                <w:b/>
                <w:bCs/>
                <w:i w:val="false"/>
                <w:iCs w:val="false"/>
                <w:sz w:val="20"/>
                <w:szCs w:val="20"/>
              </w:rPr>
              <w:t>Δ (abs.)</w:t>
            </w:r>
          </w:p>
        </w:tc>
        <w:tc>
          <w:tcPr>
            <w:tcW w:type="dxa" w:w="1740"/>
            <w:tcBorders>
              <w:top w:val="single" w:color="888888" w:sz="4"/>
              <w:left w:val="single" w:color="888888" w:sz="4"/>
              <w:bottom w:val="single" w:color="888888" w:sz="4"/>
              <w:right w:val="single" w:color="888888" w:sz="4"/>
            </w:tcBorders>
            <w:shd w:fill="D9E2F3" w:val="clear"/>
            <w:tcMar>
              <w:top w:type="dxa" w:w="80"/>
              <w:left w:type="dxa" w:w="120"/>
              <w:bottom w:type="dxa" w:w="80"/>
              <w:right w:type="dxa" w:w="120"/>
            </w:tcMar>
            <w:vAlign w:val="center"/>
          </w:tcPr>
          <w:p>
            <w:pPr>
              <w:spacing w:after="0" w:line="280"/>
              <w:jc w:val="center"/>
            </w:pPr>
            <w:r>
              <w:rPr>
                <w:rFonts w:ascii="Arial" w:cs="Arial" w:eastAsia="Arial" w:hAnsi="Arial"/>
                <w:b/>
                <w:bCs/>
                <w:i w:val="false"/>
                <w:iCs w:val="false"/>
                <w:sz w:val="20"/>
                <w:szCs w:val="20"/>
              </w:rPr>
              <w:t xml:space="preserve">Interpretation</w:t>
            </w:r>
          </w:p>
        </w:tc>
      </w:tr>
      <w:tr>
        <w:tc>
          <w:tcPr>
            <w:tcW w:type="dxa" w:w="240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bCs/>
                <w:i w:val="false"/>
                <w:iCs w:val="false"/>
                <w:sz w:val="20"/>
                <w:szCs w:val="20"/>
              </w:rPr>
              <w:t xml:space="preserve">BASFI (0–10)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0.60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0.10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−0.50 (&lt;MCID)†</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val="false"/>
                <w:bCs w:val="false"/>
                <w:i w:val="false"/>
                <w:iCs w:val="false"/>
                <w:sz w:val="20"/>
                <w:szCs w:val="20"/>
              </w:rPr>
              <w:t xml:space="preserve">GOOD function maintained; absolute change below MCID</w:t>
            </w:r>
          </w:p>
        </w:tc>
      </w:tr>
      <w:tr>
        <w:tc>
          <w:tcPr>
            <w:tcW w:type="dxa" w:w="240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bCs/>
                <w:i w:val="false"/>
                <w:iCs w:val="false"/>
                <w:sz w:val="20"/>
                <w:szCs w:val="20"/>
              </w:rPr>
              <w:t xml:space="preserve">BASDAI (6-item, paired n=22)</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3.20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1.20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−2.00 (&gt;MCID)</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val="false"/>
                <w:bCs w:val="false"/>
                <w:i w:val="false"/>
                <w:iCs w:val="false"/>
                <w:sz w:val="20"/>
                <w:szCs w:val="20"/>
              </w:rPr>
              <w:t xml:space="preserve">From LOW–MODERATE to LOW activity; documented improvement</w:t>
            </w:r>
          </w:p>
        </w:tc>
      </w:tr>
      <w:tr>
        <w:tc>
          <w:tcPr>
            <w:tcW w:type="dxa" w:w="240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bCs/>
                <w:i w:val="false"/>
                <w:iCs w:val="false"/>
                <w:sz w:val="20"/>
                <w:szCs w:val="20"/>
              </w:rPr>
              <w:t xml:space="preserve">VAS-pain (0–10)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2</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2</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0 (stable LOW)</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val="false"/>
                <w:bCs w:val="false"/>
                <w:i w:val="false"/>
                <w:iCs w:val="false"/>
                <w:sz w:val="20"/>
                <w:szCs w:val="20"/>
              </w:rPr>
              <w:t xml:space="preserve">Stable LOW pain throughout</w:t>
            </w:r>
          </w:p>
        </w:tc>
      </w:tr>
      <w:tr>
        <w:tc>
          <w:tcPr>
            <w:tcW w:type="dxa" w:w="240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bCs/>
                <w:i w:val="false"/>
                <w:iCs w:val="false"/>
                <w:sz w:val="20"/>
                <w:szCs w:val="20"/>
              </w:rPr>
              <w:t xml:space="preserve">HAQ-DI (0–3)</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0.00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0.00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Floor</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val="false"/>
                <w:bCs w:val="false"/>
                <w:i w:val="false"/>
                <w:iCs w:val="false"/>
                <w:sz w:val="20"/>
                <w:szCs w:val="20"/>
              </w:rPr>
              <w:t xml:space="preserve">No disability throughout (floor at M0)</w:t>
            </w:r>
          </w:p>
        </w:tc>
      </w:tr>
      <w:tr>
        <w:tc>
          <w:tcPr>
            <w:tcW w:type="dxa" w:w="240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bCs/>
                <w:i w:val="false"/>
                <w:iCs w:val="false"/>
                <w:sz w:val="20"/>
                <w:szCs w:val="20"/>
              </w:rPr>
              <w:t xml:space="preserve">EQ-5D-5L VAS (0–100)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50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70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+20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val="false"/>
                <w:bCs w:val="false"/>
                <w:i w:val="false"/>
                <w:iCs w:val="false"/>
                <w:sz w:val="20"/>
                <w:szCs w:val="20"/>
              </w:rPr>
              <w:t xml:space="preserve">Improvement in self-rated health</w:t>
            </w:r>
          </w:p>
        </w:tc>
      </w:tr>
      <w:tr>
        <w:tc>
          <w:tcPr>
            <w:tcW w:type="dxa" w:w="240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bCs/>
                <w:i w:val="false"/>
                <w:iCs w:val="false"/>
                <w:sz w:val="20"/>
                <w:szCs w:val="20"/>
              </w:rPr>
              <w:t xml:space="preserve">MEDAS (0–14, 8 evals)</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10–12</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10–12</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val="false"/>
                <w:bCs w:val="false"/>
                <w:i w:val="false"/>
                <w:iCs w:val="false"/>
                <w:sz w:val="20"/>
                <w:szCs w:val="20"/>
              </w:rPr>
              <w:t xml:space="preserve">Sustained HIGH adherence</w:t>
            </w:r>
          </w:p>
        </w:tc>
      </w:tr>
    </w:tbl>
    <w:p>
      <w:pPr>
        <w:spacing w:after="120" w:line="320"/>
        <w:jc w:val="both"/>
      </w:pPr>
      <w:r>
        <w:rPr>
          <w:rFonts w:ascii="Arial" w:cs="Arial" w:eastAsia="Arial" w:hAnsi="Arial"/>
          <w:sz w:val="22"/>
          <w:szCs w:val="22"/>
        </w:rPr>
        <w:t xml:space="preserve">(†) MCID for BASFI ≈ 0.6–1.0; AN's absolute change of 0.50 points does not reach this threshold despite a large relative change, illustrating the importance of MCID anchoring on near-floor values.</w:t>
      </w:r>
    </w:p>
    <w:p>
      <w:pPr>
        <w:spacing w:after="120" w:line="320"/>
        <w:jc w:val="both"/>
      </w:pPr>
      <w:r>
        <w:rPr>
          <w:rFonts w:ascii="Arial" w:cs="Arial" w:eastAsia="Arial" w:hAnsi="Arial"/>
          <w:sz w:val="22"/>
          <w:szCs w:val="22"/>
        </w:rPr>
        <w:t>Note: at M0 (which coincided with programme entry), AN already presented with low-disability function (BASFI 0.67, HAQ-DI 0.00) but with disease activity (BASDAI 3.20) still in the LOW–MODERATE range; the trajectory documents subsequent consolidation rather than recovery from a high-impact baseline. The dossier therefore documents both an ongoing improvement in disease activity (BASDAI from 3.20 to 1.20) and the maintenance of low functional limitation across instruments. The standard six-item BASDAI computation, applied uniformly across the case series, supports this reading.</w:t>
      </w:r>
    </w:p>
    <w:p>
      <w:pPr>
        <w:pStyle w:val="Heading2"/>
        <w:spacing w:after="160" w:before="320" w:line="320"/>
      </w:pPr>
      <w:r>
        <w:rPr>
          <w:rFonts w:ascii="Arial" w:cs="Arial" w:eastAsia="Arial" w:hAnsi="Arial"/>
          <w:b/>
          <w:bCs/>
          <w:sz w:val="26"/>
          <w:szCs w:val="26"/>
        </w:rPr>
        <w:t xml:space="preserve">Medication evolution</w:t>
      </w:r>
    </w:p>
    <w:p>
      <w:pPr>
        <w:spacing w:after="120" w:line="320"/>
        <w:jc w:val="both"/>
      </w:pPr>
      <w:r>
        <w:rPr>
          <w:rFonts w:ascii="Arial" w:cs="Arial" w:eastAsia="Arial" w:hAnsi="Arial"/>
          <w:b/>
          <w:bCs/>
          <w:i w:val="false"/>
          <w:iCs w:val="false"/>
          <w:sz w:val="22"/>
          <w:szCs w:val="22"/>
        </w:rPr>
        <w:t xml:space="preserve">At dossier M0: </w:t>
      </w:r>
      <w:r>
        <w:rPr>
          <w:rFonts w:ascii="Arial" w:cs="Arial" w:eastAsia="Arial" w:hAnsi="Arial"/>
          <w:b w:val="false"/>
          <w:bCs w:val="false"/>
          <w:i w:val="false"/>
          <w:iCs w:val="false"/>
          <w:sz w:val="22"/>
          <w:szCs w:val="22"/>
        </w:rPr>
        <w:t xml:space="preserve">naproxen on demand. </w:t>
      </w:r>
      <w:r>
        <w:rPr>
          <w:rFonts w:ascii="Arial" w:cs="Arial" w:eastAsia="Arial" w:hAnsi="Arial"/>
          <w:b/>
          <w:bCs/>
          <w:i w:val="false"/>
          <w:iCs w:val="false"/>
          <w:sz w:val="22"/>
          <w:szCs w:val="22"/>
        </w:rPr>
        <w:t xml:space="preserve">Current: </w:t>
      </w:r>
      <w:r>
        <w:rPr>
          <w:rFonts w:ascii="Arial" w:cs="Arial" w:eastAsia="Arial" w:hAnsi="Arial"/>
          <w:b w:val="false"/>
          <w:bCs w:val="false"/>
          <w:i w:val="false"/>
          <w:iCs w:val="false"/>
          <w:sz w:val="22"/>
          <w:szCs w:val="22"/>
        </w:rPr>
        <w:t xml:space="preserve">naproxen on demand (unchanged). NSAID use exclusively reactive, never scheduled.</w:t>
      </w:r>
    </w:p>
    <w:p>
      <w:pPr>
        <w:pStyle w:val="Heading2"/>
        <w:spacing w:after="160" w:before="320" w:line="320"/>
      </w:pPr>
      <w:r>
        <w:rPr>
          <w:rFonts w:ascii="Arial" w:cs="Arial" w:eastAsia="Arial" w:hAnsi="Arial"/>
          <w:b/>
          <w:bCs/>
          <w:sz w:val="26"/>
          <w:szCs w:val="26"/>
        </w:rPr>
        <w:t xml:space="preserve">Coping profile (CAD)</w:t>
      </w:r>
    </w:p>
    <w:p>
      <w:pPr>
        <w:spacing w:after="120" w:line="320"/>
        <w:jc w:val="both"/>
      </w:pPr>
      <w:r>
        <w:rPr>
          <w:rFonts w:ascii="Arial" w:cs="Arial" w:eastAsia="Arial" w:hAnsi="Arial"/>
          <w:sz w:val="22"/>
          <w:szCs w:val="22"/>
        </w:rPr>
        <w:t xml:space="preserve">Eight CAD evaluations. The most consistent active coping profile in the series: predominantly active in 8 of 9 evaluations, with Religion minimum (1.0/5) and Catharsis moderate-to-low. Self-affirmation and Mental Self-control sustained in moderate-to-high ranges. This profile is identified as the reference active pattern in the series.</w:t>
      </w:r>
    </w:p>
    <w:p>
      <w:pPr>
        <w:pStyle w:val="Heading2"/>
        <w:spacing w:after="160" w:before="320" w:line="320"/>
      </w:pPr>
      <w:r>
        <w:rPr>
          <w:rFonts w:ascii="Arial" w:cs="Arial" w:eastAsia="Arial" w:hAnsi="Arial"/>
          <w:b/>
          <w:bCs/>
          <w:sz w:val="26"/>
          <w:szCs w:val="26"/>
        </w:rPr>
        <w:t xml:space="preserve">Daily self-monitoring</w:t>
      </w:r>
    </w:p>
    <w:p>
      <w:pPr>
        <w:spacing w:after="120" w:line="320"/>
        <w:jc w:val="both"/>
      </w:pPr>
      <w:r>
        <w:rPr>
          <w:rFonts w:ascii="Arial" w:cs="Arial" w:eastAsia="Arial" w:hAnsi="Arial"/>
          <w:b w:val="false"/>
          <w:bCs w:val="false"/>
          <w:i w:val="false"/>
          <w:iCs w:val="false"/>
          <w:sz w:val="22"/>
          <w:szCs w:val="22"/>
        </w:rPr>
        <w:t xml:space="preserve">Total records: 1,271. Detected flares: 18. </w:t>
      </w:r>
      <w:r>
        <w:rPr>
          <w:rFonts w:ascii="Arial" w:cs="Arial" w:eastAsia="Arial" w:hAnsi="Arial"/>
          <w:b/>
          <w:bCs/>
          <w:i w:val="false"/>
          <w:iCs w:val="false"/>
          <w:sz w:val="22"/>
          <w:szCs w:val="22"/>
        </w:rPr>
        <w:t xml:space="preserve">Mean ratings (0–10): </w:t>
      </w:r>
      <w:r>
        <w:rPr>
          <w:rFonts w:ascii="Arial" w:cs="Arial" w:eastAsia="Arial" w:hAnsi="Arial"/>
          <w:b w:val="false"/>
          <w:bCs w:val="false"/>
          <w:i w:val="false"/>
          <w:iCs w:val="false"/>
          <w:sz w:val="22"/>
          <w:szCs w:val="22"/>
        </w:rPr>
        <w:t xml:space="preserve">pain 1.3; fatigue 0.4; stiffness 1.1; mood 7.4; anxiety 1.0.</w:t>
      </w:r>
    </w:p>
    <w:p>
      <w:pPr>
        <w:spacing w:after="120" w:line="320"/>
        <w:jc w:val="both"/>
      </w:pPr>
      <w:r>
        <w:rPr>
          <w:rFonts w:ascii="Arial" w:cs="Arial" w:eastAsia="Arial" w:hAnsi="Arial"/>
          <w:sz w:val="22"/>
          <w:szCs w:val="22"/>
        </w:rPr>
        <w:t xml:space="preserve">The daily self-monitoring confirms the maintenance pattern across all dimensions and shows the most favourable affective profile in the series (highest mood, lowest anxiety).</w:t>
      </w:r>
    </w:p>
    <w:p>
      <w:pPr>
        <w:pStyle w:val="Heading2"/>
        <w:spacing w:after="160" w:before="320" w:line="320"/>
      </w:pPr>
      <w:r>
        <w:rPr>
          <w:rFonts w:ascii="Arial" w:cs="Arial" w:eastAsia="Arial" w:hAnsi="Arial"/>
          <w:b/>
          <w:bCs/>
          <w:sz w:val="26"/>
          <w:szCs w:val="26"/>
        </w:rPr>
        <w:t xml:space="preserve">Qualitative narrative</w:t>
      </w:r>
    </w:p>
    <w:p>
      <w:pPr>
        <w:spacing w:after="120" w:line="320"/>
        <w:jc w:val="both"/>
      </w:pPr>
      <w:r>
        <w:rPr>
          <w:rFonts w:ascii="Arial" w:cs="Arial" w:eastAsia="Arial" w:hAnsi="Arial"/>
          <w:sz w:val="22"/>
          <w:szCs w:val="22"/>
        </w:rPr>
        <w:t>AN illustrates a trajectory of documented improvement consolidating into sustained integration. The participant entered the programme and the systematic dossier on the same date, presenting with already-low functional limitation but with low-to-moderate disease activity, and over seven years of systematic follow-up consolidated his BASDAI in the stable LOW range while maintaining BASFI, HAQ-DI, nutritional adherence and active coping at optimal levels. NSAID use remained exclusively reactive throughout. The case provides direct evidence that the integration phase can be reached from a position of moderate residual disease activity and sustained over long periods within a community-based rehabilitation programme.</w:t>
      </w:r>
    </w:p>
    <w:p>
      <w:r>
        <w:br w:type="page"/>
      </w:r>
    </w:p>
    <w:p>
      <w:pPr>
        <w:pStyle w:val="Heading1"/>
        <w:spacing w:after="180" w:before="360" w:line="320"/>
      </w:pPr>
      <w:r>
        <w:rPr>
          <w:rFonts w:ascii="Arial" w:cs="Arial" w:eastAsia="Arial" w:hAnsi="Arial"/>
          <w:b/>
          <w:bCs/>
          <w:sz w:val="28"/>
          <w:szCs w:val="28"/>
        </w:rPr>
        <w:t>S4. Case MI — Patient-reported sustained functional remission</w:t>
      </w:r>
    </w:p>
    <w:p>
      <w:pPr>
        <w:pStyle w:val="Heading2"/>
        <w:spacing w:after="160" w:before="320" w:line="320"/>
      </w:pPr>
      <w:r>
        <w:rPr>
          <w:rFonts w:ascii="Arial" w:cs="Arial" w:eastAsia="Arial" w:hAnsi="Arial"/>
          <w:b/>
          <w:bCs/>
          <w:sz w:val="26"/>
          <w:szCs w:val="26"/>
        </w:rPr>
        <w:t xml:space="preserve">Demographic and clinical background</w:t>
      </w:r>
    </w:p>
    <w:p>
      <w:pPr>
        <w:spacing w:after="120" w:line="320"/>
        <w:jc w:val="both"/>
      </w:pPr>
      <w:r>
        <w:rPr>
          <w:rFonts w:ascii="Arial" w:cs="Arial" w:eastAsia="Arial" w:hAnsi="Arial"/>
          <w:b/>
          <w:bCs/>
          <w:i w:val="false"/>
          <w:iCs w:val="false"/>
          <w:sz w:val="22"/>
          <w:szCs w:val="22"/>
        </w:rPr>
        <w:t xml:space="preserve">Sex: </w:t>
      </w:r>
      <w:r>
        <w:rPr>
          <w:rFonts w:ascii="Arial" w:cs="Arial" w:eastAsia="Arial" w:hAnsi="Arial"/>
          <w:b w:val="false"/>
          <w:bCs w:val="false"/>
          <w:i w:val="false"/>
          <w:iCs w:val="false"/>
          <w:sz w:val="22"/>
          <w:szCs w:val="22"/>
        </w:rPr>
        <w:t xml:space="preserve">Male. </w:t>
      </w:r>
      <w:r>
        <w:rPr>
          <w:rFonts w:ascii="Arial" w:cs="Arial" w:eastAsia="Arial" w:hAnsi="Arial"/>
          <w:b/>
          <w:bCs/>
          <w:i w:val="false"/>
          <w:iCs w:val="false"/>
          <w:sz w:val="22"/>
          <w:szCs w:val="22"/>
        </w:rPr>
        <w:t xml:space="preserve">Diagnosis: </w:t>
      </w:r>
      <w:r>
        <w:rPr>
          <w:rFonts w:ascii="Arial" w:cs="Arial" w:eastAsia="Arial" w:hAnsi="Arial"/>
          <w:b w:val="false"/>
          <w:bCs w:val="false"/>
          <w:i w:val="false"/>
          <w:iCs w:val="false"/>
          <w:sz w:val="22"/>
          <w:szCs w:val="22"/>
        </w:rPr>
        <w:t xml:space="preserve">Ankylosing spondylitis. </w:t>
      </w:r>
      <w:r>
        <w:rPr>
          <w:rFonts w:ascii="Arial" w:cs="Arial" w:eastAsia="Arial" w:hAnsi="Arial"/>
          <w:b/>
          <w:bCs/>
          <w:i w:val="false"/>
          <w:iCs w:val="false"/>
          <w:sz w:val="22"/>
          <w:szCs w:val="22"/>
        </w:rPr>
        <w:t xml:space="preserve">Site: </w:t>
      </w:r>
      <w:r>
        <w:rPr>
          <w:rFonts w:ascii="Arial" w:cs="Arial" w:eastAsia="Arial" w:hAnsi="Arial"/>
          <w:b w:val="false"/>
          <w:bCs w:val="false"/>
          <w:i w:val="false"/>
          <w:iCs w:val="false"/>
          <w:sz w:val="22"/>
          <w:szCs w:val="22"/>
        </w:rPr>
        <w:t xml:space="preserve">Huesca group. </w:t>
      </w:r>
      <w:r>
        <w:rPr>
          <w:rFonts w:ascii="Arial" w:cs="Arial" w:eastAsia="Arial" w:hAnsi="Arial"/>
          <w:b/>
          <w:bCs/>
          <w:i w:val="false"/>
          <w:iCs w:val="false"/>
          <w:sz w:val="22"/>
          <w:szCs w:val="22"/>
        </w:rPr>
        <w:t xml:space="preserve">Comorbidities: </w:t>
      </w:r>
      <w:r>
        <w:rPr>
          <w:rFonts w:ascii="Arial" w:cs="Arial" w:eastAsia="Arial" w:hAnsi="Arial"/>
          <w:b w:val="false"/>
          <w:bCs w:val="false"/>
          <w:i w:val="false"/>
          <w:iCs w:val="false"/>
          <w:sz w:val="22"/>
          <w:szCs w:val="22"/>
        </w:rPr>
        <w:t xml:space="preserve">none clinically relevant in the documented period.</w:t>
      </w:r>
    </w:p>
    <w:p>
      <w:pPr>
        <w:pStyle w:val="Heading2"/>
        <w:spacing w:after="160" w:before="320" w:line="320"/>
      </w:pPr>
      <w:r>
        <w:rPr>
          <w:rFonts w:ascii="Arial" w:cs="Arial" w:eastAsia="Arial" w:hAnsi="Arial"/>
          <w:b/>
          <w:bCs/>
          <w:sz w:val="26"/>
          <w:szCs w:val="26"/>
        </w:rPr>
        <w:t xml:space="preserve">Programme participation</w:t>
      </w:r>
    </w:p>
    <w:p>
      <w:pPr>
        <w:spacing w:after="120" w:line="320"/>
        <w:jc w:val="both"/>
      </w:pPr>
      <w:r>
        <w:rPr>
          <w:rFonts w:ascii="Arial" w:cs="Arial" w:eastAsia="Arial" w:hAnsi="Arial"/>
          <w:b/>
          <w:bCs/>
          <w:i w:val="0"/>
          <w:iCs w:val="false"/>
          <w:sz w:val="22"/>
          <w:szCs w:val="22"/>
        </w:rPr>
        <w:t>Programme entry: 10 May 2014, several years before the start of the systematic dossier. Digital daily self-monitoring records began on 16 February 2016 (28 months before the first BASFI evaluation). Systematic dossier follow-up: M0–M72 (≈6 years), with M0 corresponding to the first BASFI evaluation on 22 June 2018. Total programme participation up to the last documented evaluation: approximately 122 months. Evaluations: 21 BASFI, 22 BASDAI. Engagement pattern: highly consistent, with the highest self-monitoring adherence in the series and consistent orientation towards peer support.</w:t>
      </w:r>
      <w:r>
        <w:rPr>
          <w:rFonts w:ascii="Arial" w:cs="Arial" w:eastAsia="Arial" w:hAnsi="Arial"/>
          <w:b w:val="false"/>
          <w:bCs w:val="false"/>
          <w:i w:val="false"/>
          <w:iCs w:val="false"/>
          <w:sz w:val="22"/>
          <w:szCs w:val="22"/>
        </w:rPr>
      </w:r>
      <w:r>
        <w:rPr>
          <w:rFonts w:ascii="Arial" w:cs="Arial" w:eastAsia="Arial" w:hAnsi="Arial"/>
          <w:b/>
          <w:bCs/>
          <w:i w:val="false"/>
          <w:iCs w:val="false"/>
          <w:sz w:val="22"/>
          <w:szCs w:val="22"/>
        </w:rPr>
      </w:r>
      <w:r>
        <w:rPr>
          <w:rFonts w:ascii="Arial" w:cs="Arial" w:eastAsia="Arial" w:hAnsi="Arial"/>
          <w:b w:val="false"/>
          <w:bCs w:val="false"/>
          <w:i w:val="false"/>
          <w:iCs w:val="false"/>
          <w:sz w:val="22"/>
          <w:szCs w:val="22"/>
        </w:rPr>
      </w:r>
      <w:r>
        <w:rPr>
          <w:rFonts w:ascii="Arial" w:cs="Arial" w:eastAsia="Arial" w:hAnsi="Arial"/>
          <w:b/>
          <w:bCs/>
          <w:i w:val="false"/>
          <w:iCs w:val="false"/>
          <w:sz w:val="22"/>
          <w:szCs w:val="22"/>
        </w:rPr>
      </w:r>
      <w:r>
        <w:rPr>
          <w:rFonts w:ascii="Arial" w:cs="Arial" w:eastAsia="Arial" w:hAnsi="Arial"/>
          <w:b w:val="false"/>
          <w:bCs w:val="false"/>
          <w:i w:val="false"/>
          <w:iCs w:val="false"/>
          <w:sz w:val="22"/>
          <w:szCs w:val="22"/>
        </w:rPr>
      </w:r>
      <w:r>
        <w:rPr>
          <w:rFonts w:ascii="Arial" w:cs="Arial" w:eastAsia="Arial" w:hAnsi="Arial"/>
          <w:b/>
          <w:bCs/>
          <w:i w:val="false"/>
          <w:iCs w:val="false"/>
          <w:sz w:val="22"/>
          <w:szCs w:val="22"/>
        </w:rPr>
      </w:r>
      <w:r>
        <w:rPr>
          <w:rFonts w:ascii="Arial" w:cs="Arial" w:eastAsia="Arial" w:hAnsi="Arial"/>
          <w:b w:val="false"/>
          <w:bCs w:val="false"/>
          <w:i w:val="false"/>
          <w:iCs w:val="false"/>
          <w:sz w:val="22"/>
          <w:szCs w:val="22"/>
        </w:rPr>
      </w:r>
    </w:p>
    <w:p>
      <w:pPr>
        <w:pStyle w:val="Heading2"/>
        <w:spacing w:after="160" w:before="320" w:line="320"/>
      </w:pPr>
      <w:r>
        <w:rPr>
          <w:rFonts w:ascii="Arial" w:cs="Arial" w:eastAsia="Arial" w:hAnsi="Arial"/>
          <w:b/>
          <w:bCs/>
          <w:sz w:val="26"/>
          <w:szCs w:val="26"/>
        </w:rPr>
        <w:t xml:space="preserve">Summary of changes (M0 → last evaluation)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1740"/>
        <w:gridCol w:w="1740"/>
        <w:gridCol w:w="1740"/>
        <w:gridCol w:w="1740"/>
      </w:tblGrid>
      <w:tr>
        <w:tc>
          <w:tcPr>
            <w:tcW w:type="dxa" w:w="2400"/>
            <w:tcBorders>
              <w:top w:val="single" w:color="888888" w:sz="4"/>
              <w:left w:val="single" w:color="888888" w:sz="4"/>
              <w:bottom w:val="single" w:color="888888" w:sz="4"/>
              <w:right w:val="single" w:color="888888" w:sz="4"/>
            </w:tcBorders>
            <w:shd w:fill="D9E2F3" w:val="clear"/>
            <w:tcMar>
              <w:top w:type="dxa" w:w="80"/>
              <w:left w:type="dxa" w:w="120"/>
              <w:bottom w:type="dxa" w:w="80"/>
              <w:right w:type="dxa" w:w="120"/>
            </w:tcMar>
            <w:vAlign w:val="center"/>
          </w:tcPr>
          <w:p>
            <w:pPr>
              <w:spacing w:after="0" w:line="280"/>
              <w:jc w:val="center"/>
            </w:pPr>
            <w:r>
              <w:rPr>
                <w:rFonts w:ascii="Arial" w:cs="Arial" w:eastAsia="Arial" w:hAnsi="Arial"/>
                <w:b/>
                <w:bCs/>
                <w:i w:val="false"/>
                <w:iCs w:val="false"/>
                <w:sz w:val="20"/>
                <w:szCs w:val="20"/>
              </w:rPr>
              <w:t xml:space="preserve">Instrument</w:t>
            </w:r>
          </w:p>
        </w:tc>
        <w:tc>
          <w:tcPr>
            <w:tcW w:type="dxa" w:w="1740"/>
            <w:tcBorders>
              <w:top w:val="single" w:color="888888" w:sz="4"/>
              <w:left w:val="single" w:color="888888" w:sz="4"/>
              <w:bottom w:val="single" w:color="888888" w:sz="4"/>
              <w:right w:val="single" w:color="888888" w:sz="4"/>
            </w:tcBorders>
            <w:shd w:fill="D9E2F3" w:val="clear"/>
            <w:tcMar>
              <w:top w:type="dxa" w:w="80"/>
              <w:left w:type="dxa" w:w="120"/>
              <w:bottom w:type="dxa" w:w="80"/>
              <w:right w:type="dxa" w:w="120"/>
            </w:tcMar>
            <w:vAlign w:val="center"/>
          </w:tcPr>
          <w:p>
            <w:pPr>
              <w:spacing w:after="0" w:line="280"/>
              <w:jc w:val="center"/>
            </w:pPr>
            <w:r>
              <w:rPr>
                <w:rFonts w:ascii="Arial" w:cs="Arial" w:eastAsia="Arial" w:hAnsi="Arial"/>
                <w:b/>
                <w:bCs/>
                <w:i w:val="false"/>
                <w:iCs w:val="false"/>
                <w:sz w:val="20"/>
                <w:szCs w:val="20"/>
              </w:rPr>
              <w:t xml:space="preserve">M0 value</w:t>
            </w:r>
          </w:p>
        </w:tc>
        <w:tc>
          <w:tcPr>
            <w:tcW w:type="dxa" w:w="1740"/>
            <w:tcBorders>
              <w:top w:val="single" w:color="888888" w:sz="4"/>
              <w:left w:val="single" w:color="888888" w:sz="4"/>
              <w:bottom w:val="single" w:color="888888" w:sz="4"/>
              <w:right w:val="single" w:color="888888" w:sz="4"/>
            </w:tcBorders>
            <w:shd w:fill="D9E2F3" w:val="clear"/>
            <w:tcMar>
              <w:top w:type="dxa" w:w="80"/>
              <w:left w:type="dxa" w:w="120"/>
              <w:bottom w:type="dxa" w:w="80"/>
              <w:right w:type="dxa" w:w="120"/>
            </w:tcMar>
            <w:vAlign w:val="center"/>
          </w:tcPr>
          <w:p>
            <w:pPr>
              <w:spacing w:after="0" w:line="280"/>
              <w:jc w:val="center"/>
            </w:pPr>
            <w:r>
              <w:rPr>
                <w:rFonts w:ascii="Arial" w:cs="Arial" w:eastAsia="Arial" w:hAnsi="Arial"/>
                <w:b/>
                <w:bCs/>
                <w:i w:val="false"/>
                <w:iCs w:val="false"/>
                <w:sz w:val="20"/>
                <w:szCs w:val="20"/>
              </w:rPr>
              <w:t xml:space="preserve">Last value</w:t>
            </w:r>
          </w:p>
        </w:tc>
        <w:tc>
          <w:tcPr>
            <w:tcW w:type="dxa" w:w="1740"/>
            <w:tcBorders>
              <w:top w:val="single" w:color="888888" w:sz="4"/>
              <w:left w:val="single" w:color="888888" w:sz="4"/>
              <w:bottom w:val="single" w:color="888888" w:sz="4"/>
              <w:right w:val="single" w:color="888888" w:sz="4"/>
            </w:tcBorders>
            <w:shd w:fill="D9E2F3" w:val="clear"/>
            <w:tcMar>
              <w:top w:type="dxa" w:w="80"/>
              <w:left w:type="dxa" w:w="120"/>
              <w:bottom w:type="dxa" w:w="80"/>
              <w:right w:type="dxa" w:w="120"/>
            </w:tcMar>
            <w:vAlign w:val="center"/>
          </w:tcPr>
          <w:p>
            <w:pPr>
              <w:spacing w:after="0" w:line="280"/>
              <w:jc w:val="center"/>
            </w:pPr>
            <w:r>
              <w:rPr>
                <w:rFonts w:ascii="Arial" w:cs="Arial" w:eastAsia="Arial" w:hAnsi="Arial"/>
                <w:b/>
                <w:bCs/>
                <w:i w:val="false"/>
                <w:iCs w:val="false"/>
                <w:sz w:val="20"/>
                <w:szCs w:val="20"/>
              </w:rPr>
              <w:t>Δ (abs.)</w:t>
            </w:r>
          </w:p>
        </w:tc>
        <w:tc>
          <w:tcPr>
            <w:tcW w:type="dxa" w:w="1740"/>
            <w:tcBorders>
              <w:top w:val="single" w:color="888888" w:sz="4"/>
              <w:left w:val="single" w:color="888888" w:sz="4"/>
              <w:bottom w:val="single" w:color="888888" w:sz="4"/>
              <w:right w:val="single" w:color="888888" w:sz="4"/>
            </w:tcBorders>
            <w:shd w:fill="D9E2F3" w:val="clear"/>
            <w:tcMar>
              <w:top w:type="dxa" w:w="80"/>
              <w:left w:type="dxa" w:w="120"/>
              <w:bottom w:type="dxa" w:w="80"/>
              <w:right w:type="dxa" w:w="120"/>
            </w:tcMar>
            <w:vAlign w:val="center"/>
          </w:tcPr>
          <w:p>
            <w:pPr>
              <w:spacing w:after="0" w:line="280"/>
              <w:jc w:val="center"/>
            </w:pPr>
            <w:r>
              <w:rPr>
                <w:rFonts w:ascii="Arial" w:cs="Arial" w:eastAsia="Arial" w:hAnsi="Arial"/>
                <w:b/>
                <w:bCs/>
                <w:i w:val="false"/>
                <w:iCs w:val="false"/>
                <w:sz w:val="20"/>
                <w:szCs w:val="20"/>
              </w:rPr>
              <w:t xml:space="preserve">Interpretation</w:t>
            </w:r>
          </w:p>
        </w:tc>
      </w:tr>
      <w:tr>
        <w:tc>
          <w:tcPr>
            <w:tcW w:type="dxa" w:w="240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bCs/>
                <w:i w:val="false"/>
                <w:iCs w:val="false"/>
                <w:sz w:val="20"/>
                <w:szCs w:val="20"/>
              </w:rPr>
              <w:t xml:space="preserve">BASFI (0–10)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0.00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0.00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Floor</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val="false"/>
                <w:bCs w:val="false"/>
                <w:i w:val="false"/>
                <w:iCs w:val="false"/>
                <w:sz w:val="20"/>
                <w:szCs w:val="20"/>
              </w:rPr>
              <w:t xml:space="preserve">No functional limitation throughout (floor at M0; MCID not assessable)</w:t>
            </w:r>
          </w:p>
        </w:tc>
      </w:tr>
      <w:tr>
        <w:tc>
          <w:tcPr>
            <w:tcW w:type="dxa" w:w="240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bCs/>
                <w:i w:val="false"/>
                <w:iCs w:val="false"/>
                <w:sz w:val="20"/>
                <w:szCs w:val="20"/>
              </w:rPr>
              <w:t xml:space="preserve">BASDAI (6-item, paired n=22)</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0.00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0.00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Floor</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val="false"/>
                <w:bCs w:val="false"/>
                <w:i w:val="false"/>
                <w:iCs w:val="false"/>
                <w:sz w:val="20"/>
                <w:szCs w:val="20"/>
              </w:rPr>
              <w:t xml:space="preserve">No detectable disease activity (floor at M0; MCID not assessable)</w:t>
            </w:r>
          </w:p>
        </w:tc>
      </w:tr>
      <w:tr>
        <w:tc>
          <w:tcPr>
            <w:tcW w:type="dxa" w:w="240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bCs/>
                <w:i w:val="false"/>
                <w:iCs w:val="false"/>
                <w:sz w:val="20"/>
                <w:szCs w:val="20"/>
              </w:rPr>
              <w:t xml:space="preserve">VAS-pain (0–10)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Floor</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val="false"/>
                <w:bCs w:val="false"/>
                <w:i w:val="false"/>
                <w:iCs w:val="false"/>
                <w:sz w:val="20"/>
                <w:szCs w:val="20"/>
              </w:rPr>
              <w:t xml:space="preserve">No pain reported throughout</w:t>
            </w:r>
          </w:p>
        </w:tc>
      </w:tr>
      <w:tr>
        <w:tc>
          <w:tcPr>
            <w:tcW w:type="dxa" w:w="240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bCs/>
                <w:i w:val="false"/>
                <w:iCs w:val="false"/>
                <w:sz w:val="20"/>
                <w:szCs w:val="20"/>
              </w:rPr>
              <w:t xml:space="preserve">HAQ-DI (0–3)</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0.00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0.00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Floor</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val="false"/>
                <w:bCs w:val="false"/>
                <w:i w:val="false"/>
                <w:iCs w:val="false"/>
                <w:sz w:val="20"/>
                <w:szCs w:val="20"/>
              </w:rPr>
              <w:t xml:space="preserve">No disability throughout</w:t>
            </w:r>
          </w:p>
        </w:tc>
      </w:tr>
      <w:tr>
        <w:tc>
          <w:tcPr>
            <w:tcW w:type="dxa" w:w="240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bCs/>
                <w:i w:val="false"/>
                <w:iCs w:val="false"/>
                <w:sz w:val="20"/>
                <w:szCs w:val="20"/>
              </w:rPr>
              <w:t xml:space="preserve">EQ-5D-5L VAS (0–100)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90–100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80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Slight decrease</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val="false"/>
                <w:bCs w:val="false"/>
                <w:i w:val="false"/>
                <w:iCs w:val="false"/>
                <w:sz w:val="20"/>
                <w:szCs w:val="20"/>
              </w:rPr>
              <w:t xml:space="preserve">Fluctuation within high range</w:t>
            </w:r>
          </w:p>
        </w:tc>
      </w:tr>
      <w:tr>
        <w:tc>
          <w:tcPr>
            <w:tcW w:type="dxa" w:w="240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bCs/>
                <w:i w:val="false"/>
                <w:iCs w:val="false"/>
                <w:sz w:val="20"/>
                <w:szCs w:val="20"/>
              </w:rPr>
              <w:t xml:space="preserve">MEDAS (0–14, 6 evals)</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9–11</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9</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val="false"/>
                <w:bCs w:val="false"/>
                <w:i w:val="false"/>
                <w:iCs w:val="false"/>
                <w:sz w:val="20"/>
                <w:szCs w:val="20"/>
              </w:rPr>
              <w:t xml:space="preserve">Stable MEDIUM–HIGH adherence</w:t>
            </w:r>
          </w:p>
        </w:tc>
      </w:tr>
    </w:tbl>
    <w:p>
      <w:pPr>
        <w:spacing w:after="120" w:line="320"/>
        <w:jc w:val="both"/>
      </w:pPr>
      <w:r>
        <w:rPr>
          <w:rFonts w:ascii="Arial" w:cs="Arial" w:eastAsia="Arial" w:hAnsi="Arial"/>
          <w:sz w:val="22"/>
          <w:szCs w:val="22"/>
        </w:rPr>
        <w:t>Note: MI presents floor-level scores from M0 across all disease-specific instruments; the case documents patient-reported sustained functional remission rather than improvement, and MCID exceedance is not assessable in the absence of baseline limitation.</w:t>
      </w:r>
    </w:p>
    <w:p>
      <w:pPr>
        <w:pStyle w:val="Heading2"/>
        <w:spacing w:after="160" w:before="320" w:line="320"/>
      </w:pPr>
      <w:r>
        <w:rPr>
          <w:rFonts w:ascii="Arial" w:cs="Arial" w:eastAsia="Arial" w:hAnsi="Arial"/>
          <w:b/>
          <w:bCs/>
          <w:sz w:val="26"/>
          <w:szCs w:val="26"/>
        </w:rPr>
        <w:t xml:space="preserve">Medication evolution</w:t>
      </w:r>
    </w:p>
    <w:p>
      <w:pPr>
        <w:spacing w:after="120" w:line="320"/>
        <w:jc w:val="both"/>
      </w:pPr>
      <w:r>
        <w:rPr>
          <w:rFonts w:ascii="Arial" w:cs="Arial" w:eastAsia="Arial" w:hAnsi="Arial"/>
          <w:b/>
          <w:bCs/>
          <w:i w:val="false"/>
          <w:iCs w:val="false"/>
          <w:sz w:val="22"/>
          <w:szCs w:val="22"/>
        </w:rPr>
        <w:t xml:space="preserve">At dossier M0: </w:t>
      </w:r>
      <w:r>
        <w:rPr>
          <w:rFonts w:ascii="Arial" w:cs="Arial" w:eastAsia="Arial" w:hAnsi="Arial"/>
          <w:b w:val="false"/>
          <w:bCs w:val="false"/>
          <w:i w:val="false"/>
          <w:iCs w:val="false"/>
          <w:sz w:val="22"/>
          <w:szCs w:val="22"/>
        </w:rPr>
        <w:t xml:space="preserve">naproxen + cholecalciferol on demand. </w:t>
      </w:r>
      <w:r>
        <w:rPr>
          <w:rFonts w:ascii="Arial" w:cs="Arial" w:eastAsia="Arial" w:hAnsi="Arial"/>
          <w:b/>
          <w:bCs/>
          <w:i w:val="false"/>
          <w:iCs w:val="false"/>
          <w:sz w:val="22"/>
          <w:szCs w:val="22"/>
        </w:rPr>
        <w:t xml:space="preserve">Current: </w:t>
      </w:r>
      <w:r>
        <w:rPr>
          <w:rFonts w:ascii="Arial" w:cs="Arial" w:eastAsia="Arial" w:hAnsi="Arial"/>
          <w:b w:val="false"/>
          <w:bCs w:val="false"/>
          <w:i w:val="false"/>
          <w:iCs w:val="false"/>
          <w:sz w:val="22"/>
          <w:szCs w:val="22"/>
        </w:rPr>
        <w:t xml:space="preserve">NSAID on demand (rarely used).</w:t>
      </w:r>
    </w:p>
    <w:p>
      <w:pPr>
        <w:pStyle w:val="Heading2"/>
        <w:spacing w:after="160" w:before="320" w:line="320"/>
      </w:pPr>
      <w:r>
        <w:rPr>
          <w:rFonts w:ascii="Arial" w:cs="Arial" w:eastAsia="Arial" w:hAnsi="Arial"/>
          <w:b/>
          <w:bCs/>
          <w:sz w:val="26"/>
          <w:szCs w:val="26"/>
        </w:rPr>
        <w:t xml:space="preserve">Coping profile (CAD)</w:t>
      </w:r>
    </w:p>
    <w:p>
      <w:pPr>
        <w:spacing w:after="120" w:line="320"/>
        <w:jc w:val="both"/>
      </w:pPr>
      <w:r>
        <w:rPr>
          <w:rFonts w:ascii="Arial" w:cs="Arial" w:eastAsia="Arial" w:hAnsi="Arial"/>
          <w:sz w:val="22"/>
          <w:szCs w:val="22"/>
        </w:rPr>
        <w:t xml:space="preserve">Three CAD evaluations. Predominantly active profile in all three evaluations, with Religion minimum (1.0/5) sustained.</w:t>
      </w:r>
    </w:p>
    <w:p>
      <w:pPr>
        <w:pStyle w:val="Heading2"/>
        <w:spacing w:after="160" w:before="320" w:line="320"/>
      </w:pPr>
      <w:r>
        <w:rPr>
          <w:rFonts w:ascii="Arial" w:cs="Arial" w:eastAsia="Arial" w:hAnsi="Arial"/>
          <w:b/>
          <w:bCs/>
          <w:sz w:val="26"/>
          <w:szCs w:val="26"/>
        </w:rPr>
        <w:t xml:space="preserve">Daily self-monitoring</w:t>
      </w:r>
    </w:p>
    <w:p>
      <w:pPr>
        <w:spacing w:after="120" w:line="320"/>
        <w:jc w:val="both"/>
      </w:pPr>
      <w:r>
        <w:rPr>
          <w:rFonts w:ascii="Arial" w:cs="Arial" w:eastAsia="Arial" w:hAnsi="Arial"/>
          <w:b w:val="false"/>
          <w:bCs w:val="false"/>
          <w:i w:val="false"/>
          <w:iCs w:val="false"/>
          <w:sz w:val="22"/>
          <w:szCs w:val="22"/>
        </w:rPr>
        <w:t xml:space="preserve">Total records: 3,132 (highest in the series). Detected flares: 15. </w:t>
      </w:r>
      <w:r>
        <w:rPr>
          <w:rFonts w:ascii="Arial" w:cs="Arial" w:eastAsia="Arial" w:hAnsi="Arial"/>
          <w:b/>
          <w:bCs/>
          <w:i w:val="false"/>
          <w:iCs w:val="false"/>
          <w:sz w:val="22"/>
          <w:szCs w:val="22"/>
        </w:rPr>
        <w:t xml:space="preserve">Mean ratings (0–10): </w:t>
      </w:r>
      <w:r>
        <w:rPr>
          <w:rFonts w:ascii="Arial" w:cs="Arial" w:eastAsia="Arial" w:hAnsi="Arial"/>
          <w:b w:val="false"/>
          <w:bCs w:val="false"/>
          <w:i w:val="false"/>
          <w:iCs w:val="false"/>
          <w:sz w:val="22"/>
          <w:szCs w:val="22"/>
        </w:rPr>
        <w:t xml:space="preserve">pain 0.0; fatigue 0.0; stiffness 0.0; mood 6.9; anxiety 0.0.</w:t>
      </w:r>
    </w:p>
    <w:p>
      <w:pPr>
        <w:spacing w:after="120" w:line="320"/>
        <w:jc w:val="both"/>
      </w:pPr>
      <w:r>
        <w:rPr>
          <w:rFonts w:ascii="Arial" w:cs="Arial" w:eastAsia="Arial" w:hAnsi="Arial"/>
          <w:sz w:val="22"/>
          <w:szCs w:val="22"/>
        </w:rPr>
        <w:t>The very large number of records with all symptom dimensions at 0.0 rules out a systematic floor effect: the patient-reported sustained functional remission documented in this case appears genuine. The participant consistently describes his state in periodic narrative entries as "NORMAL" across all monitored dimensions.</w:t>
      </w:r>
    </w:p>
    <w:p>
      <w:pPr>
        <w:pStyle w:val="Heading2"/>
        <w:spacing w:after="160" w:before="320" w:line="320"/>
      </w:pPr>
      <w:r>
        <w:rPr>
          <w:rFonts w:ascii="Arial" w:cs="Arial" w:eastAsia="Arial" w:hAnsi="Arial"/>
          <w:b/>
          <w:bCs/>
          <w:sz w:val="26"/>
          <w:szCs w:val="26"/>
        </w:rPr>
        <w:t xml:space="preserve">Qualitative narrative</w:t>
      </w:r>
    </w:p>
    <w:p>
      <w:pPr>
        <w:spacing w:after="120" w:line="320"/>
        <w:jc w:val="both"/>
      </w:pPr>
      <w:r>
        <w:rPr>
          <w:rFonts w:ascii="Arial" w:cs="Arial" w:eastAsia="Arial" w:hAnsi="Arial"/>
          <w:sz w:val="22"/>
          <w:szCs w:val="22"/>
        </w:rPr>
        <w:t>MI illustrates the trajectory typology of sustained integration in its most complete form: an apparent patient-reported sustained functional remission documented over nearly ten years of systematic follow-up, supported by an exceptionally large body of self-monitoring data that rules out artefactual explanations. The case provides one of the most rigorous documentations of long-term consolidated outcomes within community-based rehabilitation that we are aware of.</w:t>
      </w:r>
    </w:p>
    <w:p>
      <w:r>
        <w:br w:type="page"/>
      </w:r>
    </w:p>
    <w:p>
      <w:pPr>
        <w:pStyle w:val="Heading1"/>
        <w:spacing w:after="180" w:before="360" w:line="320"/>
      </w:pPr>
      <w:r>
        <w:rPr>
          <w:rFonts w:ascii="Arial" w:cs="Arial" w:eastAsia="Arial" w:hAnsi="Arial"/>
          <w:b/>
          <w:bCs/>
          <w:sz w:val="28"/>
          <w:szCs w:val="28"/>
        </w:rPr>
        <w:t xml:space="preserve">S5. Case NA — Oscillating regulation in long-standing chronicity</w:t>
      </w:r>
    </w:p>
    <w:p>
      <w:pPr>
        <w:pStyle w:val="Heading2"/>
        <w:spacing w:after="160" w:before="320" w:line="320"/>
      </w:pPr>
      <w:r>
        <w:rPr>
          <w:rFonts w:ascii="Arial" w:cs="Arial" w:eastAsia="Arial" w:hAnsi="Arial"/>
          <w:b/>
          <w:bCs/>
          <w:sz w:val="26"/>
          <w:szCs w:val="26"/>
        </w:rPr>
        <w:t xml:space="preserve">Demographic and clinical background</w:t>
      </w:r>
    </w:p>
    <w:p>
      <w:pPr>
        <w:spacing w:after="120" w:line="320"/>
        <w:jc w:val="both"/>
      </w:pPr>
      <w:r>
        <w:rPr>
          <w:rFonts w:ascii="Arial" w:cs="Arial" w:eastAsia="Arial" w:hAnsi="Arial"/>
          <w:b/>
          <w:bCs/>
          <w:i w:val="0"/>
          <w:iCs w:val="false"/>
          <w:sz w:val="22"/>
          <w:szCs w:val="22"/>
        </w:rPr>
        <w:t>Sex: Male. Diagnosis: Ankylosing spondylitis, diagnosed in 1997 (17 years of disease evolution before M0). Site: Zaragoza group (one of two participants from the Zaragoza site in this series, alongside SA). Comorbidities: endocrine-related condition under specialist follow-up; lower-limb injury affecting weight-bearing function.</w:t>
      </w:r>
      <w:r>
        <w:rPr>
          <w:rFonts w:ascii="Arial" w:cs="Arial" w:eastAsia="Arial" w:hAnsi="Arial"/>
          <w:b w:val="false"/>
          <w:bCs w:val="false"/>
          <w:i w:val="false"/>
          <w:iCs w:val="false"/>
          <w:sz w:val="22"/>
          <w:szCs w:val="22"/>
        </w:rPr>
      </w:r>
      <w:r>
        <w:rPr>
          <w:rFonts w:ascii="Arial" w:cs="Arial" w:eastAsia="Arial" w:hAnsi="Arial"/>
          <w:b/>
          <w:bCs/>
          <w:i w:val="false"/>
          <w:iCs w:val="false"/>
          <w:sz w:val="22"/>
          <w:szCs w:val="22"/>
        </w:rPr>
      </w:r>
      <w:r>
        <w:rPr>
          <w:rFonts w:ascii="Arial" w:cs="Arial" w:eastAsia="Arial" w:hAnsi="Arial"/>
          <w:b w:val="false"/>
          <w:bCs w:val="false"/>
          <w:i w:val="false"/>
          <w:iCs w:val="false"/>
          <w:sz w:val="22"/>
          <w:szCs w:val="22"/>
        </w:rPr>
      </w:r>
      <w:r>
        <w:rPr>
          <w:rFonts w:ascii="Arial" w:cs="Arial" w:eastAsia="Arial" w:hAnsi="Arial"/>
          <w:b/>
          <w:bCs/>
          <w:i w:val="false"/>
          <w:iCs w:val="false"/>
          <w:sz w:val="22"/>
          <w:szCs w:val="22"/>
        </w:rPr>
      </w:r>
      <w:r>
        <w:rPr>
          <w:rFonts w:ascii="Arial" w:cs="Arial" w:eastAsia="Arial" w:hAnsi="Arial"/>
          <w:b w:val="false"/>
          <w:bCs w:val="false"/>
          <w:i w:val="false"/>
          <w:iCs w:val="false"/>
          <w:sz w:val="22"/>
          <w:szCs w:val="22"/>
        </w:rPr>
      </w:r>
      <w:r>
        <w:rPr>
          <w:rFonts w:ascii="Arial" w:cs="Arial" w:eastAsia="Arial" w:hAnsi="Arial"/>
          <w:b/>
          <w:bCs/>
          <w:i w:val="false"/>
          <w:iCs w:val="false"/>
          <w:sz w:val="22"/>
          <w:szCs w:val="22"/>
        </w:rPr>
      </w:r>
      <w:r>
        <w:rPr>
          <w:rFonts w:ascii="Arial" w:cs="Arial" w:eastAsia="Arial" w:hAnsi="Arial"/>
          <w:b w:val="false"/>
          <w:bCs w:val="false"/>
          <w:i w:val="false"/>
          <w:iCs w:val="false"/>
          <w:sz w:val="22"/>
          <w:szCs w:val="22"/>
        </w:rPr>
      </w:r>
    </w:p>
    <w:p>
      <w:pPr>
        <w:pStyle w:val="Heading2"/>
        <w:spacing w:after="160" w:before="320" w:line="320"/>
      </w:pPr>
      <w:r>
        <w:rPr>
          <w:rFonts w:ascii="Arial" w:cs="Arial" w:eastAsia="Arial" w:hAnsi="Arial"/>
          <w:b/>
          <w:bCs/>
          <w:sz w:val="26"/>
          <w:szCs w:val="26"/>
        </w:rPr>
        <w:t xml:space="preserve">Programme participation</w:t>
      </w:r>
    </w:p>
    <w:p>
      <w:pPr>
        <w:spacing w:after="120" w:line="320"/>
        <w:jc w:val="both"/>
      </w:pPr>
      <w:r>
        <w:rPr>
          <w:rFonts w:ascii="Arial" w:cs="Arial" w:eastAsia="Arial" w:hAnsi="Arial"/>
          <w:b/>
          <w:bCs/>
          <w:i w:val="0"/>
          <w:iCs w:val="false"/>
          <w:sz w:val="22"/>
          <w:szCs w:val="22"/>
        </w:rPr>
        <w:t>Follow-up: M0–M124 (≈10.3 years), with an initial 45-month gap in systematic data collection. Evaluations: 7 BASFI, 6 BASDAI. Engagement pattern: continuous over the full follow-up period, with variable intensity.</w:t>
      </w:r>
      <w:r>
        <w:rPr>
          <w:rFonts w:ascii="Arial" w:cs="Arial" w:eastAsia="Arial" w:hAnsi="Arial"/>
          <w:b w:val="false"/>
          <w:bCs w:val="false"/>
          <w:i w:val="false"/>
          <w:iCs w:val="false"/>
          <w:sz w:val="22"/>
          <w:szCs w:val="22"/>
        </w:rPr>
      </w:r>
      <w:r>
        <w:rPr>
          <w:rFonts w:ascii="Arial" w:cs="Arial" w:eastAsia="Arial" w:hAnsi="Arial"/>
          <w:b/>
          <w:bCs/>
          <w:i w:val="false"/>
          <w:iCs w:val="false"/>
          <w:sz w:val="22"/>
          <w:szCs w:val="22"/>
        </w:rPr>
      </w:r>
      <w:r>
        <w:rPr>
          <w:rFonts w:ascii="Arial" w:cs="Arial" w:eastAsia="Arial" w:hAnsi="Arial"/>
          <w:b w:val="false"/>
          <w:bCs w:val="false"/>
          <w:i w:val="false"/>
          <w:iCs w:val="false"/>
          <w:sz w:val="22"/>
          <w:szCs w:val="22"/>
        </w:rPr>
      </w:r>
      <w:r>
        <w:rPr>
          <w:rFonts w:ascii="Arial" w:cs="Arial" w:eastAsia="Arial" w:hAnsi="Arial"/>
          <w:b/>
          <w:bCs/>
          <w:i w:val="false"/>
          <w:iCs w:val="false"/>
          <w:sz w:val="22"/>
          <w:szCs w:val="22"/>
        </w:rPr>
      </w:r>
      <w:r>
        <w:rPr>
          <w:rFonts w:ascii="Arial" w:cs="Arial" w:eastAsia="Arial" w:hAnsi="Arial"/>
          <w:b w:val="false"/>
          <w:bCs w:val="false"/>
          <w:i w:val="false"/>
          <w:iCs w:val="false"/>
          <w:sz w:val="22"/>
          <w:szCs w:val="22"/>
        </w:rPr>
      </w:r>
    </w:p>
    <w:p>
      <w:pPr>
        <w:pStyle w:val="Heading2"/>
        <w:spacing w:after="160" w:before="320" w:line="320"/>
      </w:pPr>
      <w:r>
        <w:rPr>
          <w:rFonts w:ascii="Arial" w:cs="Arial" w:eastAsia="Arial" w:hAnsi="Arial"/>
          <w:b/>
          <w:bCs/>
          <w:sz w:val="26"/>
          <w:szCs w:val="26"/>
        </w:rPr>
        <w:t xml:space="preserve">Summary of changes (M0 → last evaluation)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1740"/>
        <w:gridCol w:w="1740"/>
        <w:gridCol w:w="1740"/>
        <w:gridCol w:w="1740"/>
      </w:tblGrid>
      <w:tr>
        <w:tc>
          <w:tcPr>
            <w:tcW w:type="dxa" w:w="2400"/>
            <w:tcBorders>
              <w:top w:val="single" w:color="888888" w:sz="4"/>
              <w:left w:val="single" w:color="888888" w:sz="4"/>
              <w:bottom w:val="single" w:color="888888" w:sz="4"/>
              <w:right w:val="single" w:color="888888" w:sz="4"/>
            </w:tcBorders>
            <w:shd w:fill="D9E2F3" w:val="clear"/>
            <w:tcMar>
              <w:top w:type="dxa" w:w="80"/>
              <w:left w:type="dxa" w:w="120"/>
              <w:bottom w:type="dxa" w:w="80"/>
              <w:right w:type="dxa" w:w="120"/>
            </w:tcMar>
            <w:vAlign w:val="center"/>
          </w:tcPr>
          <w:p>
            <w:pPr>
              <w:spacing w:after="0" w:line="280"/>
              <w:jc w:val="center"/>
            </w:pPr>
            <w:r>
              <w:rPr>
                <w:rFonts w:ascii="Arial" w:cs="Arial" w:eastAsia="Arial" w:hAnsi="Arial"/>
                <w:b/>
                <w:bCs/>
                <w:i w:val="false"/>
                <w:iCs w:val="false"/>
                <w:sz w:val="20"/>
                <w:szCs w:val="20"/>
              </w:rPr>
              <w:t xml:space="preserve">Instrument</w:t>
            </w:r>
          </w:p>
        </w:tc>
        <w:tc>
          <w:tcPr>
            <w:tcW w:type="dxa" w:w="1740"/>
            <w:tcBorders>
              <w:top w:val="single" w:color="888888" w:sz="4"/>
              <w:left w:val="single" w:color="888888" w:sz="4"/>
              <w:bottom w:val="single" w:color="888888" w:sz="4"/>
              <w:right w:val="single" w:color="888888" w:sz="4"/>
            </w:tcBorders>
            <w:shd w:fill="D9E2F3" w:val="clear"/>
            <w:tcMar>
              <w:top w:type="dxa" w:w="80"/>
              <w:left w:type="dxa" w:w="120"/>
              <w:bottom w:type="dxa" w:w="80"/>
              <w:right w:type="dxa" w:w="120"/>
            </w:tcMar>
            <w:vAlign w:val="center"/>
          </w:tcPr>
          <w:p>
            <w:pPr>
              <w:spacing w:after="0" w:line="280"/>
              <w:jc w:val="center"/>
            </w:pPr>
            <w:r>
              <w:rPr>
                <w:rFonts w:ascii="Arial" w:cs="Arial" w:eastAsia="Arial" w:hAnsi="Arial"/>
                <w:b/>
                <w:bCs/>
                <w:i w:val="false"/>
                <w:iCs w:val="false"/>
                <w:sz w:val="20"/>
                <w:szCs w:val="20"/>
              </w:rPr>
              <w:t xml:space="preserve">M0 value</w:t>
            </w:r>
          </w:p>
        </w:tc>
        <w:tc>
          <w:tcPr>
            <w:tcW w:type="dxa" w:w="1740"/>
            <w:tcBorders>
              <w:top w:val="single" w:color="888888" w:sz="4"/>
              <w:left w:val="single" w:color="888888" w:sz="4"/>
              <w:bottom w:val="single" w:color="888888" w:sz="4"/>
              <w:right w:val="single" w:color="888888" w:sz="4"/>
            </w:tcBorders>
            <w:shd w:fill="D9E2F3" w:val="clear"/>
            <w:tcMar>
              <w:top w:type="dxa" w:w="80"/>
              <w:left w:type="dxa" w:w="120"/>
              <w:bottom w:type="dxa" w:w="80"/>
              <w:right w:type="dxa" w:w="120"/>
            </w:tcMar>
            <w:vAlign w:val="center"/>
          </w:tcPr>
          <w:p>
            <w:pPr>
              <w:spacing w:after="0" w:line="280"/>
              <w:jc w:val="center"/>
            </w:pPr>
            <w:r>
              <w:rPr>
                <w:rFonts w:ascii="Arial" w:cs="Arial" w:eastAsia="Arial" w:hAnsi="Arial"/>
                <w:b/>
                <w:bCs/>
                <w:i w:val="false"/>
                <w:iCs w:val="false"/>
                <w:sz w:val="20"/>
                <w:szCs w:val="20"/>
              </w:rPr>
              <w:t xml:space="preserve">Last value</w:t>
            </w:r>
          </w:p>
        </w:tc>
        <w:tc>
          <w:tcPr>
            <w:tcW w:type="dxa" w:w="1740"/>
            <w:tcBorders>
              <w:top w:val="single" w:color="888888" w:sz="4"/>
              <w:left w:val="single" w:color="888888" w:sz="4"/>
              <w:bottom w:val="single" w:color="888888" w:sz="4"/>
              <w:right w:val="single" w:color="888888" w:sz="4"/>
            </w:tcBorders>
            <w:shd w:fill="D9E2F3" w:val="clear"/>
            <w:tcMar>
              <w:top w:type="dxa" w:w="80"/>
              <w:left w:type="dxa" w:w="120"/>
              <w:bottom w:type="dxa" w:w="80"/>
              <w:right w:type="dxa" w:w="120"/>
            </w:tcMar>
            <w:vAlign w:val="center"/>
          </w:tcPr>
          <w:p>
            <w:pPr>
              <w:spacing w:after="0" w:line="280"/>
              <w:jc w:val="center"/>
            </w:pPr>
            <w:r>
              <w:rPr>
                <w:rFonts w:ascii="Arial" w:cs="Arial" w:eastAsia="Arial" w:hAnsi="Arial"/>
                <w:b/>
                <w:bCs/>
                <w:i w:val="false"/>
                <w:iCs w:val="false"/>
                <w:sz w:val="20"/>
                <w:szCs w:val="20"/>
              </w:rPr>
              <w:t>Δ (abs.)</w:t>
            </w:r>
          </w:p>
        </w:tc>
        <w:tc>
          <w:tcPr>
            <w:tcW w:type="dxa" w:w="1740"/>
            <w:tcBorders>
              <w:top w:val="single" w:color="888888" w:sz="4"/>
              <w:left w:val="single" w:color="888888" w:sz="4"/>
              <w:bottom w:val="single" w:color="888888" w:sz="4"/>
              <w:right w:val="single" w:color="888888" w:sz="4"/>
            </w:tcBorders>
            <w:shd w:fill="D9E2F3" w:val="clear"/>
            <w:tcMar>
              <w:top w:type="dxa" w:w="80"/>
              <w:left w:type="dxa" w:w="120"/>
              <w:bottom w:type="dxa" w:w="80"/>
              <w:right w:type="dxa" w:w="120"/>
            </w:tcMar>
            <w:vAlign w:val="center"/>
          </w:tcPr>
          <w:p>
            <w:pPr>
              <w:spacing w:after="0" w:line="280"/>
              <w:jc w:val="center"/>
            </w:pPr>
            <w:r>
              <w:rPr>
                <w:rFonts w:ascii="Arial" w:cs="Arial" w:eastAsia="Arial" w:hAnsi="Arial"/>
                <w:b/>
                <w:bCs/>
                <w:i w:val="false"/>
                <w:iCs w:val="false"/>
                <w:sz w:val="20"/>
                <w:szCs w:val="20"/>
              </w:rPr>
              <w:t xml:space="preserve">Interpretation</w:t>
            </w:r>
          </w:p>
        </w:tc>
      </w:tr>
      <w:tr>
        <w:tc>
          <w:tcPr>
            <w:tcW w:type="dxa" w:w="240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bCs/>
                <w:i w:val="false"/>
                <w:iCs w:val="false"/>
                <w:sz w:val="20"/>
                <w:szCs w:val="20"/>
              </w:rPr>
              <w:t xml:space="preserve">BASFI (0–10)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6.90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3.30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−3.60 (&gt;&gt;MCID)</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val="false"/>
                <w:bCs w:val="false"/>
                <w:i w:val="false"/>
                <w:iCs w:val="false"/>
                <w:sz w:val="20"/>
                <w:szCs w:val="20"/>
              </w:rPr>
              <w:t xml:space="preserve">From MODERATE limitation to MILD</w:t>
            </w:r>
          </w:p>
        </w:tc>
      </w:tr>
      <w:tr>
        <w:tc>
          <w:tcPr>
            <w:tcW w:type="dxa" w:w="240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bCs/>
                <w:i w:val="false"/>
                <w:iCs w:val="false"/>
                <w:sz w:val="20"/>
                <w:szCs w:val="20"/>
              </w:rPr>
              <w:t xml:space="preserve">BASDAI (6-item, paired n=6)</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5.00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3.80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−1.20 (&gt;MCID)</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val="false"/>
                <w:bCs w:val="false"/>
                <w:i w:val="false"/>
                <w:iCs w:val="false"/>
                <w:sz w:val="20"/>
                <w:szCs w:val="20"/>
              </w:rPr>
              <w:t xml:space="preserve">From MODERATE to LOW–MODERATE (oscillating)</w:t>
            </w:r>
          </w:p>
        </w:tc>
      </w:tr>
      <w:tr>
        <w:tc>
          <w:tcPr>
            <w:tcW w:type="dxa" w:w="240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bCs/>
                <w:i w:val="false"/>
                <w:iCs w:val="false"/>
                <w:sz w:val="20"/>
                <w:szCs w:val="20"/>
              </w:rPr>
              <w:t xml:space="preserve">VAS-pain (0–10)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7</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3</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−4 (&gt;MCID)</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val="false"/>
                <w:bCs w:val="false"/>
                <w:i w:val="false"/>
                <w:iCs w:val="false"/>
                <w:sz w:val="20"/>
                <w:szCs w:val="20"/>
              </w:rPr>
              <w:t xml:space="preserve">Clinically meaningful reduction across the dossier</w:t>
            </w:r>
          </w:p>
        </w:tc>
      </w:tr>
      <w:tr>
        <w:tc>
          <w:tcPr>
            <w:tcW w:type="dxa" w:w="240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bCs/>
                <w:i w:val="false"/>
                <w:iCs w:val="false"/>
                <w:sz w:val="20"/>
                <w:szCs w:val="20"/>
              </w:rPr>
              <w:t xml:space="preserve">HAQ-DI (0–3)</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1.10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0.37</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−0.73 (&gt;MCID)</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val="false"/>
                <w:bCs w:val="false"/>
                <w:i w:val="false"/>
                <w:iCs w:val="false"/>
                <w:sz w:val="20"/>
                <w:szCs w:val="20"/>
              </w:rPr>
              <w:t xml:space="preserve">From MODERATE to MINIMAL disability</w:t>
            </w:r>
          </w:p>
        </w:tc>
      </w:tr>
      <w:tr>
        <w:tc>
          <w:tcPr>
            <w:tcW w:type="dxa" w:w="240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bCs/>
                <w:i w:val="false"/>
                <w:iCs w:val="false"/>
                <w:sz w:val="20"/>
                <w:szCs w:val="20"/>
              </w:rPr>
              <w:t xml:space="preserve">EQ-5D-5L VAS (0–100)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80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80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Stable</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val="false"/>
                <w:bCs w:val="false"/>
                <w:i w:val="false"/>
                <w:iCs w:val="false"/>
                <w:sz w:val="20"/>
                <w:szCs w:val="20"/>
              </w:rPr>
              <w:t xml:space="preserve">High self-rated health throughout, oscillating</w:t>
            </w:r>
          </w:p>
        </w:tc>
      </w:tr>
      <w:tr>
        <w:tc>
          <w:tcPr>
            <w:tcW w:type="dxa" w:w="240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bCs/>
                <w:i w:val="false"/>
                <w:iCs w:val="false"/>
                <w:sz w:val="20"/>
                <w:szCs w:val="20"/>
              </w:rPr>
              <w:t xml:space="preserve">MEDAS (0–14, 1 eval)</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10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val="false"/>
                <w:bCs w:val="false"/>
                <w:i w:val="false"/>
                <w:iCs w:val="false"/>
                <w:sz w:val="20"/>
                <w:szCs w:val="20"/>
              </w:rPr>
              <w:t xml:space="preserve">HIGH adherence (single evaluation)</w:t>
            </w:r>
          </w:p>
        </w:tc>
      </w:tr>
    </w:tbl>
    <w:p>
      <w:pPr>
        <w:spacing w:after="120" w:line="320"/>
        <w:jc w:val="both"/>
      </w:pPr>
      <w:r>
        <w:rPr>
          <w:rFonts w:ascii="Arial" w:cs="Arial" w:eastAsia="Arial" w:hAnsi="Arial"/>
          <w:sz w:val="22"/>
          <w:szCs w:val="22"/>
        </w:rPr>
        <w:t xml:space="preserve">Note: NA presents the only last BASDAI evaluation in the series approaching the threshold of MODERATE activity (3.80), suggesting a reactivation episode in the recent period. The reductions across BASFI, BASDAI, VAS-pain and HAQ-DI all exceed established MCID, configuring a clinically meaningful but moderate global improvement over 10 years of follow-up against a backdrop of long-standing disease (17 years of pre-M0 evolution).</w:t>
      </w:r>
    </w:p>
    <w:p>
      <w:pPr>
        <w:pStyle w:val="Heading2"/>
        <w:spacing w:after="160" w:before="320" w:line="320"/>
      </w:pPr>
      <w:r>
        <w:rPr>
          <w:rFonts w:ascii="Arial" w:cs="Arial" w:eastAsia="Arial" w:hAnsi="Arial"/>
          <w:b/>
          <w:bCs/>
          <w:sz w:val="26"/>
          <w:szCs w:val="26"/>
        </w:rPr>
        <w:t xml:space="preserve">Medication evolution</w:t>
      </w:r>
    </w:p>
    <w:p>
      <w:pPr>
        <w:spacing w:after="120" w:line="320"/>
        <w:jc w:val="both"/>
      </w:pPr>
      <w:r>
        <w:rPr>
          <w:rFonts w:ascii="Arial" w:cs="Arial" w:eastAsia="Arial" w:hAnsi="Arial"/>
          <w:b/>
          <w:bCs/>
          <w:i w:val="false"/>
          <w:iCs w:val="false"/>
          <w:sz w:val="22"/>
          <w:szCs w:val="22"/>
        </w:rPr>
        <w:t xml:space="preserve">At programme entry: </w:t>
      </w:r>
      <w:r>
        <w:rPr>
          <w:rFonts w:ascii="Arial" w:cs="Arial" w:eastAsia="Arial" w:hAnsi="Arial"/>
          <w:b w:val="false"/>
          <w:bCs w:val="false"/>
          <w:i w:val="false"/>
          <w:iCs w:val="false"/>
          <w:sz w:val="22"/>
          <w:szCs w:val="22"/>
        </w:rPr>
        <w:t xml:space="preserve">meloxicam / naproxen on demand. </w:t>
      </w:r>
      <w:r>
        <w:rPr>
          <w:rFonts w:ascii="Arial" w:cs="Arial" w:eastAsia="Arial" w:hAnsi="Arial"/>
          <w:b/>
          <w:bCs/>
          <w:i w:val="false"/>
          <w:iCs w:val="false"/>
          <w:sz w:val="22"/>
          <w:szCs w:val="22"/>
        </w:rPr>
        <w:t xml:space="preserve">Current: </w:t>
      </w:r>
      <w:r>
        <w:rPr>
          <w:rFonts w:ascii="Arial" w:cs="Arial" w:eastAsia="Arial" w:hAnsi="Arial"/>
          <w:b w:val="false"/>
          <w:bCs w:val="false"/>
          <w:i w:val="false"/>
          <w:iCs w:val="false"/>
          <w:sz w:val="22"/>
          <w:szCs w:val="22"/>
        </w:rPr>
        <w:t xml:space="preserve">etoricoxib on demand. NSAID use exclusively reactive over the full follow-up, with rotation of molecule.</w:t>
      </w:r>
    </w:p>
    <w:p>
      <w:pPr>
        <w:pStyle w:val="Heading2"/>
        <w:spacing w:after="160" w:before="320" w:line="320"/>
      </w:pPr>
      <w:r>
        <w:rPr>
          <w:rFonts w:ascii="Arial" w:cs="Arial" w:eastAsia="Arial" w:hAnsi="Arial"/>
          <w:b/>
          <w:bCs/>
          <w:sz w:val="26"/>
          <w:szCs w:val="26"/>
        </w:rPr>
        <w:t xml:space="preserve">Coping profile (CAD)</w:t>
      </w:r>
    </w:p>
    <w:p>
      <w:pPr>
        <w:spacing w:after="120" w:line="320"/>
        <w:jc w:val="both"/>
      </w:pPr>
      <w:r>
        <w:rPr>
          <w:rFonts w:ascii="Arial" w:cs="Arial" w:eastAsia="Arial" w:hAnsi="Arial"/>
          <w:sz w:val="22"/>
          <w:szCs w:val="22"/>
        </w:rPr>
        <w:t xml:space="preserve">Two CAD evaluations. Active profile in both, with Religion minimum (1.0/5) and predominance of Information Seeking, Distraction and moderate Catharsis. Active coping is sustained despite 17 years of disease evolution prior to M0.</w:t>
      </w:r>
    </w:p>
    <w:p>
      <w:pPr>
        <w:pStyle w:val="Heading2"/>
        <w:spacing w:after="160" w:before="320" w:line="320"/>
      </w:pPr>
      <w:r>
        <w:rPr>
          <w:rFonts w:ascii="Arial" w:cs="Arial" w:eastAsia="Arial" w:hAnsi="Arial"/>
          <w:b/>
          <w:bCs/>
          <w:sz w:val="26"/>
          <w:szCs w:val="26"/>
        </w:rPr>
        <w:t xml:space="preserve">Daily self-monitoring</w:t>
      </w:r>
    </w:p>
    <w:p>
      <w:pPr>
        <w:spacing w:after="120" w:line="320"/>
        <w:jc w:val="both"/>
      </w:pPr>
      <w:r>
        <w:rPr>
          <w:rFonts w:ascii="Arial" w:cs="Arial" w:eastAsia="Arial" w:hAnsi="Arial"/>
          <w:b w:val="false"/>
          <w:bCs w:val="false"/>
          <w:i w:val="false"/>
          <w:iCs w:val="false"/>
          <w:sz w:val="22"/>
          <w:szCs w:val="22"/>
        </w:rPr>
        <w:t xml:space="preserve">Total records: 746. Detected flares: 149 (the highest in the series). </w:t>
      </w:r>
      <w:r>
        <w:rPr>
          <w:rFonts w:ascii="Arial" w:cs="Arial" w:eastAsia="Arial" w:hAnsi="Arial"/>
          <w:b/>
          <w:bCs/>
          <w:i w:val="false"/>
          <w:iCs w:val="false"/>
          <w:sz w:val="22"/>
          <w:szCs w:val="22"/>
        </w:rPr>
        <w:t xml:space="preserve">Mean ratings (0–10): </w:t>
      </w:r>
      <w:r>
        <w:rPr>
          <w:rFonts w:ascii="Arial" w:cs="Arial" w:eastAsia="Arial" w:hAnsi="Arial"/>
          <w:b w:val="false"/>
          <w:bCs w:val="false"/>
          <w:i w:val="false"/>
          <w:iCs w:val="false"/>
          <w:sz w:val="22"/>
          <w:szCs w:val="22"/>
        </w:rPr>
        <w:t xml:space="preserve">pain 2.7; fatigue 3.0; stiffness 3.2; mood 7.0; anxiety 3.4.</w:t>
      </w:r>
    </w:p>
    <w:p>
      <w:pPr>
        <w:spacing w:after="120" w:line="320"/>
        <w:jc w:val="both"/>
      </w:pPr>
      <w:r>
        <w:rPr>
          <w:rFonts w:ascii="Arial" w:cs="Arial" w:eastAsia="Arial" w:hAnsi="Arial"/>
          <w:sz w:val="22"/>
          <w:szCs w:val="22"/>
        </w:rPr>
        <w:t xml:space="preserve">The 149 detected flares contrast with the moderate mean values, revealing substantial within-participant variability that the periodic dossier could not capture. The self-monitoring data converge with the periodic VAS-pain values and the overall pattern of oscillating regulation in long-standing chronicity.</w:t>
      </w:r>
    </w:p>
    <w:p>
      <w:pPr>
        <w:pStyle w:val="Heading2"/>
        <w:spacing w:after="160" w:before="320" w:line="320"/>
      </w:pPr>
      <w:r>
        <w:rPr>
          <w:rFonts w:ascii="Arial" w:cs="Arial" w:eastAsia="Arial" w:hAnsi="Arial"/>
          <w:b/>
          <w:bCs/>
          <w:sz w:val="26"/>
          <w:szCs w:val="26"/>
        </w:rPr>
        <w:t xml:space="preserve">Qualitative narrative</w:t>
      </w:r>
    </w:p>
    <w:p>
      <w:pPr>
        <w:spacing w:after="120" w:line="320"/>
        <w:jc w:val="both"/>
      </w:pPr>
      <w:r>
        <w:rPr>
          <w:rFonts w:ascii="Arial" w:cs="Arial" w:eastAsia="Arial" w:hAnsi="Arial"/>
          <w:sz w:val="22"/>
          <w:szCs w:val="22"/>
        </w:rPr>
        <w:t>NA illustrates the trajectory typology of oscillating regulation in long-standing chronicity. Global improvement from M0 is clinically meaningful but moderate across all instruments (BASFI absolute reduction of 3.60 points; BASDAI 1.20 points; VAS-pain 4 points; HAQ-DI 0.73 points), all exceeding established MCID, and the trajectory is non-linear with documented relapses captured in the 149 self-monitored flares. NA is the only case whose last BASDAI evaluation approaches the threshold of MODERATE activity (3.80 in the standard six-item BASDAI), suggesting a reactivation episode in the recent period. As one of two participants from the Zaragoza site in the main analysis, NA's case, alongside SA's, illustrates programme operation in the Zaragoza site (n = 2); this constitutes initial feasibility data outside the Huesca operational base but not evidence of programme transferability, which would require controlled multi-site evaluation: the trajectory is identifiable within the same model used in Huesca.</w:t>
      </w:r>
    </w:p>
    <w:p>
      <w:pPr>
        <w:spacing w:after="120" w:line="320"/>
        <w:jc w:val="both"/>
      </w:pPr>
      <w:r>
        <w:rPr>
          <w:rFonts w:ascii="Arial" w:cs="Arial" w:eastAsia="Arial" w:hAnsi="Arial"/>
          <w:sz w:val="22"/>
          <w:szCs w:val="22"/>
        </w:rPr>
        <w:t xml:space="preserve">The pattern of oscillating regulation observed in NA, with documented reactivation episodes coexisting with sustained programme engagement, is informative for clinical follow-up in long-standing chronicity: clinical maintenance is compatible with episodic symptomatic variability and should not be interpreted as a failure of self-management.</w:t>
      </w:r>
    </w:p>
    <w:p>
      <w:r>
        <w:br w:type="page"/>
      </w:r>
    </w:p>
    <w:p>
      <w:pPr>
        <w:pStyle w:val="Heading1"/>
        <w:spacing w:after="180" w:before="360" w:line="320"/>
      </w:pPr>
      <w:r>
        <w:rPr>
          <w:rFonts w:ascii="Arial" w:cs="Arial" w:eastAsia="Arial" w:hAnsi="Arial"/>
          <w:b/>
          <w:bCs/>
          <w:sz w:val="28"/>
          <w:szCs w:val="28"/>
        </w:rPr>
        <w:t xml:space="preserve">S6. Case SA — Early regulation without biologic; successful exit via medical discharge</w:t>
      </w:r>
    </w:p>
    <w:p>
      <w:pPr>
        <w:pStyle w:val="Heading2"/>
        <w:spacing w:after="160" w:before="320" w:line="320"/>
      </w:pPr>
      <w:r>
        <w:rPr>
          <w:rFonts w:ascii="Arial" w:cs="Arial" w:eastAsia="Arial" w:hAnsi="Arial"/>
          <w:b/>
          <w:bCs/>
          <w:sz w:val="26"/>
          <w:szCs w:val="26"/>
        </w:rPr>
        <w:t xml:space="preserve">Demographic and clinical background</w:t>
      </w:r>
    </w:p>
    <w:p>
      <w:pPr>
        <w:spacing w:after="120" w:line="320"/>
        <w:jc w:val="both"/>
      </w:pPr>
      <w:r>
        <w:rPr>
          <w:rFonts w:ascii="Arial" w:cs="Arial" w:eastAsia="Arial" w:hAnsi="Arial"/>
          <w:b/>
          <w:bCs/>
          <w:i w:val="0"/>
          <w:iCs w:val="false"/>
          <w:sz w:val="22"/>
          <w:szCs w:val="22"/>
        </w:rPr>
        <w:t>Sex: Female. Age at diagnosis: 20 years. Diagnosis: Non-radiographic axial spondyloarthritis (nr-axSpA), HLA-B27 negative, sacroiliitis grade 1 by imaging, with probable left sacroiliac oedema on magnetic resonance and incipient sacroiliitis features (radiology report). Site: Zaragoza group. Specialist follow-up: Rheumatology (specialist consultation). Family history: first-degree relative with rheumatic disease. The classification of nr-axSpA in HLA-B27 negative cases with grade 1 sacroiliitis carries recognised inherent diagnostic uncertainty within the ASAS framework. SA's medical discharge following demonstrable improvement could therefore reflect genuine clinical remission of an early-stage axSpA, response to the multicomponent intervention, or partial reclassification of an initially uncertain diagnosis; the case is presented as illustrative of early intervention in the spectrum of axSpA presentations, not as evidence of any specific mechanism.</w:t>
      </w:r>
      <w:r>
        <w:rPr>
          <w:rFonts w:ascii="Arial" w:cs="Arial" w:eastAsia="Arial" w:hAnsi="Arial"/>
          <w:b w:val="false"/>
          <w:bCs w:val="false"/>
          <w:i w:val="false"/>
          <w:iCs w:val="false"/>
          <w:sz w:val="22"/>
          <w:szCs w:val="22"/>
        </w:rPr>
      </w:r>
      <w:r>
        <w:rPr>
          <w:rFonts w:ascii="Arial" w:cs="Arial" w:eastAsia="Arial" w:hAnsi="Arial"/>
          <w:b/>
          <w:bCs/>
          <w:i w:val="false"/>
          <w:iCs w:val="false"/>
          <w:sz w:val="22"/>
          <w:szCs w:val="22"/>
        </w:rPr>
      </w:r>
      <w:r>
        <w:rPr>
          <w:rFonts w:ascii="Arial" w:cs="Arial" w:eastAsia="Arial" w:hAnsi="Arial"/>
          <w:b w:val="false"/>
          <w:bCs w:val="false"/>
          <w:i w:val="false"/>
          <w:iCs w:val="false"/>
          <w:sz w:val="22"/>
          <w:szCs w:val="22"/>
        </w:rPr>
      </w:r>
      <w:r>
        <w:rPr>
          <w:rFonts w:ascii="Arial" w:cs="Arial" w:eastAsia="Arial" w:hAnsi="Arial"/>
          <w:b/>
          <w:bCs/>
          <w:i w:val="false"/>
          <w:iCs w:val="false"/>
          <w:sz w:val="22"/>
          <w:szCs w:val="22"/>
        </w:rPr>
      </w:r>
      <w:r>
        <w:rPr>
          <w:rFonts w:ascii="Arial" w:cs="Arial" w:eastAsia="Arial" w:hAnsi="Arial"/>
          <w:b w:val="false"/>
          <w:bCs w:val="false"/>
          <w:i w:val="false"/>
          <w:iCs w:val="false"/>
          <w:sz w:val="22"/>
          <w:szCs w:val="22"/>
        </w:rPr>
      </w:r>
      <w:r>
        <w:rPr>
          <w:rFonts w:ascii="Arial" w:cs="Arial" w:eastAsia="Arial" w:hAnsi="Arial"/>
          <w:b/>
          <w:bCs/>
          <w:i w:val="false"/>
          <w:iCs w:val="false"/>
          <w:sz w:val="22"/>
          <w:szCs w:val="22"/>
        </w:rPr>
      </w:r>
      <w:r>
        <w:rPr>
          <w:rFonts w:ascii="Arial" w:cs="Arial" w:eastAsia="Arial" w:hAnsi="Arial"/>
          <w:b w:val="false"/>
          <w:bCs w:val="false"/>
          <w:i w:val="false"/>
          <w:iCs w:val="false"/>
          <w:sz w:val="22"/>
          <w:szCs w:val="22"/>
        </w:rPr>
      </w:r>
      <w:r>
        <w:rPr>
          <w:rFonts w:ascii="Arial" w:cs="Arial" w:eastAsia="Arial" w:hAnsi="Arial"/>
          <w:b/>
          <w:bCs/>
          <w:i w:val="false"/>
          <w:iCs w:val="false"/>
          <w:sz w:val="22"/>
          <w:szCs w:val="22"/>
        </w:rPr>
      </w:r>
      <w:r>
        <w:rPr>
          <w:rFonts w:ascii="Arial" w:cs="Arial" w:eastAsia="Arial" w:hAnsi="Arial"/>
          <w:b w:val="false"/>
          <w:bCs w:val="false"/>
          <w:i w:val="false"/>
          <w:iCs w:val="false"/>
          <w:sz w:val="22"/>
          <w:szCs w:val="22"/>
        </w:rPr>
      </w:r>
      <w:r>
        <w:rPr>
          <w:rFonts w:ascii="Arial" w:cs="Arial" w:eastAsia="Arial" w:hAnsi="Arial"/>
          <w:b/>
          <w:bCs/>
          <w:i w:val="false"/>
          <w:iCs w:val="false"/>
          <w:sz w:val="22"/>
          <w:szCs w:val="22"/>
        </w:rPr>
      </w:r>
      <w:r>
        <w:rPr>
          <w:rFonts w:ascii="Arial" w:cs="Arial" w:eastAsia="Arial" w:hAnsi="Arial"/>
          <w:b w:val="false"/>
          <w:bCs w:val="false"/>
          <w:i w:val="false"/>
          <w:iCs w:val="false"/>
          <w:sz w:val="22"/>
          <w:szCs w:val="22"/>
        </w:rPr>
      </w:r>
    </w:p>
    <w:p>
      <w:pPr>
        <w:pStyle w:val="Heading2"/>
        <w:spacing w:after="160" w:before="320" w:line="320"/>
      </w:pPr>
      <w:r>
        <w:rPr>
          <w:rFonts w:ascii="Arial" w:cs="Arial" w:eastAsia="Arial" w:hAnsi="Arial"/>
          <w:b/>
          <w:bCs/>
          <w:sz w:val="26"/>
          <w:szCs w:val="26"/>
        </w:rPr>
        <w:t xml:space="preserve">Programme participation</w:t>
      </w:r>
    </w:p>
    <w:p>
      <w:pPr>
        <w:spacing w:after="120" w:line="320"/>
        <w:jc w:val="both"/>
      </w:pPr>
      <w:r>
        <w:rPr>
          <w:rFonts w:ascii="Arial" w:cs="Arial" w:eastAsia="Arial" w:hAnsi="Arial"/>
          <w:b/>
          <w:bCs/>
          <w:i w:val="0"/>
          <w:iCs w:val="false"/>
          <w:sz w:val="22"/>
          <w:szCs w:val="22"/>
        </w:rPr>
        <w:t>Programme entry: shortly after diagnosis (May 2016); ARPER engagement initiated June 2016. Dossier follow-up: M0 (October 2016) to M23 (September–November 2018). Evaluations: 3 BASFI, 3 BASDAI, 3 HAQ, 2 EQ-5D. Engagement pattern: continuous attendance during active engagement; medical discharge by the consulting rheumatologist following demonstrable improvement led to natural completion of active programme participation. Recent contact: recent re-engagement to share her trajectory with the active Zaragoza group as an experience-witness session.</w:t>
      </w:r>
      <w:r>
        <w:rPr>
          <w:rFonts w:ascii="Arial" w:cs="Arial" w:eastAsia="Arial" w:hAnsi="Arial"/>
          <w:b w:val="false"/>
          <w:bCs w:val="false"/>
          <w:i w:val="false"/>
          <w:iCs w:val="false"/>
          <w:sz w:val="22"/>
          <w:szCs w:val="22"/>
        </w:rPr>
      </w:r>
      <w:r>
        <w:rPr>
          <w:rFonts w:ascii="Arial" w:cs="Arial" w:eastAsia="Arial" w:hAnsi="Arial"/>
          <w:b/>
          <w:bCs/>
          <w:i w:val="false"/>
          <w:iCs w:val="false"/>
          <w:sz w:val="22"/>
          <w:szCs w:val="22"/>
        </w:rPr>
      </w:r>
      <w:r>
        <w:rPr>
          <w:rFonts w:ascii="Arial" w:cs="Arial" w:eastAsia="Arial" w:hAnsi="Arial"/>
          <w:b w:val="false"/>
          <w:bCs w:val="false"/>
          <w:i w:val="false"/>
          <w:iCs w:val="false"/>
          <w:sz w:val="22"/>
          <w:szCs w:val="22"/>
        </w:rPr>
      </w:r>
      <w:r>
        <w:rPr>
          <w:rFonts w:ascii="Arial" w:cs="Arial" w:eastAsia="Arial" w:hAnsi="Arial"/>
          <w:b/>
          <w:bCs/>
          <w:i w:val="false"/>
          <w:iCs w:val="false"/>
          <w:sz w:val="22"/>
          <w:szCs w:val="22"/>
        </w:rPr>
      </w:r>
      <w:r>
        <w:rPr>
          <w:rFonts w:ascii="Arial" w:cs="Arial" w:eastAsia="Arial" w:hAnsi="Arial"/>
          <w:b w:val="false"/>
          <w:bCs w:val="false"/>
          <w:i w:val="false"/>
          <w:iCs w:val="false"/>
          <w:sz w:val="22"/>
          <w:szCs w:val="22"/>
        </w:rPr>
      </w:r>
      <w:r>
        <w:rPr>
          <w:rFonts w:ascii="Arial" w:cs="Arial" w:eastAsia="Arial" w:hAnsi="Arial"/>
          <w:b/>
          <w:bCs/>
          <w:i w:val="false"/>
          <w:iCs w:val="false"/>
          <w:sz w:val="22"/>
          <w:szCs w:val="22"/>
        </w:rPr>
      </w:r>
      <w:r>
        <w:rPr>
          <w:rFonts w:ascii="Arial" w:cs="Arial" w:eastAsia="Arial" w:hAnsi="Arial"/>
          <w:b w:val="false"/>
          <w:bCs w:val="false"/>
          <w:i w:val="false"/>
          <w:iCs w:val="false"/>
          <w:sz w:val="22"/>
          <w:szCs w:val="22"/>
        </w:rPr>
      </w:r>
      <w:r>
        <w:rPr>
          <w:rFonts w:ascii="Arial" w:cs="Arial" w:eastAsia="Arial" w:hAnsi="Arial"/>
          <w:b/>
          <w:bCs/>
          <w:i w:val="false"/>
          <w:iCs w:val="false"/>
          <w:sz w:val="22"/>
          <w:szCs w:val="22"/>
        </w:rPr>
      </w:r>
      <w:r>
        <w:rPr>
          <w:rFonts w:ascii="Arial" w:cs="Arial" w:eastAsia="Arial" w:hAnsi="Arial"/>
          <w:b w:val="false"/>
          <w:bCs w:val="false"/>
          <w:i w:val="false"/>
          <w:iCs w:val="false"/>
          <w:sz w:val="22"/>
          <w:szCs w:val="22"/>
        </w:rPr>
      </w:r>
    </w:p>
    <w:p>
      <w:pPr>
        <w:pStyle w:val="Heading2"/>
        <w:spacing w:after="160" w:before="320" w:line="320"/>
      </w:pPr>
      <w:r>
        <w:rPr>
          <w:rFonts w:ascii="Arial" w:cs="Arial" w:eastAsia="Arial" w:hAnsi="Arial"/>
          <w:b/>
          <w:bCs/>
          <w:sz w:val="26"/>
          <w:szCs w:val="26"/>
        </w:rPr>
        <w:t xml:space="preserve">Summary of changes (M0 → last evaluation)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1740"/>
        <w:gridCol w:w="1740"/>
        <w:gridCol w:w="1740"/>
        <w:gridCol w:w="1740"/>
      </w:tblGrid>
      <w:tr>
        <w:tc>
          <w:tcPr>
            <w:tcW w:type="dxa" w:w="2400"/>
            <w:tcBorders>
              <w:top w:val="single" w:color="888888" w:sz="4"/>
              <w:left w:val="single" w:color="888888" w:sz="4"/>
              <w:bottom w:val="single" w:color="888888" w:sz="4"/>
              <w:right w:val="single" w:color="888888" w:sz="4"/>
            </w:tcBorders>
            <w:shd w:fill="D9E2F3" w:val="clear"/>
            <w:tcMar>
              <w:top w:type="dxa" w:w="80"/>
              <w:left w:type="dxa" w:w="120"/>
              <w:bottom w:type="dxa" w:w="80"/>
              <w:right w:type="dxa" w:w="120"/>
            </w:tcMar>
            <w:vAlign w:val="center"/>
          </w:tcPr>
          <w:p>
            <w:pPr>
              <w:spacing w:after="0" w:line="280"/>
              <w:jc w:val="center"/>
            </w:pPr>
            <w:r>
              <w:rPr>
                <w:rFonts w:ascii="Arial" w:cs="Arial" w:eastAsia="Arial" w:hAnsi="Arial"/>
                <w:b/>
                <w:bCs/>
                <w:i w:val="false"/>
                <w:iCs w:val="false"/>
                <w:sz w:val="20"/>
                <w:szCs w:val="20"/>
              </w:rPr>
              <w:t xml:space="preserve">Instrument</w:t>
            </w:r>
          </w:p>
        </w:tc>
        <w:tc>
          <w:tcPr>
            <w:tcW w:type="dxa" w:w="1740"/>
            <w:tcBorders>
              <w:top w:val="single" w:color="888888" w:sz="4"/>
              <w:left w:val="single" w:color="888888" w:sz="4"/>
              <w:bottom w:val="single" w:color="888888" w:sz="4"/>
              <w:right w:val="single" w:color="888888" w:sz="4"/>
            </w:tcBorders>
            <w:shd w:fill="D9E2F3" w:val="clear"/>
            <w:tcMar>
              <w:top w:type="dxa" w:w="80"/>
              <w:left w:type="dxa" w:w="120"/>
              <w:bottom w:type="dxa" w:w="80"/>
              <w:right w:type="dxa" w:w="120"/>
            </w:tcMar>
            <w:vAlign w:val="center"/>
          </w:tcPr>
          <w:p>
            <w:pPr>
              <w:spacing w:after="0" w:line="280"/>
              <w:jc w:val="center"/>
            </w:pPr>
            <w:r>
              <w:rPr>
                <w:rFonts w:ascii="Arial" w:cs="Arial" w:eastAsia="Arial" w:hAnsi="Arial"/>
                <w:b/>
                <w:bCs/>
                <w:i w:val="false"/>
                <w:iCs w:val="false"/>
                <w:sz w:val="20"/>
                <w:szCs w:val="20"/>
              </w:rPr>
              <w:t xml:space="preserve">M0 value</w:t>
            </w:r>
          </w:p>
        </w:tc>
        <w:tc>
          <w:tcPr>
            <w:tcW w:type="dxa" w:w="1740"/>
            <w:tcBorders>
              <w:top w:val="single" w:color="888888" w:sz="4"/>
              <w:left w:val="single" w:color="888888" w:sz="4"/>
              <w:bottom w:val="single" w:color="888888" w:sz="4"/>
              <w:right w:val="single" w:color="888888" w:sz="4"/>
            </w:tcBorders>
            <w:shd w:fill="D9E2F3" w:val="clear"/>
            <w:tcMar>
              <w:top w:type="dxa" w:w="80"/>
              <w:left w:type="dxa" w:w="120"/>
              <w:bottom w:type="dxa" w:w="80"/>
              <w:right w:type="dxa" w:w="120"/>
            </w:tcMar>
            <w:vAlign w:val="center"/>
          </w:tcPr>
          <w:p>
            <w:pPr>
              <w:spacing w:after="0" w:line="280"/>
              <w:jc w:val="center"/>
            </w:pPr>
            <w:r>
              <w:rPr>
                <w:rFonts w:ascii="Arial" w:cs="Arial" w:eastAsia="Arial" w:hAnsi="Arial"/>
                <w:b/>
                <w:bCs/>
                <w:i w:val="false"/>
                <w:iCs w:val="false"/>
                <w:sz w:val="20"/>
                <w:szCs w:val="20"/>
              </w:rPr>
              <w:t xml:space="preserve">Last value</w:t>
            </w:r>
          </w:p>
        </w:tc>
        <w:tc>
          <w:tcPr>
            <w:tcW w:type="dxa" w:w="1740"/>
            <w:tcBorders>
              <w:top w:val="single" w:color="888888" w:sz="4"/>
              <w:left w:val="single" w:color="888888" w:sz="4"/>
              <w:bottom w:val="single" w:color="888888" w:sz="4"/>
              <w:right w:val="single" w:color="888888" w:sz="4"/>
            </w:tcBorders>
            <w:shd w:fill="D9E2F3" w:val="clear"/>
            <w:tcMar>
              <w:top w:type="dxa" w:w="80"/>
              <w:left w:type="dxa" w:w="120"/>
              <w:bottom w:type="dxa" w:w="80"/>
              <w:right w:type="dxa" w:w="120"/>
            </w:tcMar>
            <w:vAlign w:val="center"/>
          </w:tcPr>
          <w:p>
            <w:pPr>
              <w:spacing w:after="0" w:line="280"/>
              <w:jc w:val="center"/>
            </w:pPr>
            <w:r>
              <w:rPr>
                <w:rFonts w:ascii="Arial" w:cs="Arial" w:eastAsia="Arial" w:hAnsi="Arial"/>
                <w:b/>
                <w:bCs/>
                <w:i w:val="false"/>
                <w:iCs w:val="false"/>
                <w:sz w:val="20"/>
                <w:szCs w:val="20"/>
              </w:rPr>
              <w:t>Δ (abs.)</w:t>
            </w:r>
          </w:p>
        </w:tc>
        <w:tc>
          <w:tcPr>
            <w:tcW w:type="dxa" w:w="1740"/>
            <w:tcBorders>
              <w:top w:val="single" w:color="888888" w:sz="4"/>
              <w:left w:val="single" w:color="888888" w:sz="4"/>
              <w:bottom w:val="single" w:color="888888" w:sz="4"/>
              <w:right w:val="single" w:color="888888" w:sz="4"/>
            </w:tcBorders>
            <w:shd w:fill="D9E2F3" w:val="clear"/>
            <w:tcMar>
              <w:top w:type="dxa" w:w="80"/>
              <w:left w:type="dxa" w:w="120"/>
              <w:bottom w:type="dxa" w:w="80"/>
              <w:right w:type="dxa" w:w="120"/>
            </w:tcMar>
            <w:vAlign w:val="center"/>
          </w:tcPr>
          <w:p>
            <w:pPr>
              <w:spacing w:after="0" w:line="280"/>
              <w:jc w:val="center"/>
            </w:pPr>
            <w:r>
              <w:rPr>
                <w:rFonts w:ascii="Arial" w:cs="Arial" w:eastAsia="Arial" w:hAnsi="Arial"/>
                <w:b/>
                <w:bCs/>
                <w:i w:val="false"/>
                <w:iCs w:val="false"/>
                <w:sz w:val="20"/>
                <w:szCs w:val="20"/>
              </w:rPr>
              <w:t xml:space="preserve">Interpretation</w:t>
            </w:r>
          </w:p>
        </w:tc>
      </w:tr>
      <w:tr>
        <w:tc>
          <w:tcPr>
            <w:tcW w:type="dxa" w:w="240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bCs/>
                <w:i w:val="false"/>
                <w:iCs w:val="false"/>
                <w:sz w:val="20"/>
                <w:szCs w:val="20"/>
              </w:rPr>
              <w:t xml:space="preserve">BASFI (0–10)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0.60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0.80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+0.20 (stable GOOD)</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val="false"/>
                <w:bCs w:val="false"/>
                <w:i w:val="false"/>
                <w:iCs w:val="false"/>
                <w:sz w:val="20"/>
                <w:szCs w:val="20"/>
              </w:rPr>
              <w:t xml:space="preserve">Oscillation within GOOD range; no functional limitation</w:t>
            </w:r>
          </w:p>
        </w:tc>
      </w:tr>
      <w:tr>
        <w:tc>
          <w:tcPr>
            <w:tcW w:type="dxa" w:w="240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bCs/>
                <w:i w:val="false"/>
                <w:iCs w:val="false"/>
                <w:sz w:val="20"/>
                <w:szCs w:val="20"/>
              </w:rPr>
              <w:t xml:space="preserve">BASDAI (6-item, paired n=3)</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4.50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2.60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−1.90 (&gt;MCID)</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val="false"/>
                <w:bCs w:val="false"/>
                <w:i w:val="false"/>
                <w:iCs w:val="false"/>
                <w:sz w:val="20"/>
                <w:szCs w:val="20"/>
              </w:rPr>
              <w:t xml:space="preserve">From MODERATE to LOW activity</w:t>
            </w:r>
          </w:p>
        </w:tc>
      </w:tr>
      <w:tr>
        <w:tc>
          <w:tcPr>
            <w:tcW w:type="dxa" w:w="240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bCs/>
                <w:i w:val="false"/>
                <w:iCs w:val="false"/>
                <w:sz w:val="20"/>
                <w:szCs w:val="20"/>
              </w:rPr>
              <w:t xml:space="preserve">VAS-pain (0–10)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9</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1</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−8 (&gt;&gt;MCID)</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val="false"/>
                <w:bCs w:val="false"/>
                <w:i w:val="false"/>
                <w:iCs w:val="false"/>
                <w:sz w:val="20"/>
                <w:szCs w:val="20"/>
              </w:rPr>
              <w:t xml:space="preserve">Largest VAS-pain reduction in the series</w:t>
            </w:r>
          </w:p>
        </w:tc>
      </w:tr>
      <w:tr>
        <w:tc>
          <w:tcPr>
            <w:tcW w:type="dxa" w:w="240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bCs/>
                <w:i w:val="false"/>
                <w:iCs w:val="false"/>
                <w:sz w:val="20"/>
                <w:szCs w:val="20"/>
              </w:rPr>
              <w:t xml:space="preserve">HAQ-DI (0–3)</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0.15</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0.00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−0.15 (&lt;MCID)†</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val="false"/>
                <w:bCs w:val="false"/>
                <w:i w:val="false"/>
                <w:iCs w:val="false"/>
                <w:sz w:val="20"/>
                <w:szCs w:val="20"/>
              </w:rPr>
              <w:t xml:space="preserve">From MINIMAL to no disability; absolute change below MCID</w:t>
            </w:r>
          </w:p>
        </w:tc>
      </w:tr>
      <w:tr>
        <w:tc>
          <w:tcPr>
            <w:tcW w:type="dxa" w:w="240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bCs/>
                <w:i w:val="false"/>
                <w:iCs w:val="false"/>
                <w:sz w:val="20"/>
                <w:szCs w:val="20"/>
              </w:rPr>
              <w:t xml:space="preserve">EQ-5D VAS (0–100)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70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95</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+25</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val="false"/>
                <w:bCs w:val="false"/>
                <w:i w:val="false"/>
                <w:iCs w:val="false"/>
                <w:sz w:val="20"/>
                <w:szCs w:val="20"/>
              </w:rPr>
              <w:t xml:space="preserve">Substantial improvement in self-rated health</w:t>
            </w:r>
          </w:p>
        </w:tc>
      </w:tr>
      <w:tr>
        <w:tc>
          <w:tcPr>
            <w:tcW w:type="dxa" w:w="240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bCs/>
                <w:i w:val="false"/>
                <w:iCs w:val="false"/>
                <w:sz w:val="20"/>
                <w:szCs w:val="20"/>
              </w:rPr>
              <w:t xml:space="preserve">CAD</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N/A</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val="false"/>
                <w:bCs w:val="false"/>
                <w:i w:val="false"/>
                <w:iCs w:val="false"/>
                <w:sz w:val="20"/>
                <w:szCs w:val="20"/>
              </w:rPr>
              <w:t xml:space="preserve">Not yet incorporated into protocol during active period</w:t>
            </w:r>
          </w:p>
        </w:tc>
      </w:tr>
      <w:tr>
        <w:tc>
          <w:tcPr>
            <w:tcW w:type="dxa" w:w="240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bCs/>
                <w:i w:val="false"/>
                <w:iCs w:val="false"/>
                <w:sz w:val="20"/>
                <w:szCs w:val="20"/>
              </w:rPr>
              <w:t xml:space="preserve">MEDAS</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N/A</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val="false"/>
                <w:bCs w:val="false"/>
                <w:i w:val="false"/>
                <w:iCs w:val="false"/>
                <w:sz w:val="20"/>
                <w:szCs w:val="20"/>
              </w:rPr>
              <w:t xml:space="preserve">Not yet incorporated into protocol during active period</w:t>
            </w:r>
          </w:p>
        </w:tc>
      </w:tr>
    </w:tbl>
    <w:p>
      <w:pPr>
        <w:spacing w:after="120" w:line="320"/>
        <w:jc w:val="both"/>
      </w:pPr>
      <w:r>
        <w:rPr>
          <w:rFonts w:ascii="Arial" w:cs="Arial" w:eastAsia="Arial" w:hAnsi="Arial"/>
          <w:sz w:val="22"/>
          <w:szCs w:val="22"/>
        </w:rPr>
        <w:t xml:space="preserve">(†) MCID for HAQ-DI ≈ 0.22; SA's absolute change of 0.15 points does not reach this threshold despite reaching the floor of the scale. Note: SA presented at M0 with high VAS-pain (9/10) and active disease activity (BASDAI 4.50) but low baseline functional limitation (BASFI 0.60), reflecting a profile of axSpA in early stages where the systemic and pain components are markedly more affected than functional capacity. The substantial reductions in BASDAI and VAS-pain over 23 months, achieved without biologic therapy, are particularly relevant when contrasted with the illustrative case LO (Section S7).</w:t>
      </w:r>
    </w:p>
    <w:p>
      <w:pPr>
        <w:pStyle w:val="Heading2"/>
        <w:spacing w:after="160" w:before="320" w:line="320"/>
      </w:pPr>
      <w:r>
        <w:rPr>
          <w:rFonts w:ascii="Arial" w:cs="Arial" w:eastAsia="Arial" w:hAnsi="Arial"/>
          <w:b/>
          <w:bCs/>
          <w:sz w:val="26"/>
          <w:szCs w:val="26"/>
        </w:rPr>
        <w:t xml:space="preserve">Medication evolution</w:t>
      </w:r>
    </w:p>
    <w:p>
      <w:pPr>
        <w:spacing w:after="120" w:line="320"/>
        <w:jc w:val="both"/>
      </w:pPr>
      <w:r>
        <w:rPr>
          <w:rFonts w:ascii="Arial" w:cs="Arial" w:eastAsia="Arial" w:hAnsi="Arial"/>
          <w:b/>
          <w:bCs/>
          <w:i w:val="false"/>
          <w:iCs w:val="false"/>
          <w:sz w:val="22"/>
          <w:szCs w:val="22"/>
        </w:rPr>
        <w:t xml:space="preserve">Throughout active programme participation: </w:t>
      </w:r>
      <w:r>
        <w:rPr>
          <w:rFonts w:ascii="Arial" w:cs="Arial" w:eastAsia="Arial" w:hAnsi="Arial"/>
          <w:b w:val="false"/>
          <w:bCs w:val="false"/>
          <w:i w:val="false"/>
          <w:iCs w:val="false"/>
          <w:sz w:val="22"/>
          <w:szCs w:val="22"/>
        </w:rPr>
        <w:t xml:space="preserve">non-steroidal anti-inflammatory drugs and analgesics on demand (paracetamol, ibuprofen), reported as occasional use. </w:t>
      </w:r>
      <w:r>
        <w:rPr>
          <w:rFonts w:ascii="Arial" w:cs="Arial" w:eastAsia="Arial" w:hAnsi="Arial"/>
          <w:b/>
          <w:bCs/>
          <w:i w:val="false"/>
          <w:iCs w:val="false"/>
          <w:sz w:val="22"/>
          <w:szCs w:val="22"/>
        </w:rPr>
        <w:t xml:space="preserve">No biologic therapy </w:t>
      </w:r>
      <w:r>
        <w:rPr>
          <w:rFonts w:ascii="Arial" w:cs="Arial" w:eastAsia="Arial" w:hAnsi="Arial"/>
          <w:b w:val="false"/>
          <w:bCs w:val="false"/>
          <w:i w:val="false"/>
          <w:iCs w:val="false"/>
          <w:sz w:val="22"/>
          <w:szCs w:val="22"/>
        </w:rPr>
        <w:t xml:space="preserve">was prescribed at any point during the documented period; the pharmacological context is therefore qualitatively different from that of LO (concurrent secukinumab). </w:t>
      </w:r>
      <w:r>
        <w:rPr>
          <w:rFonts w:ascii="Arial" w:cs="Arial" w:eastAsia="Arial" w:hAnsi="Arial"/>
          <w:b/>
          <w:bCs/>
          <w:i w:val="false"/>
          <w:iCs w:val="false"/>
          <w:sz w:val="22"/>
          <w:szCs w:val="22"/>
        </w:rPr>
        <w:t xml:space="preserve">Outcome: </w:t>
      </w:r>
      <w:r>
        <w:rPr>
          <w:rFonts w:ascii="Arial" w:cs="Arial" w:eastAsia="Arial" w:hAnsi="Arial"/>
          <w:b w:val="false"/>
          <w:bCs w:val="false"/>
          <w:i w:val="false"/>
          <w:iCs w:val="false"/>
          <w:sz w:val="22"/>
          <w:szCs w:val="22"/>
        </w:rPr>
        <w:t xml:space="preserve">medical discharge by the consulting rheumatologist after demonstrable improvement.</w:t>
      </w:r>
    </w:p>
    <w:p>
      <w:pPr>
        <w:pStyle w:val="Heading2"/>
        <w:spacing w:after="160" w:before="320" w:line="320"/>
      </w:pPr>
      <w:r>
        <w:rPr>
          <w:rFonts w:ascii="Arial" w:cs="Arial" w:eastAsia="Arial" w:hAnsi="Arial"/>
          <w:b/>
          <w:bCs/>
          <w:sz w:val="26"/>
          <w:szCs w:val="26"/>
        </w:rPr>
        <w:t xml:space="preserve">Coping profile</w:t>
      </w:r>
    </w:p>
    <w:p>
      <w:pPr>
        <w:spacing w:after="120" w:line="320"/>
        <w:jc w:val="both"/>
      </w:pPr>
      <w:r>
        <w:rPr>
          <w:rFonts w:ascii="Arial" w:cs="Arial" w:eastAsia="Arial" w:hAnsi="Arial"/>
          <w:sz w:val="22"/>
          <w:szCs w:val="22"/>
        </w:rPr>
        <w:t xml:space="preserve">CAD not available: the instrument was incorporated into the ARPER assessment protocol after the period of SA's active programme participation. Qualitative information available from the initial general patient information document indicates a personal orientation towards autonomy ("I do not depend on anyone"), supportive family relationships, an active sports profile (rhythmic gymnastics in childhood, swimming as adult), and self-recognition of "limitations" with a constructive framing ("I want to work and help myself to avoid progression"). These narrative elements are consistent with an active coping orientation, although they cannot be quantified in the same metric used for the other cases.</w:t>
      </w:r>
    </w:p>
    <w:p>
      <w:pPr>
        <w:pStyle w:val="Heading2"/>
        <w:spacing w:after="160" w:before="320" w:line="320"/>
      </w:pPr>
      <w:r>
        <w:rPr>
          <w:rFonts w:ascii="Arial" w:cs="Arial" w:eastAsia="Arial" w:hAnsi="Arial"/>
          <w:b/>
          <w:bCs/>
          <w:sz w:val="26"/>
          <w:szCs w:val="26"/>
        </w:rPr>
        <w:t xml:space="preserve">Nutritional adherence</w:t>
      </w:r>
    </w:p>
    <w:p>
      <w:pPr>
        <w:spacing w:after="120" w:line="320"/>
        <w:jc w:val="both"/>
      </w:pPr>
      <w:r>
        <w:rPr>
          <w:rFonts w:ascii="Arial" w:cs="Arial" w:eastAsia="Arial" w:hAnsi="Arial"/>
          <w:sz w:val="22"/>
          <w:szCs w:val="22"/>
        </w:rPr>
        <w:t xml:space="preserve">MEDAS not available for the same reason as CAD. The initial patient document indicates a varied diet with stated preferences for vegetables, potato and fish, suggesting elements compatible with Mediterranean dietary patterns, but no formal score is available.</w:t>
      </w:r>
    </w:p>
    <w:p>
      <w:pPr>
        <w:pStyle w:val="Heading2"/>
        <w:spacing w:after="160" w:before="320" w:line="320"/>
      </w:pPr>
      <w:r>
        <w:rPr>
          <w:rFonts w:ascii="Arial" w:cs="Arial" w:eastAsia="Arial" w:hAnsi="Arial"/>
          <w:b/>
          <w:bCs/>
          <w:sz w:val="26"/>
          <w:szCs w:val="26"/>
        </w:rPr>
        <w:t xml:space="preserve">Daily self-monitoring</w:t>
      </w:r>
    </w:p>
    <w:p>
      <w:pPr>
        <w:spacing w:after="120" w:line="320"/>
        <w:jc w:val="both"/>
      </w:pPr>
      <w:r>
        <w:rPr>
          <w:rFonts w:ascii="Arial" w:cs="Arial" w:eastAsia="Arial" w:hAnsi="Arial"/>
          <w:b/>
          <w:bCs/>
          <w:i w:val="false"/>
          <w:iCs w:val="false"/>
          <w:sz w:val="22"/>
          <w:szCs w:val="22"/>
        </w:rPr>
        <w:t xml:space="preserve">Total records: </w:t>
      </w:r>
      <w:r>
        <w:rPr>
          <w:rFonts w:ascii="Arial" w:cs="Arial" w:eastAsia="Arial" w:hAnsi="Arial"/>
          <w:b w:val="false"/>
          <w:bCs w:val="false"/>
          <w:i w:val="false"/>
          <w:iCs w:val="false"/>
          <w:sz w:val="22"/>
          <w:szCs w:val="22"/>
        </w:rPr>
        <w:t xml:space="preserve">110 (recent re-engagement contact). </w:t>
      </w:r>
      <w:r>
        <w:rPr>
          <w:rFonts w:ascii="Arial" w:cs="Arial" w:eastAsia="Arial" w:hAnsi="Arial"/>
          <w:b/>
          <w:bCs/>
          <w:i w:val="false"/>
          <w:iCs w:val="false"/>
          <w:sz w:val="22"/>
          <w:szCs w:val="22"/>
        </w:rPr>
        <w:t xml:space="preserve">Detected flares: </w:t>
      </w:r>
      <w:r>
        <w:rPr>
          <w:rFonts w:ascii="Arial" w:cs="Arial" w:eastAsia="Arial" w:hAnsi="Arial"/>
          <w:b w:val="false"/>
          <w:bCs w:val="false"/>
          <w:i w:val="false"/>
          <w:iCs w:val="false"/>
          <w:sz w:val="22"/>
          <w:szCs w:val="22"/>
        </w:rPr>
        <w:t xml:space="preserve">15. </w:t>
      </w:r>
      <w:r>
        <w:rPr>
          <w:rFonts w:ascii="Arial" w:cs="Arial" w:eastAsia="Arial" w:hAnsi="Arial"/>
          <w:b/>
          <w:bCs/>
          <w:i w:val="false"/>
          <w:iCs w:val="false"/>
          <w:sz w:val="22"/>
          <w:szCs w:val="22"/>
        </w:rPr>
        <w:t xml:space="preserve">Mean ratings (0–10): </w:t>
      </w:r>
      <w:r>
        <w:rPr>
          <w:rFonts w:ascii="Arial" w:cs="Arial" w:eastAsia="Arial" w:hAnsi="Arial"/>
          <w:b w:val="false"/>
          <w:bCs w:val="false"/>
          <w:i w:val="false"/>
          <w:iCs w:val="false"/>
          <w:sz w:val="22"/>
          <w:szCs w:val="22"/>
        </w:rPr>
        <w:t xml:space="preserve">pain 1.2 (stable); fatigue 5.1 (worsening); stiffness 1.7; mood 6.1; anxiety 3.3.</w:t>
      </w:r>
    </w:p>
    <w:p>
      <w:pPr>
        <w:spacing w:after="120" w:line="320"/>
        <w:jc w:val="both"/>
      </w:pPr>
      <w:r>
        <w:rPr>
          <w:rFonts w:ascii="Arial" w:cs="Arial" w:eastAsia="Arial" w:hAnsi="Arial"/>
          <w:sz w:val="22"/>
          <w:szCs w:val="22"/>
        </w:rPr>
        <w:t xml:space="preserve">The self-monitoring data correspond to the recent re-engagement period, not to the 2016–2018 active engagement documented in the dossier. They reflect SA's current state several years after medical discharge and should not be read as concurrent with the periodic assessment data above. The fatigue increase noted in the recent self-monitoring may reflect contextual life factors and warrants confirmation in future systematic evaluation should SA wish to resume formal follow-up.</w:t>
      </w:r>
    </w:p>
    <w:p>
      <w:pPr>
        <w:pStyle w:val="Heading2"/>
        <w:spacing w:after="160" w:before="320" w:line="320"/>
      </w:pPr>
      <w:r>
        <w:rPr>
          <w:rFonts w:ascii="Arial" w:cs="Arial" w:eastAsia="Arial" w:hAnsi="Arial"/>
          <w:b/>
          <w:bCs/>
          <w:sz w:val="26"/>
          <w:szCs w:val="26"/>
        </w:rPr>
        <w:t xml:space="preserve">Qualitative narrative</w:t>
      </w:r>
    </w:p>
    <w:p>
      <w:pPr>
        <w:spacing w:after="120" w:line="320"/>
        <w:jc w:val="both"/>
      </w:pPr>
      <w:r>
        <w:rPr>
          <w:rFonts w:ascii="Arial" w:cs="Arial" w:eastAsia="Arial" w:hAnsi="Arial"/>
          <w:sz w:val="22"/>
          <w:szCs w:val="22"/>
        </w:rPr>
        <w:t>SA illustrates the trajectory typology of early regulation in the specific context of nr-axSpA managed without biologic therapy. Diagnosed at age 20 in May 2016 with sacroiliitis grade 1 and probable left sacroiliac oedema, HLA-B27 negative, she presented at M0 of the dossier with high VAS-pain (9/10) and active disease (BASDAI 4.50), but already with low baseline functional limitation (BASFI 0.60). Over 23 months of programme participation managed exclusively with on-demand non-steroidal anti-inflammatory drugs and analgesics, she achieved a VAS-pain absolute reduction of 8 points (≥MCID of 1–2), a BASDAI absolute reduction of 1.90 points (≥MCID of 1.1), and a HAQ-DI absolute reduction of 0.15 points (below the MCID of 0.22, in the context of an already-low baseline of 0.15), alongside an EQ-5D VAS absolute increase of 25 points. The consulting rheumatologist subsequently considered her improvement sufficient to issue a medical discharge, with formal programme participation completing naturally at that point. SA represents the only documented case in the present series of successful exit through medical discharge; the recent re-engagement of SA with the programme as an experience-witness for the active Zaragoza group illustrates a potential continuity-figure role for medically-discharged participants, complementary to the role envisaged for currently active participants.</w:t>
      </w:r>
    </w:p>
    <w:p>
      <w:r>
        <w:br w:type="page"/>
      </w:r>
    </w:p>
    <w:p>
      <w:pPr>
        <w:pStyle w:val="Heading1"/>
        <w:spacing w:after="180" w:before="360" w:line="320"/>
      </w:pPr>
      <w:r>
        <w:rPr>
          <w:rFonts w:ascii="Arial" w:cs="Arial" w:eastAsia="Arial" w:hAnsi="Arial"/>
          <w:b/>
          <w:bCs/>
          <w:sz w:val="28"/>
          <w:szCs w:val="28"/>
        </w:rPr>
        <w:t xml:space="preserve">S7. Illustrative contrast case (LO) — Early regulation with pharmacological–behavioural synergy</w:t>
      </w:r>
    </w:p>
    <w:p>
      <w:pPr>
        <w:spacing w:after="120" w:line="320"/>
        <w:jc w:val="both"/>
      </w:pPr>
      <w:r>
        <w:rPr>
          <w:rFonts w:ascii="Arial" w:cs="Arial" w:eastAsia="Arial" w:hAnsi="Arial"/>
          <w:sz w:val="22"/>
          <w:szCs w:val="22"/>
        </w:rPr>
        <w:t xml:space="preserve">This dossier is reported in the supplementary material —not in the main manuscript— because the participant's concurrent use of a high-efficacy biologic agent (secukinumab) throughout her programme participation makes it impossible to interpret her observed improvement as attributable to the rehabilitation programme. The case is presented here as a contrast that highlights the pharmacological-behavioural synergy context: it shares the early-regulation pattern observed in case SA (main manuscript), but the pharmacological setting is qualitatively different, and the magnitude of improvement should not be read as programme-attributable.</w:t>
      </w:r>
    </w:p>
    <w:p>
      <w:pPr>
        <w:pStyle w:val="Heading2"/>
        <w:spacing w:after="160" w:before="320" w:line="320"/>
      </w:pPr>
      <w:r>
        <w:rPr>
          <w:rFonts w:ascii="Arial" w:cs="Arial" w:eastAsia="Arial" w:hAnsi="Arial"/>
          <w:b/>
          <w:bCs/>
          <w:sz w:val="26"/>
          <w:szCs w:val="26"/>
        </w:rPr>
        <w:t xml:space="preserve">Demographic and clinical background</w:t>
      </w:r>
    </w:p>
    <w:p>
      <w:pPr>
        <w:spacing w:after="120" w:line="320"/>
        <w:jc w:val="both"/>
      </w:pPr>
      <w:r>
        <w:rPr>
          <w:rFonts w:ascii="Arial" w:cs="Arial" w:eastAsia="Arial" w:hAnsi="Arial"/>
          <w:b/>
          <w:bCs/>
          <w:i w:val="0"/>
          <w:iCs w:val="false"/>
          <w:sz w:val="22"/>
          <w:szCs w:val="22"/>
        </w:rPr>
        <w:t>Sex: Female. Diagnosis: Non-radiographic axial spondyloarthritis (nr-axSpA), diagnosed in September 2023. Site: Huesca group. Comorbidities: history of a treated oncological condition (in remission).</w:t>
      </w:r>
      <w:r>
        <w:rPr>
          <w:rFonts w:ascii="Arial" w:cs="Arial" w:eastAsia="Arial" w:hAnsi="Arial"/>
          <w:b w:val="false"/>
          <w:bCs w:val="false"/>
          <w:i w:val="false"/>
          <w:iCs w:val="false"/>
          <w:sz w:val="22"/>
          <w:szCs w:val="22"/>
        </w:rPr>
      </w:r>
      <w:r>
        <w:rPr>
          <w:rFonts w:ascii="Arial" w:cs="Arial" w:eastAsia="Arial" w:hAnsi="Arial"/>
          <w:b/>
          <w:bCs/>
          <w:i w:val="false"/>
          <w:iCs w:val="false"/>
          <w:sz w:val="22"/>
          <w:szCs w:val="22"/>
        </w:rPr>
      </w:r>
      <w:r>
        <w:rPr>
          <w:rFonts w:ascii="Arial" w:cs="Arial" w:eastAsia="Arial" w:hAnsi="Arial"/>
          <w:b w:val="false"/>
          <w:bCs w:val="false"/>
          <w:i w:val="false"/>
          <w:iCs w:val="false"/>
          <w:sz w:val="22"/>
          <w:szCs w:val="22"/>
        </w:rPr>
      </w:r>
      <w:r>
        <w:rPr>
          <w:rFonts w:ascii="Arial" w:cs="Arial" w:eastAsia="Arial" w:hAnsi="Arial"/>
          <w:b/>
          <w:bCs/>
          <w:i w:val="false"/>
          <w:iCs w:val="false"/>
          <w:sz w:val="22"/>
          <w:szCs w:val="22"/>
        </w:rPr>
      </w:r>
      <w:r>
        <w:rPr>
          <w:rFonts w:ascii="Arial" w:cs="Arial" w:eastAsia="Arial" w:hAnsi="Arial"/>
          <w:b w:val="false"/>
          <w:bCs w:val="false"/>
          <w:i w:val="false"/>
          <w:iCs w:val="false"/>
          <w:sz w:val="22"/>
          <w:szCs w:val="22"/>
        </w:rPr>
      </w:r>
      <w:r>
        <w:rPr>
          <w:rFonts w:ascii="Arial" w:cs="Arial" w:eastAsia="Arial" w:hAnsi="Arial"/>
          <w:b/>
          <w:bCs/>
          <w:i w:val="false"/>
          <w:iCs w:val="false"/>
          <w:sz w:val="22"/>
          <w:szCs w:val="22"/>
        </w:rPr>
      </w:r>
      <w:r>
        <w:rPr>
          <w:rFonts w:ascii="Arial" w:cs="Arial" w:eastAsia="Arial" w:hAnsi="Arial"/>
          <w:b w:val="false"/>
          <w:bCs w:val="false"/>
          <w:i w:val="false"/>
          <w:iCs w:val="false"/>
          <w:sz w:val="22"/>
          <w:szCs w:val="22"/>
        </w:rPr>
      </w:r>
    </w:p>
    <w:p>
      <w:pPr>
        <w:pStyle w:val="Heading2"/>
        <w:spacing w:after="160" w:before="320" w:line="320"/>
      </w:pPr>
      <w:r>
        <w:rPr>
          <w:rFonts w:ascii="Arial" w:cs="Arial" w:eastAsia="Arial" w:hAnsi="Arial"/>
          <w:b/>
          <w:bCs/>
          <w:sz w:val="26"/>
          <w:szCs w:val="26"/>
        </w:rPr>
        <w:t xml:space="preserve">Programme participation</w:t>
      </w:r>
    </w:p>
    <w:p>
      <w:pPr>
        <w:spacing w:after="120" w:line="320"/>
        <w:jc w:val="both"/>
      </w:pPr>
      <w:r>
        <w:rPr>
          <w:rFonts w:ascii="Arial" w:cs="Arial" w:eastAsia="Arial" w:hAnsi="Arial"/>
          <w:b/>
          <w:bCs/>
          <w:i w:val="0"/>
          <w:iCs w:val="false"/>
          <w:sz w:val="22"/>
          <w:szCs w:val="22"/>
        </w:rPr>
        <w:t>Follow-up: M0–M23 (≈2 years). Evaluations: 2 BASFI, 2 BASDAI. Engagement pattern: consistent attendance since shortly after diagnosis (programme enrolment four months after diagnosis).</w:t>
      </w:r>
      <w:r>
        <w:rPr>
          <w:rFonts w:ascii="Arial" w:cs="Arial" w:eastAsia="Arial" w:hAnsi="Arial"/>
          <w:b w:val="false"/>
          <w:bCs w:val="false"/>
          <w:i w:val="false"/>
          <w:iCs w:val="false"/>
          <w:sz w:val="22"/>
          <w:szCs w:val="22"/>
        </w:rPr>
      </w:r>
      <w:r>
        <w:rPr>
          <w:rFonts w:ascii="Arial" w:cs="Arial" w:eastAsia="Arial" w:hAnsi="Arial"/>
          <w:b/>
          <w:bCs/>
          <w:i w:val="false"/>
          <w:iCs w:val="false"/>
          <w:sz w:val="22"/>
          <w:szCs w:val="22"/>
        </w:rPr>
      </w:r>
      <w:r>
        <w:rPr>
          <w:rFonts w:ascii="Arial" w:cs="Arial" w:eastAsia="Arial" w:hAnsi="Arial"/>
          <w:b w:val="false"/>
          <w:bCs w:val="false"/>
          <w:i w:val="false"/>
          <w:iCs w:val="false"/>
          <w:sz w:val="22"/>
          <w:szCs w:val="22"/>
        </w:rPr>
      </w:r>
      <w:r>
        <w:rPr>
          <w:rFonts w:ascii="Arial" w:cs="Arial" w:eastAsia="Arial" w:hAnsi="Arial"/>
          <w:b/>
          <w:bCs/>
          <w:i w:val="false"/>
          <w:iCs w:val="false"/>
          <w:sz w:val="22"/>
          <w:szCs w:val="22"/>
        </w:rPr>
      </w:r>
      <w:r>
        <w:rPr>
          <w:rFonts w:ascii="Arial" w:cs="Arial" w:eastAsia="Arial" w:hAnsi="Arial"/>
          <w:b w:val="false"/>
          <w:bCs w:val="false"/>
          <w:i w:val="false"/>
          <w:iCs w:val="false"/>
          <w:sz w:val="22"/>
          <w:szCs w:val="22"/>
        </w:rPr>
      </w:r>
    </w:p>
    <w:p>
      <w:pPr>
        <w:pStyle w:val="Heading2"/>
        <w:spacing w:after="160" w:before="320" w:line="320"/>
      </w:pPr>
      <w:r>
        <w:rPr>
          <w:rFonts w:ascii="Arial" w:cs="Arial" w:eastAsia="Arial" w:hAnsi="Arial"/>
          <w:b/>
          <w:bCs/>
          <w:sz w:val="26"/>
          <w:szCs w:val="26"/>
        </w:rPr>
        <w:t xml:space="preserve">Summary of changes (M0 → last evaluation)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1740"/>
        <w:gridCol w:w="1740"/>
        <w:gridCol w:w="1740"/>
        <w:gridCol w:w="1740"/>
      </w:tblGrid>
      <w:tr>
        <w:tc>
          <w:tcPr>
            <w:tcW w:type="dxa" w:w="2400"/>
            <w:tcBorders>
              <w:top w:val="single" w:color="888888" w:sz="4"/>
              <w:left w:val="single" w:color="888888" w:sz="4"/>
              <w:bottom w:val="single" w:color="888888" w:sz="4"/>
              <w:right w:val="single" w:color="888888" w:sz="4"/>
            </w:tcBorders>
            <w:shd w:fill="D9E2F3" w:val="clear"/>
            <w:tcMar>
              <w:top w:type="dxa" w:w="80"/>
              <w:left w:type="dxa" w:w="120"/>
              <w:bottom w:type="dxa" w:w="80"/>
              <w:right w:type="dxa" w:w="120"/>
            </w:tcMar>
            <w:vAlign w:val="center"/>
          </w:tcPr>
          <w:p>
            <w:pPr>
              <w:spacing w:after="0" w:line="280"/>
              <w:jc w:val="center"/>
            </w:pPr>
            <w:r>
              <w:rPr>
                <w:rFonts w:ascii="Arial" w:cs="Arial" w:eastAsia="Arial" w:hAnsi="Arial"/>
                <w:b/>
                <w:bCs/>
                <w:i w:val="false"/>
                <w:iCs w:val="false"/>
                <w:sz w:val="20"/>
                <w:szCs w:val="20"/>
              </w:rPr>
              <w:t xml:space="preserve">Instrument</w:t>
            </w:r>
          </w:p>
        </w:tc>
        <w:tc>
          <w:tcPr>
            <w:tcW w:type="dxa" w:w="1740"/>
            <w:tcBorders>
              <w:top w:val="single" w:color="888888" w:sz="4"/>
              <w:left w:val="single" w:color="888888" w:sz="4"/>
              <w:bottom w:val="single" w:color="888888" w:sz="4"/>
              <w:right w:val="single" w:color="888888" w:sz="4"/>
            </w:tcBorders>
            <w:shd w:fill="D9E2F3" w:val="clear"/>
            <w:tcMar>
              <w:top w:type="dxa" w:w="80"/>
              <w:left w:type="dxa" w:w="120"/>
              <w:bottom w:type="dxa" w:w="80"/>
              <w:right w:type="dxa" w:w="120"/>
            </w:tcMar>
            <w:vAlign w:val="center"/>
          </w:tcPr>
          <w:p>
            <w:pPr>
              <w:spacing w:after="0" w:line="280"/>
              <w:jc w:val="center"/>
            </w:pPr>
            <w:r>
              <w:rPr>
                <w:rFonts w:ascii="Arial" w:cs="Arial" w:eastAsia="Arial" w:hAnsi="Arial"/>
                <w:b/>
                <w:bCs/>
                <w:i w:val="false"/>
                <w:iCs w:val="false"/>
                <w:sz w:val="20"/>
                <w:szCs w:val="20"/>
              </w:rPr>
              <w:t xml:space="preserve">M0 value</w:t>
            </w:r>
          </w:p>
        </w:tc>
        <w:tc>
          <w:tcPr>
            <w:tcW w:type="dxa" w:w="1740"/>
            <w:tcBorders>
              <w:top w:val="single" w:color="888888" w:sz="4"/>
              <w:left w:val="single" w:color="888888" w:sz="4"/>
              <w:bottom w:val="single" w:color="888888" w:sz="4"/>
              <w:right w:val="single" w:color="888888" w:sz="4"/>
            </w:tcBorders>
            <w:shd w:fill="D9E2F3" w:val="clear"/>
            <w:tcMar>
              <w:top w:type="dxa" w:w="80"/>
              <w:left w:type="dxa" w:w="120"/>
              <w:bottom w:type="dxa" w:w="80"/>
              <w:right w:type="dxa" w:w="120"/>
            </w:tcMar>
            <w:vAlign w:val="center"/>
          </w:tcPr>
          <w:p>
            <w:pPr>
              <w:spacing w:after="0" w:line="280"/>
              <w:jc w:val="center"/>
            </w:pPr>
            <w:r>
              <w:rPr>
                <w:rFonts w:ascii="Arial" w:cs="Arial" w:eastAsia="Arial" w:hAnsi="Arial"/>
                <w:b/>
                <w:bCs/>
                <w:i w:val="false"/>
                <w:iCs w:val="false"/>
                <w:sz w:val="20"/>
                <w:szCs w:val="20"/>
              </w:rPr>
              <w:t xml:space="preserve">Last value</w:t>
            </w:r>
          </w:p>
        </w:tc>
        <w:tc>
          <w:tcPr>
            <w:tcW w:type="dxa" w:w="1740"/>
            <w:tcBorders>
              <w:top w:val="single" w:color="888888" w:sz="4"/>
              <w:left w:val="single" w:color="888888" w:sz="4"/>
              <w:bottom w:val="single" w:color="888888" w:sz="4"/>
              <w:right w:val="single" w:color="888888" w:sz="4"/>
            </w:tcBorders>
            <w:shd w:fill="D9E2F3" w:val="clear"/>
            <w:tcMar>
              <w:top w:type="dxa" w:w="80"/>
              <w:left w:type="dxa" w:w="120"/>
              <w:bottom w:type="dxa" w:w="80"/>
              <w:right w:type="dxa" w:w="120"/>
            </w:tcMar>
            <w:vAlign w:val="center"/>
          </w:tcPr>
          <w:p>
            <w:pPr>
              <w:spacing w:after="0" w:line="280"/>
              <w:jc w:val="center"/>
            </w:pPr>
            <w:r>
              <w:rPr>
                <w:rFonts w:ascii="Arial" w:cs="Arial" w:eastAsia="Arial" w:hAnsi="Arial"/>
                <w:b/>
                <w:bCs/>
                <w:i w:val="false"/>
                <w:iCs w:val="false"/>
                <w:sz w:val="20"/>
                <w:szCs w:val="20"/>
              </w:rPr>
              <w:t>Δ (abs.)</w:t>
            </w:r>
          </w:p>
        </w:tc>
        <w:tc>
          <w:tcPr>
            <w:tcW w:type="dxa" w:w="1740"/>
            <w:tcBorders>
              <w:top w:val="single" w:color="888888" w:sz="4"/>
              <w:left w:val="single" w:color="888888" w:sz="4"/>
              <w:bottom w:val="single" w:color="888888" w:sz="4"/>
              <w:right w:val="single" w:color="888888" w:sz="4"/>
            </w:tcBorders>
            <w:shd w:fill="D9E2F3" w:val="clear"/>
            <w:tcMar>
              <w:top w:type="dxa" w:w="80"/>
              <w:left w:type="dxa" w:w="120"/>
              <w:bottom w:type="dxa" w:w="80"/>
              <w:right w:type="dxa" w:w="120"/>
            </w:tcMar>
            <w:vAlign w:val="center"/>
          </w:tcPr>
          <w:p>
            <w:pPr>
              <w:spacing w:after="0" w:line="280"/>
              <w:jc w:val="center"/>
            </w:pPr>
            <w:r>
              <w:rPr>
                <w:rFonts w:ascii="Arial" w:cs="Arial" w:eastAsia="Arial" w:hAnsi="Arial"/>
                <w:b/>
                <w:bCs/>
                <w:i w:val="false"/>
                <w:iCs w:val="false"/>
                <w:sz w:val="20"/>
                <w:szCs w:val="20"/>
              </w:rPr>
              <w:t xml:space="preserve">Interpretation</w:t>
            </w:r>
          </w:p>
        </w:tc>
      </w:tr>
      <w:tr>
        <w:tc>
          <w:tcPr>
            <w:tcW w:type="dxa" w:w="240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bCs/>
                <w:i w:val="false"/>
                <w:iCs w:val="false"/>
                <w:sz w:val="20"/>
                <w:szCs w:val="20"/>
              </w:rPr>
              <w:t xml:space="preserve">BASFI (0–10)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5.11</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0.86</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−4.25 (&gt;&gt;MCID)</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val="false"/>
                <w:bCs w:val="false"/>
                <w:i w:val="false"/>
                <w:iCs w:val="false"/>
                <w:sz w:val="20"/>
                <w:szCs w:val="20"/>
              </w:rPr>
              <w:t xml:space="preserve">From MODERATE limitation to virtually full function</w:t>
            </w:r>
          </w:p>
        </w:tc>
      </w:tr>
      <w:tr>
        <w:tc>
          <w:tcPr>
            <w:tcW w:type="dxa" w:w="240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bCs/>
                <w:i w:val="false"/>
                <w:iCs w:val="false"/>
                <w:sz w:val="20"/>
                <w:szCs w:val="20"/>
              </w:rPr>
              <w:t xml:space="preserve">BASDAI (6-item, paired n=2)</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2.40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2.30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−0.10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val="false"/>
                <w:bCs w:val="false"/>
                <w:i w:val="false"/>
                <w:iCs w:val="false"/>
                <w:sz w:val="20"/>
                <w:szCs w:val="20"/>
              </w:rPr>
              <w:t xml:space="preserve">LOW activity, stable (limited longitudinal data)</w:t>
            </w:r>
          </w:p>
        </w:tc>
      </w:tr>
      <w:tr>
        <w:tc>
          <w:tcPr>
            <w:tcW w:type="dxa" w:w="240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bCs/>
                <w:i w:val="false"/>
                <w:iCs w:val="false"/>
                <w:sz w:val="20"/>
                <w:szCs w:val="20"/>
              </w:rPr>
              <w:t xml:space="preserve">VAS-pain (0–10)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3</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2</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−1</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val="false"/>
                <w:bCs w:val="false"/>
                <w:i w:val="false"/>
                <w:iCs w:val="false"/>
                <w:sz w:val="20"/>
                <w:szCs w:val="20"/>
              </w:rPr>
              <w:t xml:space="preserve">From mild to minimal</w:t>
            </w:r>
          </w:p>
        </w:tc>
      </w:tr>
      <w:tr>
        <w:tc>
          <w:tcPr>
            <w:tcW w:type="dxa" w:w="240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bCs/>
                <w:i w:val="false"/>
                <w:iCs w:val="false"/>
                <w:sz w:val="20"/>
                <w:szCs w:val="20"/>
              </w:rPr>
              <w:t xml:space="preserve">HAQ-DI (0–3)</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1.00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0.25</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−0.75 (&gt;MCID)</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val="false"/>
                <w:bCs w:val="false"/>
                <w:i w:val="false"/>
                <w:iCs w:val="false"/>
                <w:sz w:val="20"/>
                <w:szCs w:val="20"/>
              </w:rPr>
              <w:t xml:space="preserve">From MODERATE to MINIMAL disability</w:t>
            </w:r>
          </w:p>
        </w:tc>
      </w:tr>
      <w:tr>
        <w:tc>
          <w:tcPr>
            <w:tcW w:type="dxa" w:w="240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bCs/>
                <w:i w:val="false"/>
                <w:iCs w:val="false"/>
                <w:sz w:val="20"/>
                <w:szCs w:val="20"/>
              </w:rPr>
              <w:t xml:space="preserve">MEDAS (0–14, 2 evals)</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9–10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10</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center"/>
            </w:pPr>
            <w:r>
              <w:rPr>
                <w:rFonts w:ascii="Arial" w:cs="Arial" w:eastAsia="Arial" w:hAnsi="Arial"/>
                <w:b w:val="false"/>
                <w:bCs w:val="false"/>
                <w:i w:val="false"/>
                <w:iCs w:val="false"/>
                <w:sz w:val="20"/>
                <w:szCs w:val="20"/>
              </w:rPr>
              <w:t xml:space="preserve">—</w:t>
            </w:r>
          </w:p>
        </w:tc>
        <w:tc>
          <w:tcPr>
            <w:tcW w:type="dxa" w:w="1740"/>
            <w:tcBorders>
              <w:top w:val="single" w:color="888888" w:sz="4"/>
              <w:left w:val="single" w:color="888888" w:sz="4"/>
              <w:bottom w:val="single" w:color="888888" w:sz="4"/>
              <w:right w:val="single" w:color="888888" w:sz="4"/>
            </w:tcBorders>
            <w:tcMar>
              <w:top w:type="dxa" w:w="80"/>
              <w:left w:type="dxa" w:w="120"/>
              <w:bottom w:type="dxa" w:w="80"/>
              <w:right w:type="dxa" w:w="120"/>
            </w:tcMar>
            <w:vAlign w:val="center"/>
          </w:tcPr>
          <w:p>
            <w:pPr>
              <w:spacing w:after="0" w:line="280"/>
              <w:jc w:val="left"/>
            </w:pPr>
            <w:r>
              <w:rPr>
                <w:rFonts w:ascii="Arial" w:cs="Arial" w:eastAsia="Arial" w:hAnsi="Arial"/>
                <w:b w:val="false"/>
                <w:bCs w:val="false"/>
                <w:i w:val="false"/>
                <w:iCs w:val="false"/>
                <w:sz w:val="20"/>
                <w:szCs w:val="20"/>
              </w:rPr>
              <w:t xml:space="preserve">HIGH adherence</w:t>
            </w:r>
          </w:p>
        </w:tc>
      </w:tr>
    </w:tbl>
    <w:p>
      <w:pPr>
        <w:pStyle w:val="Heading2"/>
        <w:spacing w:after="160" w:before="320" w:line="320"/>
      </w:pPr>
      <w:r>
        <w:rPr>
          <w:rFonts w:ascii="Arial" w:cs="Arial" w:eastAsia="Arial" w:hAnsi="Arial"/>
          <w:b/>
          <w:bCs/>
          <w:sz w:val="26"/>
          <w:szCs w:val="26"/>
        </w:rPr>
        <w:t xml:space="preserve">Medication evolution</w:t>
      </w:r>
    </w:p>
    <w:p>
      <w:pPr>
        <w:spacing w:after="120" w:line="320"/>
        <w:jc w:val="both"/>
      </w:pPr>
      <w:r>
        <w:rPr>
          <w:rFonts w:ascii="Arial" w:cs="Arial" w:eastAsia="Arial" w:hAnsi="Arial"/>
          <w:b/>
          <w:bCs/>
          <w:i w:val="false"/>
          <w:iCs w:val="false"/>
          <w:sz w:val="22"/>
          <w:szCs w:val="22"/>
        </w:rPr>
        <w:t xml:space="preserve">At programme entry: </w:t>
      </w:r>
      <w:r>
        <w:rPr>
          <w:rFonts w:ascii="Arial" w:cs="Arial" w:eastAsia="Arial" w:hAnsi="Arial"/>
          <w:b w:val="false"/>
          <w:bCs w:val="false"/>
          <w:i w:val="false"/>
          <w:iCs w:val="false"/>
          <w:sz w:val="22"/>
          <w:szCs w:val="22"/>
        </w:rPr>
        <w:t xml:space="preserve">secukinumab 150 mg (biologic, IL-17A inhibitor) + dexketoprofen on demand. </w:t>
      </w:r>
      <w:r>
        <w:rPr>
          <w:rFonts w:ascii="Arial" w:cs="Arial" w:eastAsia="Arial" w:hAnsi="Arial"/>
          <w:b/>
          <w:bCs/>
          <w:i w:val="false"/>
          <w:iCs w:val="false"/>
          <w:sz w:val="22"/>
          <w:szCs w:val="22"/>
        </w:rPr>
        <w:t xml:space="preserve">Current: </w:t>
      </w:r>
      <w:r>
        <w:rPr>
          <w:rFonts w:ascii="Arial" w:cs="Arial" w:eastAsia="Arial" w:hAnsi="Arial"/>
          <w:b w:val="false"/>
          <w:bCs w:val="false"/>
          <w:i w:val="false"/>
          <w:iCs w:val="false"/>
          <w:sz w:val="22"/>
          <w:szCs w:val="22"/>
        </w:rPr>
        <w:t xml:space="preserve">secukinumab 150 mg (no rescue analgesia required).</w:t>
      </w:r>
    </w:p>
    <w:p>
      <w:pPr>
        <w:spacing w:after="120" w:line="320"/>
        <w:jc w:val="both"/>
      </w:pPr>
      <w:r>
        <w:rPr>
          <w:rFonts w:ascii="Arial" w:cs="Arial" w:eastAsia="Arial" w:hAnsi="Arial"/>
          <w:sz w:val="22"/>
          <w:szCs w:val="22"/>
        </w:rPr>
        <w:t xml:space="preserve">Critical methodological caveat: the concurrent use of secukinumab is a major confounder in the interpretation of LO's improvement. Secukinumab is a highly effective IL-17A inhibitor with well-established efficacy in axSpA, and the magnitude of functional improvement observed is most likely driven primarily by the pharmacological effect of the biologic rather than by the rehabilitation programme. The case is presented here, in the supplementary material, as illustrative of the early-regulation trajectory typology in the context of pharmacological-behavioural synergy, not as evidence of independent programme efficacy. It is precisely this confounding that motivates the inclusion of case SA in the main manuscript as the empirically interpretable case of early regulation without biologic therapy.</w:t>
      </w:r>
    </w:p>
    <w:p>
      <w:pPr>
        <w:pStyle w:val="Heading2"/>
        <w:spacing w:after="160" w:before="320" w:line="320"/>
      </w:pPr>
      <w:r>
        <w:rPr>
          <w:rFonts w:ascii="Arial" w:cs="Arial" w:eastAsia="Arial" w:hAnsi="Arial"/>
          <w:b/>
          <w:bCs/>
          <w:sz w:val="26"/>
          <w:szCs w:val="26"/>
        </w:rPr>
        <w:t xml:space="preserve">Coping profile (CAD)</w:t>
      </w:r>
    </w:p>
    <w:p>
      <w:pPr>
        <w:spacing w:after="120" w:line="320"/>
        <w:jc w:val="both"/>
      </w:pPr>
      <w:r>
        <w:rPr>
          <w:rFonts w:ascii="Arial" w:cs="Arial" w:eastAsia="Arial" w:hAnsi="Arial"/>
          <w:sz w:val="22"/>
          <w:szCs w:val="22"/>
        </w:rPr>
        <w:t xml:space="preserve">Four CAD evaluations. Consistently active profile in all four evaluations, with Religion minimum (1.0/5) and Catharsis moderate. The maintenance of an active coping profile from a phase of recent diagnosis is a notable feature.</w:t>
      </w:r>
    </w:p>
    <w:p>
      <w:pPr>
        <w:pStyle w:val="Heading2"/>
        <w:spacing w:after="160" w:before="320" w:line="320"/>
      </w:pPr>
      <w:r>
        <w:rPr>
          <w:rFonts w:ascii="Arial" w:cs="Arial" w:eastAsia="Arial" w:hAnsi="Arial"/>
          <w:b/>
          <w:bCs/>
          <w:sz w:val="26"/>
          <w:szCs w:val="26"/>
        </w:rPr>
        <w:t xml:space="preserve">Daily self-monitoring</w:t>
      </w:r>
    </w:p>
    <w:p>
      <w:pPr>
        <w:spacing w:after="120" w:line="320"/>
        <w:jc w:val="both"/>
      </w:pPr>
      <w:r>
        <w:rPr>
          <w:rFonts w:ascii="Arial" w:cs="Arial" w:eastAsia="Arial" w:hAnsi="Arial"/>
          <w:b w:val="false"/>
          <w:bCs w:val="false"/>
          <w:i w:val="false"/>
          <w:iCs w:val="false"/>
          <w:sz w:val="22"/>
          <w:szCs w:val="22"/>
        </w:rPr>
        <w:t xml:space="preserve">Total records: 37. Detected flares: 5. </w:t>
      </w:r>
      <w:r>
        <w:rPr>
          <w:rFonts w:ascii="Arial" w:cs="Arial" w:eastAsia="Arial" w:hAnsi="Arial"/>
          <w:b/>
          <w:bCs/>
          <w:i w:val="false"/>
          <w:iCs w:val="false"/>
          <w:sz w:val="22"/>
          <w:szCs w:val="22"/>
        </w:rPr>
        <w:t xml:space="preserve">Mean ratings (0–10): </w:t>
      </w:r>
      <w:r>
        <w:rPr>
          <w:rFonts w:ascii="Arial" w:cs="Arial" w:eastAsia="Arial" w:hAnsi="Arial"/>
          <w:b w:val="false"/>
          <w:bCs w:val="false"/>
          <w:i w:val="false"/>
          <w:iCs w:val="false"/>
          <w:sz w:val="22"/>
          <w:szCs w:val="22"/>
        </w:rPr>
        <w:t xml:space="preserve">pain 2.5; fatigue 0.1; stiffness 1.9; mood 5.2; anxiety 1.9.</w:t>
      </w:r>
    </w:p>
    <w:p>
      <w:pPr>
        <w:spacing w:after="120" w:line="320"/>
        <w:jc w:val="both"/>
      </w:pPr>
      <w:r>
        <w:rPr>
          <w:rFonts w:ascii="Arial" w:cs="Arial" w:eastAsia="Arial" w:hAnsi="Arial"/>
          <w:sz w:val="22"/>
          <w:szCs w:val="22"/>
        </w:rPr>
        <w:t xml:space="preserve">Low adherence to self-monitoring, consistent with early phase of programme participation.</w:t>
      </w:r>
    </w:p>
    <w:p>
      <w:pPr>
        <w:pStyle w:val="Heading2"/>
        <w:spacing w:after="160" w:before="320" w:line="320"/>
      </w:pPr>
      <w:r>
        <w:rPr>
          <w:rFonts w:ascii="Arial" w:cs="Arial" w:eastAsia="Arial" w:hAnsi="Arial"/>
          <w:b/>
          <w:bCs/>
          <w:sz w:val="26"/>
          <w:szCs w:val="26"/>
        </w:rPr>
        <w:t xml:space="preserve">Qualitative narrative</w:t>
      </w:r>
    </w:p>
    <w:p>
      <w:pPr>
        <w:spacing w:after="120" w:line="320"/>
        <w:jc w:val="both"/>
      </w:pPr>
      <w:r>
        <w:rPr>
          <w:rFonts w:ascii="Arial" w:cs="Arial" w:eastAsia="Arial" w:hAnsi="Arial"/>
          <w:sz w:val="22"/>
          <w:szCs w:val="22"/>
        </w:rPr>
        <w:t xml:space="preserve">LO is reported here as an illustrative contrast case rather than as part of the main analysis. The pronounced functional improvement observed over 23 months is most likely attributable in the main to the pharmacological effect of secukinumab; the programme contribution is plausible at the level of functional consolidation, behavioural adherence and active coping, but cannot be separated empirically from the biologic effect within this case. The active coping profile from a phase of recent diagnosis and the maintenance of nutritional adherence are features the case shares with the rest of the series. The contrast with case SA in the main manuscript —both early-regulation patterns, one with biologic confounder and one without— illustrates the interpretive limits of single-case observation in this context and the value of carefully selecting cases whose pharmacological context allows interpretation of programme contribution.</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sz w:val="18"/>
        <w:szCs w:val="18"/>
      </w:rPr>
      <w:t xml:space="preserve">Supplementary, page </w:t>
    </w:r>
    <w:r>
      <w:rPr>
        <w:rFonts w:ascii="Arial" w:cs="Arial" w:eastAsia="Arial" w:hAnsi="Arial"/>
        <w:sz w:val="18"/>
        <w:szCs w:val="18"/>
      </w:rPr>
      <w:fldChar w:fldCharType="begin"/>
      <w:instrText xml:space="preserve">PAGE</w:instrText>
      <w:fldChar w:fldCharType="separate"/>
      <w:fldChar w:fldCharType="end"/>
    </w:r>
    <w:r>
      <w:rPr>
        <w:rFonts w:ascii="Arial" w:cs="Arial" w:eastAsia="Arial" w:hAnsi="Arial"/>
        <w:sz w:val="18"/>
        <w:szCs w:val="18"/>
      </w:rPr>
      <w:t xml:space="preserve"> of </w:t>
    </w:r>
    <w:r>
      <w:rPr>
        <w:rFonts w:ascii="Arial" w:cs="Arial" w:eastAsia="Arial" w:hAnsi="Arial"/>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i/>
        <w:iCs/>
        <w:sz w:val="18"/>
        <w:szCs w:val="18"/>
      </w:rPr>
      <w:t xml:space="preserve">Supplementary Material — Long-term trajectories in axSpA community rehabilitation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Arial" w:cs="Arial" w:eastAsia="Arial" w:hAnsi="Arial"/>
      <w:b/>
      <w:bCs/>
      <w:sz w:val="28"/>
      <w:szCs w:val="28"/>
    </w:rPr>
  </w:style>
  <w:style w:type="paragraph" w:styleId="Heading2">
    <w:name w:val="Heading 2"/>
    <w:basedOn w:val="Normal"/>
    <w:next w:val="Normal"/>
    <w:qFormat/>
    <w:pPr>
      <w:spacing w:after="160" w:before="320"/>
      <w:outlineLvl w:val="1"/>
    </w:pPr>
    <w:rPr>
      <w:rFonts w:ascii="Arial" w:cs="Arial" w:eastAsia="Arial" w:hAnsi="Arial"/>
      <w:b/>
      <w:bCs/>
      <w:sz w:val="26"/>
      <w:szCs w:val="26"/>
    </w:rPr>
  </w:style>
  <w:style w:type="paragraph" w:styleId="Heading3">
    <w:name w:val="Heading 3"/>
    <w:basedOn w:val="Normal"/>
    <w:next w:val="Normal"/>
    <w:qFormat/>
    <w:pPr>
      <w:spacing w:after="120" w:before="240"/>
      <w:outlineLvl w:val="2"/>
    </w:pPr>
    <w:rPr>
      <w:rFonts w:ascii="Arial" w:cs="Arial" w:eastAsia="Arial" w:hAnsi="Arial"/>
      <w:b/>
      <w:bCs/>
      <w:i/>
      <w:iCs/>
      <w:sz w:val="23"/>
      <w:szCs w:val="23"/>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2026-05-20T10:24:46.279Z</dcterms:created>
  <dcterms:modified xsi:type="dcterms:W3CDTF">2026-05-20T10:24:46.279Z</dcterms:modified>
</cp:coreProperties>
</file>

<file path=docProps/custom.xml><?xml version="1.0" encoding="utf-8"?>
<Properties xmlns="http://schemas.openxmlformats.org/officeDocument/2006/custom-properties" xmlns:vt="http://schemas.openxmlformats.org/officeDocument/2006/docPropsVTypes"/>
</file>