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05F2" w14:textId="77777777" w:rsidR="00AA6D20" w:rsidRPr="00C76337" w:rsidRDefault="00A36BD5">
      <w:pPr>
        <w:spacing w:after="8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b/>
          <w:bCs/>
          <w:sz w:val="28"/>
          <w:szCs w:val="28"/>
          <w:lang w:val="en-GB"/>
        </w:rPr>
        <w:t>Supplementary File S2</w:t>
      </w:r>
    </w:p>
    <w:p w14:paraId="64F7FF03" w14:textId="78F35246" w:rsidR="00AA6D20" w:rsidRPr="00C76337" w:rsidRDefault="00A36BD5">
      <w:pPr>
        <w:spacing w:after="6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b/>
          <w:bCs/>
          <w:sz w:val="21"/>
          <w:szCs w:val="21"/>
          <w:lang w:val="en-GB"/>
        </w:rPr>
        <w:t xml:space="preserve">Complete Revision Matrices: Triangulation Cycles 1 and 2 </w:t>
      </w:r>
      <w:r w:rsidR="00C76337">
        <w:rPr>
          <w:rFonts w:ascii="Times New Roman" w:hAnsi="Times New Roman" w:cs="Times New Roman"/>
          <w:b/>
          <w:bCs/>
          <w:sz w:val="21"/>
          <w:szCs w:val="21"/>
          <w:lang w:val="en-GB"/>
        </w:rPr>
        <w:t xml:space="preserve"> for the </w:t>
      </w:r>
      <w:r w:rsidR="00D3543E">
        <w:rPr>
          <w:rFonts w:ascii="Times New Roman" w:hAnsi="Times New Roman" w:cs="Times New Roman"/>
          <w:b/>
          <w:bCs/>
          <w:sz w:val="21"/>
          <w:szCs w:val="21"/>
          <w:lang w:val="en-GB"/>
        </w:rPr>
        <w:t>VPEM</w:t>
      </w:r>
      <w:r w:rsidR="004F248E">
        <w:rPr>
          <w:rFonts w:ascii="Times New Roman" w:hAnsi="Times New Roman" w:cs="Times New Roman"/>
          <w:b/>
          <w:bCs/>
          <w:sz w:val="21"/>
          <w:szCs w:val="21"/>
          <w:lang w:val="en-GB"/>
        </w:rPr>
        <w:t xml:space="preserve"> Questionnaire </w:t>
      </w:r>
      <w:r w:rsidRPr="00C76337">
        <w:rPr>
          <w:rFonts w:ascii="Times New Roman" w:hAnsi="Times New Roman" w:cs="Times New Roman"/>
          <w:b/>
          <w:bCs/>
          <w:sz w:val="21"/>
          <w:szCs w:val="21"/>
          <w:lang w:val="en-GB"/>
        </w:rPr>
        <w:t>Development</w:t>
      </w:r>
    </w:p>
    <w:p w14:paraId="18FEF7B9" w14:textId="77777777" w:rsidR="00AA6D20" w:rsidRPr="00C76337" w:rsidRDefault="00A36BD5">
      <w:pPr>
        <w:pBdr>
          <w:bottom w:val="single" w:sz="4" w:space="6" w:color="AAAAAA"/>
        </w:pBdr>
        <w:spacing w:after="22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color w:val="444444"/>
          <w:sz w:val="18"/>
          <w:szCs w:val="18"/>
          <w:lang w:val="en-GB"/>
        </w:rPr>
        <w:t>This file presents the complete revision matrices from both triangulation cycles of the V-PEM-AQ development process. Tables S2.1–S2.6 correspond to Triangulation Cycle 1 (target-group evaluation); Table S2.7 summarises all revision decisions from Triangulation Cycle 2 (expert panel evaluation). Decision categories are colour-coded: Adopted (green), Partially adopted (amber), Not adopted (red), and Noted (grey).</w:t>
      </w:r>
    </w:p>
    <w:p w14:paraId="087241B0" w14:textId="77777777" w:rsidR="00AA6D20" w:rsidRPr="00C76337" w:rsidRDefault="00A36BD5">
      <w:pPr>
        <w:pBdr>
          <w:bottom w:val="single" w:sz="6" w:space="4" w:color="1F3864"/>
        </w:pBdr>
        <w:spacing w:before="320" w:after="10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b/>
          <w:bCs/>
          <w:sz w:val="24"/>
          <w:szCs w:val="24"/>
          <w:lang w:val="en-GB"/>
        </w:rPr>
        <w:t>S2.1  Triangulation Cycle 1: Target-Group Evaluation</w:t>
      </w:r>
    </w:p>
    <w:p w14:paraId="224EA95F" w14:textId="77777777" w:rsidR="00AA6D20" w:rsidRPr="00C76337" w:rsidRDefault="00A36BD5">
      <w:pPr>
        <w:spacing w:after="160" w:line="276" w:lineRule="auto"/>
        <w:jc w:val="both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color w:val="111111"/>
          <w:sz w:val="18"/>
          <w:szCs w:val="18"/>
          <w:lang w:val="en-GB"/>
        </w:rPr>
        <w:t>The following tables present the complete revision decisions derived from the target-group evaluation phase, organised by main qualitative category.</w:t>
      </w:r>
    </w:p>
    <w:p w14:paraId="3EC47056" w14:textId="77777777" w:rsidR="00AA6D20" w:rsidRPr="00C76337" w:rsidRDefault="00A36BD5">
      <w:pPr>
        <w:spacing w:before="220" w:after="80"/>
        <w:rPr>
          <w:rFonts w:ascii="Times New Roman" w:hAnsi="Times New Roman" w:cs="Times New Roman"/>
        </w:rPr>
      </w:pPr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Table S2.1 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Conceptual</w:t>
      </w:r>
      <w:proofErr w:type="spellEnd"/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revisions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400"/>
        <w:gridCol w:w="5426"/>
      </w:tblGrid>
      <w:tr w:rsidR="00AA6D20" w:rsidRPr="00C76337" w14:paraId="26428DEF" w14:textId="77777777">
        <w:trPr>
          <w:tblHeader/>
        </w:trPr>
        <w:tc>
          <w:tcPr>
            <w:tcW w:w="22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11167062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Subcode</w:t>
            </w:r>
            <w:proofErr w:type="spellEnd"/>
          </w:p>
        </w:tc>
        <w:tc>
          <w:tcPr>
            <w:tcW w:w="14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24E20A9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Decision</w:t>
            </w:r>
            <w:proofErr w:type="spellEnd"/>
          </w:p>
        </w:tc>
        <w:tc>
          <w:tcPr>
            <w:tcW w:w="5426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0EBDE68E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Implementation / rationale</w:t>
            </w:r>
          </w:p>
        </w:tc>
      </w:tr>
      <w:tr w:rsidR="00AA6D20" w:rsidRPr="004F248E" w14:paraId="7AA253BE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24BD41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PEM–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fatigue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/exhaustion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boundary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213DD5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F1EC618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PEM redefined (item 1); explicit demarcation from non-specific fatigue and exhaustion.</w:t>
            </w:r>
          </w:p>
        </w:tc>
      </w:tr>
      <w:tr w:rsidR="00AA6D20" w:rsidRPr="004F248E" w14:paraId="55F53A3C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07395B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PEM–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psychological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symptoms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boundary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D4434E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CAF2398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Psychological symptoms removed from core construct; retained only as secondary, context-dependent phenomena.</w:t>
            </w:r>
          </w:p>
        </w:tc>
      </w:tr>
      <w:tr w:rsidR="00AA6D20" w:rsidRPr="004F248E" w14:paraId="27606716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BC7FC98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PEM as mechanism, not symptom list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232232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87BFB31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PEM conceptualised as an overarching pathophysiological mechanism of disproportionate post-exertional deterioration; symptom enumeration abandoned.</w:t>
            </w:r>
          </w:p>
        </w:tc>
      </w:tr>
      <w:tr w:rsidR="00AA6D20" w:rsidRPr="004F248E" w14:paraId="01F1B893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85F9122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Inadequate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symptom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pattern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representation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54F8C89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7CF2CAD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Dedicated item on crash-associated additional symptoms introduced (item 5).</w:t>
            </w:r>
          </w:p>
        </w:tc>
      </w:tr>
      <w:tr w:rsidR="00AA6D20" w:rsidRPr="004F248E" w14:paraId="2EA9F5DF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1429D12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Stigmatisation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risk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39081D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9D154AB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Stigmatising terms and attributions removed throughout.</w:t>
            </w:r>
          </w:p>
        </w:tc>
      </w:tr>
      <w:tr w:rsidR="00AA6D20" w:rsidRPr="004F248E" w14:paraId="1C2FC2AF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94A2602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Heterogeneity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variability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of PEM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CA0E4D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Partially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3778B83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Severity-graded exertion matrix (item 2) and differentiated crash assessment by severity (item 3) and recovery duration (item 4) introduced. Full coverage of day-to-day fluctuations not implemented for practicability reasons.</w:t>
            </w:r>
          </w:p>
        </w:tc>
      </w:tr>
      <w:tr w:rsidR="00AA6D20" w:rsidRPr="004F248E" w14:paraId="0292F9D8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F4C7FD9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Temporal characteristics (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latency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duration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4D1A496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Partially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9A3F8F7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Delayed onset incorporated into definition (item 1); minimum crash duration of 14 hours specified; crash frequency (item 3) and recovery duration (item 4) systematically assessed. Explicit quantification of exact latency not implemented due to retrospective recall limitations.</w:t>
            </w:r>
          </w:p>
        </w:tc>
      </w:tr>
      <w:tr w:rsidR="00AA6D20" w:rsidRPr="004F248E" w14:paraId="039EF53A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B878C57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Unclear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rating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scale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scoring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A1FBA46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–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complete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redesign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E3A0A04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Scoring system fundamentally reconceived; non-linear weighting introduced.</w:t>
            </w:r>
          </w:p>
        </w:tc>
      </w:tr>
      <w:tr w:rsidR="00AA6D20" w:rsidRPr="004F248E" w14:paraId="58BDCBFF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4326746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Redundancy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content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overlap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CB09A8F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–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major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E262748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Overlapping items consolidated; item count reduced from 13 to 5.</w:t>
            </w:r>
          </w:p>
        </w:tc>
      </w:tr>
    </w:tbl>
    <w:p w14:paraId="0447E37C" w14:textId="77777777" w:rsidR="00AA6D20" w:rsidRPr="00C76337" w:rsidRDefault="00A36BD5">
      <w:pPr>
        <w:spacing w:before="80" w:after="20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i/>
          <w:iCs/>
          <w:sz w:val="17"/>
          <w:szCs w:val="17"/>
          <w:lang w:val="en-GB"/>
        </w:rPr>
        <w:t xml:space="preserve">Note. </w:t>
      </w:r>
      <w:r w:rsidRPr="00C76337">
        <w:rPr>
          <w:rFonts w:ascii="Times New Roman" w:hAnsi="Times New Roman" w:cs="Times New Roman"/>
          <w:sz w:val="17"/>
          <w:szCs w:val="17"/>
          <w:lang w:val="en-GB"/>
        </w:rPr>
        <w:t xml:space="preserve">"Adopted" indicates direct implementation of the feedback; "Noted – </w:t>
      </w:r>
      <w:proofErr w:type="spellStart"/>
      <w:r w:rsidRPr="00C76337">
        <w:rPr>
          <w:rFonts w:ascii="Times New Roman" w:hAnsi="Times New Roman" w:cs="Times New Roman"/>
          <w:sz w:val="17"/>
          <w:szCs w:val="17"/>
          <w:lang w:val="en-GB"/>
        </w:rPr>
        <w:t>reconception</w:t>
      </w:r>
      <w:proofErr w:type="spellEnd"/>
      <w:r w:rsidRPr="00C76337">
        <w:rPr>
          <w:rFonts w:ascii="Times New Roman" w:hAnsi="Times New Roman" w:cs="Times New Roman"/>
          <w:sz w:val="17"/>
          <w:szCs w:val="17"/>
          <w:lang w:val="en-GB"/>
        </w:rPr>
        <w:t>/major revision" indicates that the feedback informed a broader structural or conceptual redesign rather than item-level modification.</w:t>
      </w:r>
    </w:p>
    <w:p w14:paraId="54EECA76" w14:textId="77777777" w:rsidR="00AA6D20" w:rsidRPr="00C76337" w:rsidRDefault="00A36BD5">
      <w:pPr>
        <w:spacing w:before="220" w:after="8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b/>
          <w:bCs/>
          <w:sz w:val="21"/>
          <w:szCs w:val="21"/>
          <w:lang w:val="en-GB"/>
        </w:rPr>
        <w:t>Table S2.2  Content additions and exclusions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400"/>
        <w:gridCol w:w="5426"/>
      </w:tblGrid>
      <w:tr w:rsidR="00AA6D20" w:rsidRPr="00C76337" w14:paraId="11C868F9" w14:textId="77777777">
        <w:trPr>
          <w:tblHeader/>
        </w:trPr>
        <w:tc>
          <w:tcPr>
            <w:tcW w:w="22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67D9F67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Subcode</w:t>
            </w:r>
            <w:proofErr w:type="spellEnd"/>
          </w:p>
        </w:tc>
        <w:tc>
          <w:tcPr>
            <w:tcW w:w="14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2FD13F1F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Decision</w:t>
            </w:r>
            <w:proofErr w:type="spellEnd"/>
          </w:p>
        </w:tc>
        <w:tc>
          <w:tcPr>
            <w:tcW w:w="5426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096F66D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Implementation / rationale</w:t>
            </w:r>
          </w:p>
        </w:tc>
      </w:tr>
      <w:tr w:rsidR="00AA6D20" w:rsidRPr="004F248E" w14:paraId="7E5B5654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06FD466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PEM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triggers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: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sensory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stimuli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D3432E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690DC2D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Added to exertion matrix (item 2) as "environmental stimuli".</w:t>
            </w:r>
          </w:p>
        </w:tc>
      </w:tr>
      <w:tr w:rsidR="00AA6D20" w:rsidRPr="004F248E" w14:paraId="3D447FD7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10BC64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PEM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triggers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: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orthostatic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load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BC1A1A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E625430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Incorporated as a distinct trigger category in the exertion matrix (item 2).</w:t>
            </w:r>
          </w:p>
        </w:tc>
      </w:tr>
      <w:tr w:rsidR="00AA6D20" w:rsidRPr="004F248E" w14:paraId="19E58AA7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7E9431C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PEM triggers: positive emotional arousal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AC0412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C8FF637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Included as examples within the emotional/social trigger category (item 2).</w:t>
            </w:r>
          </w:p>
        </w:tc>
      </w:tr>
      <w:tr w:rsidR="00AA6D20" w:rsidRPr="004F248E" w14:paraId="1CFADDBA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604E70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PEM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irreversibility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51F165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4A9B113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New item added (item 4) and integrated into scoring.</w:t>
            </w:r>
          </w:p>
        </w:tc>
      </w:tr>
      <w:tr w:rsidR="00AA6D20" w:rsidRPr="004F248E" w14:paraId="2BA6994B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F18E86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lastRenderedPageBreak/>
              <w:t xml:space="preserve">Coping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strategies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pacing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998D4B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7246E41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Non-scored contextualisation item on pacing use added as prefatory question.</w:t>
            </w:r>
          </w:p>
        </w:tc>
      </w:tr>
      <w:tr w:rsidR="00AA6D20" w:rsidRPr="004F248E" w14:paraId="25FC62DB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1539861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Screening item (PEM yes/no)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F099BA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EA61EE7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Risk of false-negative self-classification, particularly in individuals with uncertain symptom attribution, would reduce diagnostic sensitivity.</w:t>
            </w:r>
          </w:p>
        </w:tc>
      </w:tr>
      <w:tr w:rsidR="00AA6D20" w:rsidRPr="004F248E" w14:paraId="390F1D2D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E69245A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Medication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effects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on PEM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2A484C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C85EE2D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External moderating factor; not a constituent feature of PEM itself.</w:t>
            </w:r>
          </w:p>
        </w:tc>
      </w:tr>
      <w:tr w:rsidR="00AA6D20" w:rsidRPr="00C76337" w14:paraId="4480A402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3DF1640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Exacerbating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associated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factors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06552F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A2DA78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Outside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primary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construct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scope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.</w:t>
            </w:r>
          </w:p>
        </w:tc>
      </w:tr>
      <w:tr w:rsidR="00AA6D20" w:rsidRPr="004F248E" w14:paraId="59783F25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620C2F6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Additional symptoms (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general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1E40FDE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541697A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Symptom-centred extension not consistent with reconceptualised construct approach.</w:t>
            </w:r>
          </w:p>
        </w:tc>
      </w:tr>
      <w:tr w:rsidR="00AA6D20" w:rsidRPr="00C76337" w14:paraId="1114EFD0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51B466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Comorbidities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268E710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D751E36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Requires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independent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assessment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instrument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.</w:t>
            </w:r>
          </w:p>
        </w:tc>
      </w:tr>
      <w:tr w:rsidR="00AA6D20" w:rsidRPr="00C76337" w14:paraId="005F72E3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B40AB2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Social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support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security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AF2873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539AAEF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Outside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primary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construct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scope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.</w:t>
            </w:r>
          </w:p>
        </w:tc>
      </w:tr>
      <w:tr w:rsidR="00AA6D20" w:rsidRPr="004F248E" w14:paraId="55822648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8C71CB2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PEM in children and adolescents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9A4B547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ECB3A22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Requires separate, age-adapted instrument development.</w:t>
            </w:r>
          </w:p>
        </w:tc>
      </w:tr>
    </w:tbl>
    <w:p w14:paraId="7D0382C7" w14:textId="77777777" w:rsidR="00AA6D20" w:rsidRPr="00C76337" w:rsidRDefault="00A36BD5">
      <w:pPr>
        <w:spacing w:before="80" w:after="20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i/>
          <w:iCs/>
          <w:sz w:val="17"/>
          <w:szCs w:val="17"/>
          <w:lang w:val="en-GB"/>
        </w:rPr>
        <w:t xml:space="preserve">Note. </w:t>
      </w:r>
      <w:r w:rsidRPr="00C76337">
        <w:rPr>
          <w:rFonts w:ascii="Times New Roman" w:hAnsi="Times New Roman" w:cs="Times New Roman"/>
          <w:sz w:val="17"/>
          <w:szCs w:val="17"/>
          <w:lang w:val="en-GB"/>
        </w:rPr>
        <w:t>Items not adopted were excluded on grounds of construct scope, instrument economy, or methodological risk as specified in the rationale column.</w:t>
      </w:r>
    </w:p>
    <w:p w14:paraId="0ABCF858" w14:textId="77777777" w:rsidR="00AA6D20" w:rsidRPr="00C76337" w:rsidRDefault="00A36BD5">
      <w:pPr>
        <w:spacing w:before="220" w:after="80"/>
        <w:rPr>
          <w:rFonts w:ascii="Times New Roman" w:hAnsi="Times New Roman" w:cs="Times New Roman"/>
        </w:rPr>
      </w:pPr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Table S2.3 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Linguistic</w:t>
      </w:r>
      <w:proofErr w:type="spellEnd"/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revisions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400"/>
        <w:gridCol w:w="5426"/>
      </w:tblGrid>
      <w:tr w:rsidR="00AA6D20" w:rsidRPr="00C76337" w14:paraId="3BA8ED87" w14:textId="77777777">
        <w:trPr>
          <w:tblHeader/>
        </w:trPr>
        <w:tc>
          <w:tcPr>
            <w:tcW w:w="22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0E8FF8C0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Subcode</w:t>
            </w:r>
            <w:proofErr w:type="spellEnd"/>
          </w:p>
        </w:tc>
        <w:tc>
          <w:tcPr>
            <w:tcW w:w="14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44469ABE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Decision</w:t>
            </w:r>
            <w:proofErr w:type="spellEnd"/>
          </w:p>
        </w:tc>
        <w:tc>
          <w:tcPr>
            <w:tcW w:w="5426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63AB3F5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Implementation / rationale</w:t>
            </w:r>
          </w:p>
        </w:tc>
      </w:tr>
      <w:tr w:rsidR="00AA6D20" w:rsidRPr="004F248E" w14:paraId="6723AA86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AAD2B7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Inappropriate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terminology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06A0CEA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F7E30D1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 xml:space="preserve">Terms identified as inadequate (e.g.,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Erschöpfung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Müdigkeit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Schwäche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) removed or replaced with construct-appropriate language.</w:t>
            </w:r>
          </w:p>
        </w:tc>
      </w:tr>
      <w:tr w:rsidR="00AA6D20" w:rsidRPr="004F248E" w14:paraId="7C581168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E51C66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Complex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contradictory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wording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2350A3B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7D61E60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Multi-aspect sentences simplified; contradictory phrasing resolved.</w:t>
            </w:r>
          </w:p>
        </w:tc>
      </w:tr>
      <w:tr w:rsidR="00AA6D20" w:rsidRPr="004F248E" w14:paraId="4A8EF2E4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9A0AD07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Vague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imprecise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wording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41AD54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4743E83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Time and frequency references standardised (hours, days, weeks); vague quantifiers replaced with anchored examples.</w:t>
            </w:r>
          </w:p>
        </w:tc>
      </w:tr>
      <w:tr w:rsidR="00AA6D20" w:rsidRPr="004F248E" w14:paraId="378485EB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90903B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Inadequate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symptom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descriptors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9E0A37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–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reconception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9EB6B69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 xml:space="preserve">Isolated single-symptom response options replaced through comprehensive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reconceptualisation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 xml:space="preserve"> of item structure.</w:t>
            </w:r>
          </w:p>
        </w:tc>
      </w:tr>
    </w:tbl>
    <w:p w14:paraId="72125BFD" w14:textId="77777777" w:rsidR="00AA6D20" w:rsidRPr="00C76337" w:rsidRDefault="00A36BD5">
      <w:pPr>
        <w:spacing w:before="80" w:after="20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i/>
          <w:iCs/>
          <w:sz w:val="17"/>
          <w:szCs w:val="17"/>
          <w:lang w:val="en-GB"/>
        </w:rPr>
        <w:t xml:space="preserve">Note. </w:t>
      </w:r>
      <w:r w:rsidRPr="00C76337">
        <w:rPr>
          <w:rFonts w:ascii="Times New Roman" w:hAnsi="Times New Roman" w:cs="Times New Roman"/>
          <w:sz w:val="17"/>
          <w:szCs w:val="17"/>
          <w:lang w:val="en-GB"/>
        </w:rPr>
        <w:t xml:space="preserve">"Noted – </w:t>
      </w:r>
      <w:proofErr w:type="spellStart"/>
      <w:r w:rsidRPr="00C76337">
        <w:rPr>
          <w:rFonts w:ascii="Times New Roman" w:hAnsi="Times New Roman" w:cs="Times New Roman"/>
          <w:sz w:val="17"/>
          <w:szCs w:val="17"/>
          <w:lang w:val="en-GB"/>
        </w:rPr>
        <w:t>reconception</w:t>
      </w:r>
      <w:proofErr w:type="spellEnd"/>
      <w:r w:rsidRPr="00C76337">
        <w:rPr>
          <w:rFonts w:ascii="Times New Roman" w:hAnsi="Times New Roman" w:cs="Times New Roman"/>
          <w:sz w:val="17"/>
          <w:szCs w:val="17"/>
          <w:lang w:val="en-GB"/>
        </w:rPr>
        <w:t>" indicates that the feedback was addressed through structural redesign rather than direct item-level language revision.</w:t>
      </w:r>
    </w:p>
    <w:p w14:paraId="455FEE06" w14:textId="77777777" w:rsidR="00AA6D20" w:rsidRPr="00C76337" w:rsidRDefault="00A36BD5">
      <w:pPr>
        <w:spacing w:before="220" w:after="80"/>
        <w:rPr>
          <w:rFonts w:ascii="Times New Roman" w:hAnsi="Times New Roman" w:cs="Times New Roman"/>
        </w:rPr>
      </w:pPr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Table S2.4 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Structural</w:t>
      </w:r>
      <w:proofErr w:type="spellEnd"/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revisions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400"/>
        <w:gridCol w:w="5426"/>
      </w:tblGrid>
      <w:tr w:rsidR="00AA6D20" w:rsidRPr="00C76337" w14:paraId="795927F6" w14:textId="77777777">
        <w:trPr>
          <w:tblHeader/>
        </w:trPr>
        <w:tc>
          <w:tcPr>
            <w:tcW w:w="22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0C3B326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Subcode</w:t>
            </w:r>
            <w:proofErr w:type="spellEnd"/>
          </w:p>
        </w:tc>
        <w:tc>
          <w:tcPr>
            <w:tcW w:w="14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560A35B2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Decision</w:t>
            </w:r>
            <w:proofErr w:type="spellEnd"/>
          </w:p>
        </w:tc>
        <w:tc>
          <w:tcPr>
            <w:tcW w:w="5426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60BACD0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Implementation / rationale</w:t>
            </w:r>
          </w:p>
        </w:tc>
      </w:tr>
      <w:tr w:rsidR="00AA6D20" w:rsidRPr="004F248E" w14:paraId="4B500445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C5F0A1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Inappropriate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response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format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512183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Partially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2373743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Response options sharpened and gradations clarified. Structured multiple-count items introduced for crash severity and recovery duration. Classical multiple-answer formats not adopted to preserve response comparability.</w:t>
            </w:r>
          </w:p>
        </w:tc>
      </w:tr>
      <w:tr w:rsidR="00AA6D20" w:rsidRPr="004F248E" w14:paraId="63AE154F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7C0998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Layout and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formatting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2CE3D9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–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major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D1E6FA7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Readability and visual structure improved; each item presented on a separate page with increased spacing.</w:t>
            </w:r>
          </w:p>
        </w:tc>
      </w:tr>
      <w:tr w:rsidR="00AA6D20" w:rsidRPr="004F248E" w14:paraId="0A52A021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874680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Item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ordering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4C7460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–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major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BD58B6D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Item sequence reorganised as part of overall structural revision.</w:t>
            </w:r>
          </w:p>
        </w:tc>
      </w:tr>
      <w:tr w:rsidR="00AA6D20" w:rsidRPr="004F248E" w14:paraId="660318A8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ED5C910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Item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questionnaire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length</w:t>
            </w:r>
            <w:proofErr w:type="spellEnd"/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A8F31B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Partially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5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2724D0F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Item count reduced from 13 to 5 core questions. Standard-format sub-scales retained in full to preserve content precision.</w:t>
            </w:r>
          </w:p>
        </w:tc>
      </w:tr>
    </w:tbl>
    <w:p w14:paraId="1FD5C790" w14:textId="77777777" w:rsidR="00AA6D20" w:rsidRPr="00C76337" w:rsidRDefault="00A36BD5">
      <w:pPr>
        <w:spacing w:before="80" w:after="20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i/>
          <w:iCs/>
          <w:sz w:val="17"/>
          <w:szCs w:val="17"/>
          <w:lang w:val="en-GB"/>
        </w:rPr>
        <w:t xml:space="preserve">Note. </w:t>
      </w:r>
      <w:r w:rsidRPr="00C76337">
        <w:rPr>
          <w:rFonts w:ascii="Times New Roman" w:hAnsi="Times New Roman" w:cs="Times New Roman"/>
          <w:sz w:val="17"/>
          <w:szCs w:val="17"/>
          <w:lang w:val="en-GB"/>
        </w:rPr>
        <w:t>"Noted – major revision" indicates that the feedback was addressed within the overall structural reorganisation of the instrument.</w:t>
      </w:r>
    </w:p>
    <w:p w14:paraId="6755B3AE" w14:textId="77777777" w:rsidR="00AA6D20" w:rsidRPr="00C76337" w:rsidRDefault="00A36BD5">
      <w:pPr>
        <w:spacing w:before="220" w:after="80"/>
        <w:rPr>
          <w:rFonts w:ascii="Times New Roman" w:hAnsi="Times New Roman" w:cs="Times New Roman"/>
        </w:rPr>
      </w:pPr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Table S2.5 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Burden</w:t>
      </w:r>
      <w:proofErr w:type="spellEnd"/>
      <w:r w:rsidRPr="00C76337">
        <w:rPr>
          <w:rFonts w:ascii="Times New Roman" w:hAnsi="Times New Roman" w:cs="Times New Roman"/>
          <w:b/>
          <w:bCs/>
          <w:sz w:val="21"/>
          <w:szCs w:val="21"/>
        </w:rPr>
        <w:t xml:space="preserve"> of </w:t>
      </w:r>
      <w:proofErr w:type="spellStart"/>
      <w:r w:rsidRPr="00C76337">
        <w:rPr>
          <w:rFonts w:ascii="Times New Roman" w:hAnsi="Times New Roman" w:cs="Times New Roman"/>
          <w:b/>
          <w:bCs/>
          <w:sz w:val="21"/>
          <w:szCs w:val="21"/>
        </w:rPr>
        <w:t>completion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5026"/>
      </w:tblGrid>
      <w:tr w:rsidR="00AA6D20" w:rsidRPr="00C76337" w14:paraId="7751BE99" w14:textId="77777777">
        <w:trPr>
          <w:tblHeader/>
        </w:trPr>
        <w:tc>
          <w:tcPr>
            <w:tcW w:w="20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5DDB0847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lastRenderedPageBreak/>
              <w:t>Subcode</w:t>
            </w:r>
            <w:proofErr w:type="spellEnd"/>
          </w:p>
        </w:tc>
        <w:tc>
          <w:tcPr>
            <w:tcW w:w="20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36D9857A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 xml:space="preserve">Role in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5026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51E2728F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Interpretation</w:t>
            </w:r>
          </w:p>
        </w:tc>
      </w:tr>
      <w:tr w:rsidR="00AA6D20" w:rsidRPr="004F248E" w14:paraId="5285009A" w14:textId="77777777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609EDF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Cognitive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burden</w:t>
            </w:r>
            <w:proofErr w:type="spellEnd"/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5FA01DB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–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interpretation</w:t>
            </w:r>
            <w:proofErr w:type="spellEnd"/>
          </w:p>
        </w:tc>
        <w:tc>
          <w:tcPr>
            <w:tcW w:w="5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325F717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Inherent trade-off between content precision and completion economy; item depth not reduced.</w:t>
            </w:r>
          </w:p>
        </w:tc>
      </w:tr>
      <w:tr w:rsidR="00AA6D20" w:rsidRPr="004F248E" w14:paraId="6CCA440B" w14:textId="77777777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374E637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Emotional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burden</w:t>
            </w:r>
            <w:proofErr w:type="spellEnd"/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6B0B6C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Indirectly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addressed</w:t>
            </w:r>
            <w:proofErr w:type="spellEnd"/>
          </w:p>
        </w:tc>
        <w:tc>
          <w:tcPr>
            <w:tcW w:w="5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45FDDBD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Conceptual ambiguities and frustrating formulations resolved through linguistic and conceptual revision.</w:t>
            </w:r>
          </w:p>
        </w:tc>
      </w:tr>
      <w:tr w:rsidR="00AA6D20" w:rsidRPr="004F248E" w14:paraId="1CC65072" w14:textId="77777777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6A15687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Physical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burden</w:t>
            </w:r>
            <w:proofErr w:type="spellEnd"/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6814EB0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–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interpretation</w:t>
            </w:r>
            <w:proofErr w:type="spellEnd"/>
          </w:p>
        </w:tc>
        <w:tc>
          <w:tcPr>
            <w:tcW w:w="5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9B48103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No structural modification; addressed through overall item reduction.</w:t>
            </w:r>
          </w:p>
        </w:tc>
      </w:tr>
    </w:tbl>
    <w:p w14:paraId="7F08DEBB" w14:textId="77777777" w:rsidR="00AA6D20" w:rsidRPr="00C76337" w:rsidRDefault="00A36BD5">
      <w:pPr>
        <w:spacing w:before="80" w:after="200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i/>
          <w:iCs/>
          <w:sz w:val="17"/>
          <w:szCs w:val="17"/>
          <w:lang w:val="en-GB"/>
        </w:rPr>
        <w:t xml:space="preserve">Note. </w:t>
      </w:r>
      <w:r w:rsidRPr="00C76337">
        <w:rPr>
          <w:rFonts w:ascii="Times New Roman" w:hAnsi="Times New Roman" w:cs="Times New Roman"/>
          <w:sz w:val="17"/>
          <w:szCs w:val="17"/>
          <w:lang w:val="en-GB"/>
        </w:rPr>
        <w:t>Burden-related feedback did not directly drive item revision but informed interpretation of findings and contextualised the overall development approach.</w:t>
      </w:r>
    </w:p>
    <w:p w14:paraId="1255AA6A" w14:textId="77777777" w:rsidR="00AA6D20" w:rsidRPr="00916F10" w:rsidRDefault="00A36BD5">
      <w:pPr>
        <w:spacing w:before="220" w:after="80"/>
        <w:rPr>
          <w:rFonts w:ascii="Times New Roman" w:hAnsi="Times New Roman" w:cs="Times New Roman"/>
        </w:rPr>
      </w:pPr>
      <w:r w:rsidRPr="00916F10">
        <w:rPr>
          <w:rFonts w:ascii="Times New Roman" w:hAnsi="Times New Roman" w:cs="Times New Roman"/>
          <w:b/>
          <w:bCs/>
          <w:sz w:val="21"/>
          <w:szCs w:val="21"/>
        </w:rPr>
        <w:t xml:space="preserve">Table S2.6  Positive </w:t>
      </w:r>
      <w:proofErr w:type="spellStart"/>
      <w:r w:rsidRPr="00916F10">
        <w:rPr>
          <w:rFonts w:ascii="Times New Roman" w:hAnsi="Times New Roman" w:cs="Times New Roman"/>
          <w:b/>
          <w:bCs/>
          <w:sz w:val="21"/>
          <w:szCs w:val="21"/>
        </w:rPr>
        <w:t>feedback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5026"/>
      </w:tblGrid>
      <w:tr w:rsidR="00AA6D20" w:rsidRPr="00C76337" w14:paraId="55FA5287" w14:textId="77777777">
        <w:trPr>
          <w:tblHeader/>
        </w:trPr>
        <w:tc>
          <w:tcPr>
            <w:tcW w:w="20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7B776F5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Subcode</w:t>
            </w:r>
            <w:proofErr w:type="spellEnd"/>
          </w:p>
        </w:tc>
        <w:tc>
          <w:tcPr>
            <w:tcW w:w="20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2FF807DF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 xml:space="preserve">Role in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revision</w:t>
            </w:r>
            <w:proofErr w:type="spellEnd"/>
          </w:p>
        </w:tc>
        <w:tc>
          <w:tcPr>
            <w:tcW w:w="5026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5952BBC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Interpretation</w:t>
            </w:r>
          </w:p>
        </w:tc>
      </w:tr>
      <w:tr w:rsidR="00AA6D20" w:rsidRPr="004F248E" w14:paraId="34C86EE6" w14:textId="77777777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F3CD656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Coherence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and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BF7A48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Validation support</w:t>
            </w:r>
          </w:p>
        </w:tc>
        <w:tc>
          <w:tcPr>
            <w:tcW w:w="5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66F3EC9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Confirms instrument coherence; aligns with high practicability ratings (F6: 92.3%, F7: 61.5%).</w:t>
            </w:r>
          </w:p>
        </w:tc>
      </w:tr>
      <w:tr w:rsidR="00AA6D20" w:rsidRPr="004F248E" w14:paraId="48BB32C9" w14:textId="77777777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8534B2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Appreciation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/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acknowledgement</w:t>
            </w:r>
            <w:proofErr w:type="spellEnd"/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E7678E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Contextualising</w:t>
            </w:r>
            <w:proofErr w:type="spellEnd"/>
          </w:p>
        </w:tc>
        <w:tc>
          <w:tcPr>
            <w:tcW w:w="5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208DAB6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Reflects acceptance of the participatory development process.</w:t>
            </w:r>
          </w:p>
        </w:tc>
      </w:tr>
      <w:tr w:rsidR="00AA6D20" w:rsidRPr="00C76337" w14:paraId="4AFDD137" w14:textId="77777777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0982B7A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Feasibility</w:t>
            </w:r>
            <w:proofErr w:type="spellEnd"/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8C8B4B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Validation support</w:t>
            </w:r>
          </w:p>
        </w:tc>
        <w:tc>
          <w:tcPr>
            <w:tcW w:w="5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6C9E909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Corroborates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quantitative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practicability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ratings.</w:t>
            </w:r>
          </w:p>
        </w:tc>
      </w:tr>
      <w:tr w:rsidR="00AA6D20" w:rsidRPr="004F248E" w14:paraId="4B379B9C" w14:textId="77777777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65007BF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Comprehensibility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745D8EB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Validation support</w:t>
            </w:r>
          </w:p>
        </w:tc>
        <w:tc>
          <w:tcPr>
            <w:tcW w:w="5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D9F817E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Supports quantitative comprehensibility ratings (F5: 76.9%).</w:t>
            </w:r>
          </w:p>
        </w:tc>
      </w:tr>
    </w:tbl>
    <w:p w14:paraId="2F598B89" w14:textId="0C3382DE" w:rsidR="00AA6D20" w:rsidRDefault="00A36B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  <w:r w:rsidRPr="00C76337">
        <w:rPr>
          <w:rFonts w:ascii="Times New Roman" w:hAnsi="Times New Roman" w:cs="Times New Roman"/>
          <w:i/>
          <w:iCs/>
          <w:sz w:val="17"/>
          <w:szCs w:val="17"/>
          <w:lang w:val="en-GB"/>
        </w:rPr>
        <w:t xml:space="preserve">Note. </w:t>
      </w:r>
      <w:r w:rsidRPr="00C76337">
        <w:rPr>
          <w:rFonts w:ascii="Times New Roman" w:hAnsi="Times New Roman" w:cs="Times New Roman"/>
          <w:sz w:val="17"/>
          <w:szCs w:val="17"/>
          <w:lang w:val="en-GB"/>
        </w:rPr>
        <w:t>Positive feedback was not used to guide revision decisions but was documented as evidence of instrument acceptability and face validity.</w:t>
      </w:r>
    </w:p>
    <w:p w14:paraId="2F302D2E" w14:textId="66420FD5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0F663B38" w14:textId="5FFA88D7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29609479" w14:textId="792C9CCD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3F88632D" w14:textId="6E51952E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4AD4EBC3" w14:textId="656580F6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02115781" w14:textId="6E56A62F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0D324D5E" w14:textId="5DCED61B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62F8A42C" w14:textId="77BF0811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76A57D71" w14:textId="45CA4F43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7D4F96E0" w14:textId="715C11E6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74278E93" w14:textId="2C959E81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02EE9382" w14:textId="159D9122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58D593F4" w14:textId="1499D6E1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6CD5240B" w14:textId="47D49D93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42ADF9AD" w14:textId="2750438E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4D3C7308" w14:textId="2315C895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15BCCB55" w14:textId="06D12F22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2209E81F" w14:textId="711AACA6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275E4FC5" w14:textId="68270EF5" w:rsidR="00916F10" w:rsidRDefault="00916F10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194AD4C6" w14:textId="77777777" w:rsidR="00AA6D20" w:rsidRPr="00916F10" w:rsidRDefault="00A36BD5">
      <w:pPr>
        <w:pBdr>
          <w:bottom w:val="single" w:sz="6" w:space="4" w:color="1F3864"/>
        </w:pBdr>
        <w:spacing w:before="320" w:after="100"/>
        <w:rPr>
          <w:rFonts w:ascii="Times New Roman" w:hAnsi="Times New Roman" w:cs="Times New Roman"/>
          <w:lang w:val="en-GB"/>
        </w:rPr>
      </w:pPr>
      <w:r w:rsidRPr="00916F10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S2.2  Triangulation Cycle 2: Expert Panel Evaluation</w:t>
      </w:r>
    </w:p>
    <w:p w14:paraId="66D166C6" w14:textId="77777777" w:rsidR="00AA6D20" w:rsidRPr="00C76337" w:rsidRDefault="00A36BD5">
      <w:pPr>
        <w:spacing w:after="160" w:line="276" w:lineRule="auto"/>
        <w:jc w:val="both"/>
        <w:rPr>
          <w:rFonts w:ascii="Times New Roman" w:hAnsi="Times New Roman" w:cs="Times New Roman"/>
          <w:lang w:val="en-GB"/>
        </w:rPr>
      </w:pPr>
      <w:r w:rsidRPr="00C76337">
        <w:rPr>
          <w:rFonts w:ascii="Times New Roman" w:hAnsi="Times New Roman" w:cs="Times New Roman"/>
          <w:color w:val="111111"/>
          <w:sz w:val="18"/>
          <w:szCs w:val="18"/>
          <w:lang w:val="en-GB"/>
        </w:rPr>
        <w:t>Table S2.7 summarises all revision decisions derived from the expert panel evaluation phase, including quantitative rating context, qualitative feedback, decision, and implementation rationale.</w:t>
      </w:r>
    </w:p>
    <w:p w14:paraId="0A60B8A3" w14:textId="77777777" w:rsidR="00AA6D20" w:rsidRPr="00916F10" w:rsidRDefault="00A36BD5">
      <w:pPr>
        <w:spacing w:before="220" w:after="80"/>
        <w:rPr>
          <w:rFonts w:ascii="Times New Roman" w:hAnsi="Times New Roman" w:cs="Times New Roman"/>
          <w:lang w:val="en-GB"/>
        </w:rPr>
      </w:pPr>
      <w:r w:rsidRPr="00916F10">
        <w:rPr>
          <w:rFonts w:ascii="Times New Roman" w:hAnsi="Times New Roman" w:cs="Times New Roman"/>
          <w:b/>
          <w:bCs/>
          <w:sz w:val="21"/>
          <w:szCs w:val="21"/>
          <w:lang w:val="en-GB"/>
        </w:rPr>
        <w:t>Table S2.7  Expert panel revision decisions by dimension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800"/>
        <w:gridCol w:w="1300"/>
        <w:gridCol w:w="3226"/>
      </w:tblGrid>
      <w:tr w:rsidR="00AA6D20" w:rsidRPr="00C76337" w14:paraId="7EB80459" w14:textId="77777777">
        <w:trPr>
          <w:tblHeader/>
        </w:trPr>
        <w:tc>
          <w:tcPr>
            <w:tcW w:w="17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3B97FE9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Dimension / item</w:t>
            </w:r>
          </w:p>
        </w:tc>
        <w:tc>
          <w:tcPr>
            <w:tcW w:w="28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510F85C1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 xml:space="preserve">Expert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feedback</w:t>
            </w:r>
            <w:proofErr w:type="spellEnd"/>
          </w:p>
        </w:tc>
        <w:tc>
          <w:tcPr>
            <w:tcW w:w="1300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5B8B2A35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Decision</w:t>
            </w:r>
            <w:proofErr w:type="spellEnd"/>
          </w:p>
        </w:tc>
        <w:tc>
          <w:tcPr>
            <w:tcW w:w="3226" w:type="dxa"/>
            <w:tcBorders>
              <w:top w:val="single" w:sz="12" w:space="0" w:color="1F3864"/>
              <w:left w:val="single" w:sz="4" w:space="0" w:color="BBBBBB"/>
              <w:bottom w:val="single" w:sz="12" w:space="0" w:color="1F3864"/>
              <w:right w:val="single" w:sz="4" w:space="0" w:color="BBBBBB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04DF1F1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Implementation / rationale</w:t>
            </w:r>
          </w:p>
        </w:tc>
      </w:tr>
      <w:tr w:rsidR="00AA6D20" w:rsidRPr="00C76337" w14:paraId="22BDAEC1" w14:textId="77777777"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48BD279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Content validity A1–A3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33166DCF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Eight-week recall period rated acceptable to very suitable (63.7% categories 3–5). Alternatives of 4 and 12 weeks proposed. Earlier episodes and "ongoing decliners" noted as not captured.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E7F6FCB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Retained</w:t>
            </w:r>
            <w:proofErr w:type="spellEnd"/>
          </w:p>
        </w:tc>
        <w:tc>
          <w:tcPr>
            <w:tcW w:w="3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9F0B787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 xml:space="preserve">Eight-week window retained; shorter periods risk sampling a single phase; longer periods increase recall bias.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Ongoing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decline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acknowledged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a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limitation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.</w:t>
            </w:r>
          </w:p>
        </w:tc>
      </w:tr>
      <w:tr w:rsidR="00AA6D20" w:rsidRPr="004F248E" w14:paraId="7554A60D" w14:textId="77777777"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1E5ED90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Content validity General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CD7AA24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Delayed onset not considered mandatory; disproportionality to exertion identified as the essential defining feature.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8A71873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3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D61A070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Delayed onset reformulated as frequent but non-obligatory; disproportionality foregrounded in definition.</w:t>
            </w:r>
          </w:p>
        </w:tc>
      </w:tr>
      <w:tr w:rsidR="00AA6D20" w:rsidRPr="004F248E" w14:paraId="493E7FF1" w14:textId="77777777"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B7337DC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Content validity Item 2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E32C592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Social stressors recommended for inclusion as PEM triggers.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1CD232EE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3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6F8937A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Social dimension consolidated with emotional triggers (emotional/social category) in exertion matrix.</w:t>
            </w:r>
          </w:p>
        </w:tc>
      </w:tr>
      <w:tr w:rsidR="00AA6D20" w:rsidRPr="004F248E" w14:paraId="4F43BA41" w14:textId="77777777"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DBF2B7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Comprehensibility B1–B3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9F3A284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 xml:space="preserve">B1 reading level and short sentences recommended. "Cognitive" → "mental exertion" proposed. PEM definition described as extensive.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Consistent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terminology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recommended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.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Column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headers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in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items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3–4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considered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imprecise</w:t>
            </w:r>
            <w:proofErr w:type="spellEnd"/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.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2AE689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Partially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 xml:space="preserve">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7A0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3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7F00D86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Plain-language equivalents used throughout. "Cognitive" retained but supplemented with "mental activity". Definition maintained in full scope. Terminology standardised. Column headers revised for precision.</w:t>
            </w:r>
          </w:p>
        </w:tc>
      </w:tr>
      <w:tr w:rsidR="00AA6D20" w:rsidRPr="004F248E" w14:paraId="12B627D0" w14:textId="77777777"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44D21A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Practicability C1–C3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E112643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Addition of "none of the above" with free-text field proposed.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02F5B87A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3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7B2D585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Free-text format would reduce standardisation and increase respondent burden; response categories confirmed as well differentiated (C3: 90.9%).</w:t>
            </w:r>
          </w:p>
        </w:tc>
      </w:tr>
      <w:tr w:rsidR="00AA6D20" w:rsidRPr="004F248E" w14:paraId="4FA7D4C8" w14:textId="77777777"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1220E88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Methodological aspects D1–D3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42946B8C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Boundary between delayed worsening and crash described as unclear. Inconsistency between ≥14-hour minimum duration (item 1) and shorter options in item 4 noted.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52EEA250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1A7A55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3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7D5C9B4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"Crash" adopted consistently throughout. Fixed minimum duration removed from definition; inconsistency resolved.</w:t>
            </w:r>
          </w:p>
        </w:tc>
      </w:tr>
      <w:tr w:rsidR="00AA6D20" w:rsidRPr="004F248E" w14:paraId="3D8DBBB1" w14:textId="77777777"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49AE70D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Target-group specificity E1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759EDB39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Severely affected individuals may be overwhelmed; two-part instrument proposed.</w:t>
            </w:r>
          </w:p>
        </w:tc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6A4D237F" w14:textId="77777777" w:rsidR="00AA6D20" w:rsidRPr="00C76337" w:rsidRDefault="00A36BD5">
            <w:pPr>
              <w:rPr>
                <w:rFonts w:ascii="Times New Roman" w:hAnsi="Times New Roman" w:cs="Times New Roman"/>
              </w:rPr>
            </w:pP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Noted</w:t>
            </w:r>
            <w:proofErr w:type="spellEnd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 xml:space="preserve"> – not </w:t>
            </w:r>
            <w:proofErr w:type="spellStart"/>
            <w:r w:rsidRPr="00C76337">
              <w:rPr>
                <w:rFonts w:ascii="Times New Roman" w:hAnsi="Times New Roman" w:cs="Times New Roman"/>
                <w:b/>
                <w:bCs/>
                <w:color w:val="B03030"/>
                <w:sz w:val="18"/>
                <w:szCs w:val="18"/>
              </w:rPr>
              <w:t>adopted</w:t>
            </w:r>
            <w:proofErr w:type="spellEnd"/>
          </w:p>
        </w:tc>
        <w:tc>
          <w:tcPr>
            <w:tcW w:w="3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4FA"/>
            <w:tcMar>
              <w:top w:w="60" w:type="dxa"/>
              <w:left w:w="110" w:type="dxa"/>
              <w:bottom w:w="60" w:type="dxa"/>
              <w:right w:w="80" w:type="dxa"/>
            </w:tcMar>
          </w:tcPr>
          <w:p w14:paraId="2C57C0D7" w14:textId="77777777" w:rsidR="00AA6D20" w:rsidRPr="00C76337" w:rsidRDefault="00A36BD5">
            <w:pPr>
              <w:rPr>
                <w:rFonts w:ascii="Times New Roman" w:hAnsi="Times New Roman" w:cs="Times New Roman"/>
                <w:lang w:val="en-GB"/>
              </w:rPr>
            </w:pPr>
            <w:r w:rsidRPr="00C76337">
              <w:rPr>
                <w:rFonts w:ascii="Times New Roman" w:hAnsi="Times New Roman" w:cs="Times New Roman"/>
                <w:color w:val="111111"/>
                <w:sz w:val="18"/>
                <w:szCs w:val="18"/>
                <w:lang w:val="en-GB"/>
              </w:rPr>
              <w:t>Requires separate development and validation pathway; outside scope of present study.</w:t>
            </w:r>
          </w:p>
        </w:tc>
      </w:tr>
    </w:tbl>
    <w:p w14:paraId="01664900" w14:textId="370A5E05" w:rsidR="00AA6D20" w:rsidRDefault="00A36B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  <w:r w:rsidRPr="00C76337">
        <w:rPr>
          <w:rFonts w:ascii="Times New Roman" w:hAnsi="Times New Roman" w:cs="Times New Roman"/>
          <w:i/>
          <w:iCs/>
          <w:sz w:val="17"/>
          <w:szCs w:val="17"/>
          <w:lang w:val="en-GB"/>
        </w:rPr>
        <w:t xml:space="preserve">Note. </w:t>
      </w:r>
      <w:r w:rsidRPr="00C76337">
        <w:rPr>
          <w:rFonts w:ascii="Times New Roman" w:hAnsi="Times New Roman" w:cs="Times New Roman"/>
          <w:sz w:val="17"/>
          <w:szCs w:val="17"/>
          <w:lang w:val="en-GB"/>
        </w:rPr>
        <w:t>All expert panel methodological items (D1–D3) received exclusively favourable ratings (100% categories 4–5) and required no structural modification. Items on medication effects and comorbidities were not raised by the expert panel and were confirmed as appropriately excluded from the core instrument.</w:t>
      </w:r>
    </w:p>
    <w:p w14:paraId="23C5B864" w14:textId="70A9F00D" w:rsidR="00D3543E" w:rsidRDefault="00D3543E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426B1763" w14:textId="216D03C3" w:rsidR="00426FD5" w:rsidRDefault="00426F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6E361EA9" w14:textId="2D433CE5" w:rsidR="00426FD5" w:rsidRDefault="00426F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0783EEA4" w14:textId="6B66CE0F" w:rsidR="00426FD5" w:rsidRDefault="00426F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61FC1666" w14:textId="1EF43820" w:rsidR="00426FD5" w:rsidRDefault="00426F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1A19DAC6" w14:textId="6CEAABC7" w:rsidR="00426FD5" w:rsidRDefault="00426F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p w14:paraId="01CCE6EF" w14:textId="77777777" w:rsidR="00426FD5" w:rsidRDefault="00426FD5">
      <w:pPr>
        <w:spacing w:before="80" w:after="200"/>
        <w:rPr>
          <w:rFonts w:ascii="Times New Roman" w:hAnsi="Times New Roman" w:cs="Times New Roman"/>
          <w:sz w:val="17"/>
          <w:szCs w:val="17"/>
          <w:lang w:val="en-GB"/>
        </w:rPr>
      </w:pPr>
    </w:p>
    <w:sectPr w:rsidR="00426FD5" w:rsidSect="00426FD5">
      <w:headerReference w:type="default" r:id="rId7"/>
      <w:footerReference w:type="default" r:id="rId8"/>
      <w:pgSz w:w="12240" w:h="15840"/>
      <w:pgMar w:top="1260" w:right="1260" w:bottom="126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D6C9" w14:textId="77777777" w:rsidR="002A093F" w:rsidRDefault="002A093F">
      <w:r>
        <w:separator/>
      </w:r>
    </w:p>
  </w:endnote>
  <w:endnote w:type="continuationSeparator" w:id="0">
    <w:p w14:paraId="24B32071" w14:textId="77777777" w:rsidR="002A093F" w:rsidRDefault="002A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5A8E" w14:textId="77777777" w:rsidR="00AA6D20" w:rsidRDefault="00A36BD5">
    <w:pPr>
      <w:pBdr>
        <w:top w:val="single" w:sz="4" w:space="4" w:color="BBBBBB"/>
      </w:pBdr>
      <w:spacing w:before="80"/>
      <w:jc w:val="center"/>
    </w:pPr>
    <w:r>
      <w:rPr>
        <w:color w:val="888888"/>
        <w:sz w:val="17"/>
        <w:szCs w:val="17"/>
      </w:rPr>
      <w:t xml:space="preserve">Page </w:t>
    </w:r>
    <w:r>
      <w:rPr>
        <w:color w:val="888888"/>
        <w:sz w:val="17"/>
        <w:szCs w:val="17"/>
      </w:rPr>
      <w:fldChar w:fldCharType="begin"/>
    </w:r>
    <w:r>
      <w:rPr>
        <w:color w:val="888888"/>
        <w:sz w:val="17"/>
        <w:szCs w:val="17"/>
      </w:rPr>
      <w:instrText>PAGE</w:instrText>
    </w:r>
    <w:r>
      <w:rPr>
        <w:color w:val="888888"/>
        <w:sz w:val="17"/>
        <w:szCs w:val="17"/>
      </w:rPr>
      <w:fldChar w:fldCharType="separate"/>
    </w:r>
    <w:r w:rsidR="00C76337">
      <w:rPr>
        <w:noProof/>
        <w:color w:val="888888"/>
        <w:sz w:val="17"/>
        <w:szCs w:val="17"/>
      </w:rPr>
      <w:t>1</w:t>
    </w:r>
    <w:r>
      <w:rPr>
        <w:color w:val="888888"/>
        <w:sz w:val="17"/>
        <w:szCs w:val="17"/>
      </w:rPr>
      <w:fldChar w:fldCharType="end"/>
    </w:r>
    <w:r>
      <w:rPr>
        <w:color w:val="888888"/>
        <w:sz w:val="17"/>
        <w:szCs w:val="17"/>
      </w:rPr>
      <w:t xml:space="preserve"> of </w:t>
    </w:r>
    <w:r>
      <w:rPr>
        <w:color w:val="888888"/>
        <w:sz w:val="17"/>
        <w:szCs w:val="17"/>
      </w:rPr>
      <w:fldChar w:fldCharType="begin"/>
    </w:r>
    <w:r>
      <w:rPr>
        <w:color w:val="888888"/>
        <w:sz w:val="17"/>
        <w:szCs w:val="17"/>
      </w:rPr>
      <w:instrText>NUMPAGES</w:instrText>
    </w:r>
    <w:r>
      <w:rPr>
        <w:color w:val="888888"/>
        <w:sz w:val="17"/>
        <w:szCs w:val="17"/>
      </w:rPr>
      <w:fldChar w:fldCharType="separate"/>
    </w:r>
    <w:r w:rsidR="00C76337">
      <w:rPr>
        <w:noProof/>
        <w:color w:val="888888"/>
        <w:sz w:val="17"/>
        <w:szCs w:val="17"/>
      </w:rPr>
      <w:t>2</w:t>
    </w:r>
    <w:r>
      <w:rPr>
        <w:color w:val="888888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3D02" w14:textId="77777777" w:rsidR="002A093F" w:rsidRDefault="002A093F">
      <w:r>
        <w:separator/>
      </w:r>
    </w:p>
  </w:footnote>
  <w:footnote w:type="continuationSeparator" w:id="0">
    <w:p w14:paraId="79BE95A6" w14:textId="77777777" w:rsidR="002A093F" w:rsidRDefault="002A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B1E6" w14:textId="67E1BDA5" w:rsidR="00AA6D20" w:rsidRPr="00C76337" w:rsidRDefault="00A36BD5">
    <w:pPr>
      <w:pBdr>
        <w:bottom w:val="single" w:sz="4" w:space="4" w:color="BBBBBB"/>
      </w:pBdr>
      <w:spacing w:after="100"/>
      <w:jc w:val="right"/>
      <w:rPr>
        <w:lang w:val="en-GB"/>
      </w:rPr>
    </w:pPr>
    <w:r w:rsidRPr="00C76337">
      <w:rPr>
        <w:color w:val="888888"/>
        <w:sz w:val="17"/>
        <w:szCs w:val="17"/>
        <w:lang w:val="en-GB"/>
      </w:rPr>
      <w:t xml:space="preserve">Supplementary File S2 </w:t>
    </w:r>
    <w:r w:rsidR="00C76337">
      <w:rPr>
        <w:color w:val="888888"/>
        <w:sz w:val="17"/>
        <w:szCs w:val="17"/>
        <w:lang w:val="en-GB"/>
      </w:rPr>
      <w:t xml:space="preserve">- </w:t>
    </w:r>
    <w:r w:rsidRPr="00C76337">
      <w:rPr>
        <w:color w:val="888888"/>
        <w:sz w:val="17"/>
        <w:szCs w:val="17"/>
        <w:lang w:val="en-GB"/>
      </w:rPr>
      <w:t>VPEM Revision Matrices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FC8"/>
    <w:multiLevelType w:val="hybridMultilevel"/>
    <w:tmpl w:val="A29A6DFA"/>
    <w:lvl w:ilvl="0" w:tplc="0C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230710E"/>
    <w:multiLevelType w:val="multilevel"/>
    <w:tmpl w:val="FE7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40C4"/>
    <w:multiLevelType w:val="multilevel"/>
    <w:tmpl w:val="B9FC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E5E36"/>
    <w:multiLevelType w:val="hybridMultilevel"/>
    <w:tmpl w:val="EB6656DA"/>
    <w:lvl w:ilvl="0" w:tplc="0C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9C33BF2"/>
    <w:multiLevelType w:val="hybridMultilevel"/>
    <w:tmpl w:val="DC949A80"/>
    <w:lvl w:ilvl="0" w:tplc="B27A7DCE">
      <w:start w:val="1"/>
      <w:numFmt w:val="bullet"/>
      <w:lvlText w:val="●"/>
      <w:lvlJc w:val="left"/>
      <w:pPr>
        <w:ind w:left="720" w:hanging="360"/>
      </w:pPr>
    </w:lvl>
    <w:lvl w:ilvl="1" w:tplc="F004873E">
      <w:start w:val="1"/>
      <w:numFmt w:val="bullet"/>
      <w:lvlText w:val="○"/>
      <w:lvlJc w:val="left"/>
      <w:pPr>
        <w:ind w:left="1440" w:hanging="360"/>
      </w:pPr>
    </w:lvl>
    <w:lvl w:ilvl="2" w:tplc="CB0E58EE">
      <w:start w:val="1"/>
      <w:numFmt w:val="bullet"/>
      <w:lvlText w:val="■"/>
      <w:lvlJc w:val="left"/>
      <w:pPr>
        <w:ind w:left="2160" w:hanging="360"/>
      </w:pPr>
    </w:lvl>
    <w:lvl w:ilvl="3" w:tplc="04B621E4">
      <w:start w:val="1"/>
      <w:numFmt w:val="bullet"/>
      <w:lvlText w:val="●"/>
      <w:lvlJc w:val="left"/>
      <w:pPr>
        <w:ind w:left="2880" w:hanging="360"/>
      </w:pPr>
    </w:lvl>
    <w:lvl w:ilvl="4" w:tplc="8F7ABDC0">
      <w:start w:val="1"/>
      <w:numFmt w:val="bullet"/>
      <w:lvlText w:val="○"/>
      <w:lvlJc w:val="left"/>
      <w:pPr>
        <w:ind w:left="3600" w:hanging="360"/>
      </w:pPr>
    </w:lvl>
    <w:lvl w:ilvl="5" w:tplc="02B4FEC4">
      <w:start w:val="1"/>
      <w:numFmt w:val="bullet"/>
      <w:lvlText w:val="■"/>
      <w:lvlJc w:val="left"/>
      <w:pPr>
        <w:ind w:left="4320" w:hanging="360"/>
      </w:pPr>
    </w:lvl>
    <w:lvl w:ilvl="6" w:tplc="31CEF78C">
      <w:start w:val="1"/>
      <w:numFmt w:val="bullet"/>
      <w:lvlText w:val="●"/>
      <w:lvlJc w:val="left"/>
      <w:pPr>
        <w:ind w:left="5040" w:hanging="360"/>
      </w:pPr>
    </w:lvl>
    <w:lvl w:ilvl="7" w:tplc="3E8E35B0">
      <w:start w:val="1"/>
      <w:numFmt w:val="bullet"/>
      <w:lvlText w:val="●"/>
      <w:lvlJc w:val="left"/>
      <w:pPr>
        <w:ind w:left="5760" w:hanging="360"/>
      </w:pPr>
    </w:lvl>
    <w:lvl w:ilvl="8" w:tplc="1B68AA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0"/>
    <w:rsid w:val="0007423D"/>
    <w:rsid w:val="002A093F"/>
    <w:rsid w:val="00426FD5"/>
    <w:rsid w:val="0049140E"/>
    <w:rsid w:val="00495677"/>
    <w:rsid w:val="004D1D1F"/>
    <w:rsid w:val="004F248E"/>
    <w:rsid w:val="005C4857"/>
    <w:rsid w:val="00916F10"/>
    <w:rsid w:val="00A36BD5"/>
    <w:rsid w:val="00AA6D20"/>
    <w:rsid w:val="00B84133"/>
    <w:rsid w:val="00C276CC"/>
    <w:rsid w:val="00C76337"/>
    <w:rsid w:val="00C83016"/>
    <w:rsid w:val="00CE4C0F"/>
    <w:rsid w:val="00D3543E"/>
    <w:rsid w:val="00F0304D"/>
    <w:rsid w:val="00F10C19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B7CF"/>
  <w15:docId w15:val="{7FD8F013-465B-4B47-A75D-9C7634EC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9"/>
        <w:szCs w:val="19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763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6337"/>
  </w:style>
  <w:style w:type="paragraph" w:styleId="Fuzeile">
    <w:name w:val="footer"/>
    <w:basedOn w:val="Standard"/>
    <w:link w:val="FuzeileZchn"/>
    <w:uiPriority w:val="99"/>
    <w:unhideWhenUsed/>
    <w:rsid w:val="00C763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6337"/>
  </w:style>
  <w:style w:type="table" w:customStyle="1" w:styleId="Tabellenraster1">
    <w:name w:val="Tabellenraster1"/>
    <w:basedOn w:val="NormaleTabelle"/>
    <w:next w:val="Tabellenraster"/>
    <w:uiPriority w:val="39"/>
    <w:rsid w:val="00FE63F3"/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FE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 Kapan</cp:lastModifiedBy>
  <cp:revision>11</cp:revision>
  <dcterms:created xsi:type="dcterms:W3CDTF">2026-04-25T12:41:00Z</dcterms:created>
  <dcterms:modified xsi:type="dcterms:W3CDTF">2026-06-03T09:35:00Z</dcterms:modified>
</cp:coreProperties>
</file>