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298DE" w14:textId="77777777" w:rsidR="00612BF8" w:rsidRPr="00612BF8" w:rsidRDefault="00612BF8" w:rsidP="00612BF8">
      <w:pPr>
        <w:jc w:val="both"/>
        <w:rPr>
          <w:b/>
          <w:bCs/>
        </w:rPr>
      </w:pPr>
      <w:r w:rsidRPr="00612BF8">
        <w:rPr>
          <w:b/>
          <w:bCs/>
        </w:rPr>
        <w:t>Supplementary Methods: </w:t>
      </w:r>
      <w:r w:rsidRPr="00612BF8">
        <w:t>Detailed statistical methods, including GBD analysis methodology, INSCOC data collection protocols, complete variable definitions, missing data handling, machine learning algorithms, model development and validation procedures, and risk percentile system construction.</w:t>
      </w:r>
    </w:p>
    <w:p w14:paraId="668DE77D" w14:textId="77777777" w:rsidR="00612BF8" w:rsidRPr="00612BF8" w:rsidRDefault="00612BF8" w:rsidP="004B49D7">
      <w:pPr>
        <w:jc w:val="both"/>
        <w:rPr>
          <w:b/>
          <w:bCs/>
        </w:rPr>
      </w:pPr>
    </w:p>
    <w:p w14:paraId="4A529F0C" w14:textId="1DD09918" w:rsidR="004B49D7" w:rsidRPr="004B49D7" w:rsidRDefault="004B49D7" w:rsidP="004B49D7">
      <w:pPr>
        <w:jc w:val="both"/>
        <w:rPr>
          <w:b/>
          <w:bCs/>
        </w:rPr>
      </w:pPr>
      <w:r w:rsidRPr="004B49D7">
        <w:rPr>
          <w:b/>
          <w:bCs/>
        </w:rPr>
        <w:t>1. GBD Data Analysis</w:t>
      </w:r>
    </w:p>
    <w:p w14:paraId="5EAC75EF" w14:textId="77777777" w:rsidR="004B49D7" w:rsidRPr="004B49D7" w:rsidRDefault="004B49D7" w:rsidP="004B49D7">
      <w:pPr>
        <w:jc w:val="both"/>
        <w:rPr>
          <w:b/>
          <w:bCs/>
        </w:rPr>
      </w:pPr>
      <w:r w:rsidRPr="004B49D7">
        <w:rPr>
          <w:b/>
          <w:bCs/>
        </w:rPr>
        <w:t>1.1 Data Source and Extraction</w:t>
      </w:r>
    </w:p>
    <w:p w14:paraId="19354537" w14:textId="5506E863" w:rsidR="004B49D7" w:rsidRPr="004B49D7" w:rsidRDefault="004B49D7" w:rsidP="004B49D7">
      <w:pPr>
        <w:jc w:val="both"/>
      </w:pPr>
      <w:r w:rsidRPr="004B49D7">
        <w:t>The Global Burden of Disease Study 2021 (GBD 2021) provides annual estimates of incidence, mortality, and disability-adjusted life years (DALYs) for 371 diseases and injuries in 204 countries and territories, stratified by age and sex. Data were accessed via the Global Health Data Exchange (</w:t>
      </w:r>
      <w:proofErr w:type="spellStart"/>
      <w:r w:rsidRPr="004B49D7">
        <w:t>GHDx</w:t>
      </w:r>
      <w:proofErr w:type="spellEnd"/>
      <w:r w:rsidRPr="004B49D7">
        <w:t>) query tool</w:t>
      </w:r>
      <w:r w:rsidR="002532D9">
        <w:rPr>
          <w:rFonts w:hint="eastAsia"/>
        </w:rPr>
        <w:t xml:space="preserve"> </w:t>
      </w:r>
      <w:r w:rsidR="002532D9" w:rsidRPr="002532D9">
        <w:t>(http://ghdx.healthdata.org/gbd-results-tool)</w:t>
      </w:r>
      <w:r w:rsidRPr="004B49D7">
        <w:t>. We extracted age-standardized rates (ASR) per 100,000 population for six gastrointestinal cancers (esophageal, gastric, colorectal, liver, pancreatic, and biliary tract) in China from 1990 to 2021. Early-onset was defined as age &lt;50 years, later-onset as age ≥50 years.</w:t>
      </w:r>
    </w:p>
    <w:p w14:paraId="2BAD1E55" w14:textId="77777777" w:rsidR="004B49D7" w:rsidRPr="004B49D7" w:rsidRDefault="004B49D7" w:rsidP="004B49D7">
      <w:pPr>
        <w:jc w:val="both"/>
        <w:rPr>
          <w:b/>
          <w:bCs/>
        </w:rPr>
      </w:pPr>
      <w:r w:rsidRPr="004B49D7">
        <w:rPr>
          <w:b/>
          <w:bCs/>
        </w:rPr>
        <w:t xml:space="preserve">1.2 </w:t>
      </w:r>
      <w:proofErr w:type="spellStart"/>
      <w:r w:rsidRPr="004B49D7">
        <w:rPr>
          <w:b/>
          <w:bCs/>
        </w:rPr>
        <w:t>Joinpoint</w:t>
      </w:r>
      <w:proofErr w:type="spellEnd"/>
      <w:r w:rsidRPr="004B49D7">
        <w:rPr>
          <w:b/>
          <w:bCs/>
        </w:rPr>
        <w:t xml:space="preserve"> Regression Analysis</w:t>
      </w:r>
    </w:p>
    <w:p w14:paraId="2B716411" w14:textId="77777777" w:rsidR="004B49D7" w:rsidRPr="004B49D7" w:rsidRDefault="004B49D7" w:rsidP="004B49D7">
      <w:pPr>
        <w:jc w:val="both"/>
      </w:pPr>
      <w:proofErr w:type="spellStart"/>
      <w:r w:rsidRPr="004B49D7">
        <w:t>Joinpoint</w:t>
      </w:r>
      <w:proofErr w:type="spellEnd"/>
      <w:r w:rsidRPr="004B49D7">
        <w:t xml:space="preserve"> regression (</w:t>
      </w:r>
      <w:proofErr w:type="spellStart"/>
      <w:r w:rsidRPr="004B49D7">
        <w:t>Joinpoint</w:t>
      </w:r>
      <w:proofErr w:type="spellEnd"/>
      <w:r w:rsidRPr="004B49D7">
        <w:t xml:space="preserve"> Regression Program, version 5.0.2, National Cancer Institute) was used to identify significant changes in temporal trends and to compute the average annual percentage change (AAPC) with 95% confidence intervals (CIs). The model assumes a Poisson distribution for the number of events and allows up to three </w:t>
      </w:r>
      <w:proofErr w:type="spellStart"/>
      <w:r w:rsidRPr="004B49D7">
        <w:t>joinpoints</w:t>
      </w:r>
      <w:proofErr w:type="spellEnd"/>
      <w:r w:rsidRPr="004B49D7">
        <w:t xml:space="preserve"> based on 32 annual data points. The AAPC is calculated as a weighted average of the annual percentage changes (APCs) from the </w:t>
      </w:r>
      <w:proofErr w:type="spellStart"/>
      <w:r w:rsidRPr="004B49D7">
        <w:t>joinpoint</w:t>
      </w:r>
      <w:proofErr w:type="spellEnd"/>
      <w:r w:rsidRPr="004B49D7">
        <w:t xml:space="preserve"> model, with weights equal to the length of each segment. Statistical significance was defined as a 95% CI not including zero.</w:t>
      </w:r>
    </w:p>
    <w:p w14:paraId="3818BB11" w14:textId="77777777" w:rsidR="004B49D7" w:rsidRPr="004B49D7" w:rsidRDefault="004B49D7" w:rsidP="004B49D7">
      <w:pPr>
        <w:jc w:val="both"/>
        <w:rPr>
          <w:b/>
          <w:bCs/>
        </w:rPr>
      </w:pPr>
      <w:r w:rsidRPr="004B49D7">
        <w:rPr>
          <w:b/>
          <w:bCs/>
        </w:rPr>
        <w:t>2. INSCOC Cohort</w:t>
      </w:r>
    </w:p>
    <w:p w14:paraId="27CD3B51" w14:textId="77777777" w:rsidR="004B49D7" w:rsidRPr="004B49D7" w:rsidRDefault="004B49D7" w:rsidP="004B49D7">
      <w:pPr>
        <w:jc w:val="both"/>
        <w:rPr>
          <w:b/>
          <w:bCs/>
        </w:rPr>
      </w:pPr>
      <w:r w:rsidRPr="004B49D7">
        <w:rPr>
          <w:b/>
          <w:bCs/>
        </w:rPr>
        <w:t>2.1 Study Design and Setting</w:t>
      </w:r>
    </w:p>
    <w:p w14:paraId="0769587D" w14:textId="77777777" w:rsidR="004B49D7" w:rsidRPr="004B49D7" w:rsidRDefault="004B49D7" w:rsidP="004B49D7">
      <w:pPr>
        <w:jc w:val="both"/>
      </w:pPr>
      <w:r w:rsidRPr="004B49D7">
        <w:t>The Investigation on Nutrition Status and Clinical Outcome of Common Cancers (INSCOC) is an ongoing, prospective, multicenter cohort study conducted in China (ChiCTR1800020329, registered on December 24, 2018). Patients were enrolled from 40 participating hospitals across China between 2013 and 2022.</w:t>
      </w:r>
    </w:p>
    <w:p w14:paraId="6F746084" w14:textId="77777777" w:rsidR="004B49D7" w:rsidRPr="004B49D7" w:rsidRDefault="004B49D7" w:rsidP="004B49D7">
      <w:pPr>
        <w:jc w:val="both"/>
        <w:rPr>
          <w:b/>
          <w:bCs/>
        </w:rPr>
      </w:pPr>
      <w:r w:rsidRPr="004B49D7">
        <w:rPr>
          <w:b/>
          <w:bCs/>
        </w:rPr>
        <w:lastRenderedPageBreak/>
        <w:t>2.2 Inclusion and Exclusion Criteria</w:t>
      </w:r>
    </w:p>
    <w:p w14:paraId="5EA78F21" w14:textId="77777777" w:rsidR="004B49D7" w:rsidRPr="004B49D7" w:rsidRDefault="004B49D7" w:rsidP="004B49D7">
      <w:pPr>
        <w:jc w:val="both"/>
      </w:pPr>
      <w:r w:rsidRPr="004B49D7">
        <w:rPr>
          <w:b/>
          <w:bCs/>
        </w:rPr>
        <w:t>Inclusion criteria:</w:t>
      </w:r>
    </w:p>
    <w:p w14:paraId="5D2AC379" w14:textId="77777777" w:rsidR="004B49D7" w:rsidRPr="004B49D7" w:rsidRDefault="004B49D7" w:rsidP="004B49D7">
      <w:pPr>
        <w:numPr>
          <w:ilvl w:val="0"/>
          <w:numId w:val="1"/>
        </w:numPr>
        <w:jc w:val="both"/>
      </w:pPr>
      <w:r w:rsidRPr="004B49D7">
        <w:t>Age ≥18 years</w:t>
      </w:r>
    </w:p>
    <w:p w14:paraId="4C99D4AB" w14:textId="77777777" w:rsidR="004B49D7" w:rsidRPr="004B49D7" w:rsidRDefault="004B49D7" w:rsidP="004B49D7">
      <w:pPr>
        <w:numPr>
          <w:ilvl w:val="0"/>
          <w:numId w:val="1"/>
        </w:numPr>
        <w:jc w:val="both"/>
      </w:pPr>
      <w:r w:rsidRPr="004B49D7">
        <w:t>Pathologically confirmed primary gastrointestinal cancer (esophagus, stomach, colorectum, liver, or pancreas)</w:t>
      </w:r>
    </w:p>
    <w:p w14:paraId="44808A8C" w14:textId="77777777" w:rsidR="004B49D7" w:rsidRPr="004B49D7" w:rsidRDefault="004B49D7" w:rsidP="004B49D7">
      <w:pPr>
        <w:numPr>
          <w:ilvl w:val="0"/>
          <w:numId w:val="1"/>
        </w:numPr>
        <w:jc w:val="both"/>
      </w:pPr>
      <w:r w:rsidRPr="004B49D7">
        <w:t>Enrolled within one month of diagnosis</w:t>
      </w:r>
    </w:p>
    <w:p w14:paraId="12500251" w14:textId="77777777" w:rsidR="004B49D7" w:rsidRPr="004B49D7" w:rsidRDefault="004B49D7" w:rsidP="004B49D7">
      <w:pPr>
        <w:numPr>
          <w:ilvl w:val="0"/>
          <w:numId w:val="1"/>
        </w:numPr>
        <w:jc w:val="both"/>
      </w:pPr>
      <w:r w:rsidRPr="004B49D7">
        <w:t>Willing to provide written informed consent</w:t>
      </w:r>
    </w:p>
    <w:p w14:paraId="22758EA8" w14:textId="77777777" w:rsidR="004B49D7" w:rsidRPr="004B49D7" w:rsidRDefault="004B49D7" w:rsidP="004B49D7">
      <w:pPr>
        <w:jc w:val="both"/>
      </w:pPr>
      <w:r w:rsidRPr="004B49D7">
        <w:rPr>
          <w:b/>
          <w:bCs/>
        </w:rPr>
        <w:t>Exclusion criteria:</w:t>
      </w:r>
    </w:p>
    <w:p w14:paraId="12EE8379" w14:textId="77777777" w:rsidR="004B49D7" w:rsidRPr="004B49D7" w:rsidRDefault="004B49D7" w:rsidP="004B49D7">
      <w:pPr>
        <w:numPr>
          <w:ilvl w:val="0"/>
          <w:numId w:val="2"/>
        </w:numPr>
        <w:jc w:val="both"/>
      </w:pPr>
      <w:r w:rsidRPr="004B49D7">
        <w:t>Missing key variables (survival time, age, tumor site)</w:t>
      </w:r>
    </w:p>
    <w:p w14:paraId="63367486" w14:textId="77777777" w:rsidR="004B49D7" w:rsidRPr="004B49D7" w:rsidRDefault="004B49D7" w:rsidP="004B49D7">
      <w:pPr>
        <w:numPr>
          <w:ilvl w:val="0"/>
          <w:numId w:val="2"/>
        </w:numPr>
        <w:jc w:val="both"/>
      </w:pPr>
      <w:r w:rsidRPr="004B49D7">
        <w:t>Concurrent other malignancies</w:t>
      </w:r>
    </w:p>
    <w:p w14:paraId="3B212208" w14:textId="77777777" w:rsidR="004B49D7" w:rsidRPr="004B49D7" w:rsidRDefault="004B49D7" w:rsidP="004B49D7">
      <w:pPr>
        <w:numPr>
          <w:ilvl w:val="0"/>
          <w:numId w:val="2"/>
        </w:numPr>
        <w:jc w:val="both"/>
      </w:pPr>
      <w:r w:rsidRPr="004B49D7">
        <w:t>Follow-up time &lt;30 days</w:t>
      </w:r>
    </w:p>
    <w:p w14:paraId="01234F39" w14:textId="77777777" w:rsidR="004B49D7" w:rsidRPr="004B49D7" w:rsidRDefault="004B49D7" w:rsidP="004B49D7">
      <w:pPr>
        <w:numPr>
          <w:ilvl w:val="0"/>
          <w:numId w:val="2"/>
        </w:numPr>
        <w:jc w:val="both"/>
      </w:pPr>
      <w:r w:rsidRPr="004B49D7">
        <w:t>Extensive missing data (&gt;30% of key variables)</w:t>
      </w:r>
    </w:p>
    <w:p w14:paraId="42A2E7AB" w14:textId="77777777" w:rsidR="004B49D7" w:rsidRPr="004B49D7" w:rsidRDefault="004B49D7" w:rsidP="004B49D7">
      <w:pPr>
        <w:jc w:val="both"/>
        <w:rPr>
          <w:b/>
          <w:bCs/>
        </w:rPr>
      </w:pPr>
      <w:r w:rsidRPr="004B49D7">
        <w:rPr>
          <w:b/>
          <w:bCs/>
        </w:rPr>
        <w:t>2.3 Data Collection</w:t>
      </w:r>
    </w:p>
    <w:p w14:paraId="7E9E5A2B" w14:textId="77777777" w:rsidR="004B49D7" w:rsidRPr="004B49D7" w:rsidRDefault="004B49D7" w:rsidP="004B49D7">
      <w:pPr>
        <w:jc w:val="both"/>
      </w:pPr>
      <w:r w:rsidRPr="004B49D7">
        <w:t>Trained research staff collected standardized data at enrollment using a structured case report form. The following domains were assessed:</w:t>
      </w:r>
    </w:p>
    <w:p w14:paraId="1BF62121" w14:textId="77777777" w:rsidR="004B49D7" w:rsidRPr="004B49D7" w:rsidRDefault="004B49D7" w:rsidP="004B49D7">
      <w:pPr>
        <w:jc w:val="both"/>
        <w:rPr>
          <w:b/>
          <w:bCs/>
        </w:rPr>
      </w:pPr>
      <w:r w:rsidRPr="004B49D7">
        <w:rPr>
          <w:b/>
          <w:bCs/>
        </w:rPr>
        <w:t>2.3.1 Demographics and Lifestyle</w:t>
      </w:r>
    </w:p>
    <w:p w14:paraId="4C61AC0E" w14:textId="77777777" w:rsidR="004B49D7" w:rsidRPr="004B49D7" w:rsidRDefault="004B49D7" w:rsidP="004B49D7">
      <w:pPr>
        <w:numPr>
          <w:ilvl w:val="0"/>
          <w:numId w:val="3"/>
        </w:numPr>
        <w:jc w:val="both"/>
      </w:pPr>
      <w:r w:rsidRPr="004B49D7">
        <w:t>Age, sex, residence (urban/rural), education level (illiterate/primary/middle school/high school/college or above), occupation (farmer/worker/company or freelance/government or institution/retired/other), marital status (married/unmarried/divorced or widowed), ethnicity (Han/other)</w:t>
      </w:r>
    </w:p>
    <w:p w14:paraId="5A127059" w14:textId="77777777" w:rsidR="004B49D7" w:rsidRPr="004B49D7" w:rsidRDefault="004B49D7" w:rsidP="004B49D7">
      <w:pPr>
        <w:numPr>
          <w:ilvl w:val="0"/>
          <w:numId w:val="3"/>
        </w:numPr>
        <w:jc w:val="both"/>
      </w:pPr>
      <w:r w:rsidRPr="004B49D7">
        <w:t>Family history of cancer in first-degree relatives (yes/no)</w:t>
      </w:r>
    </w:p>
    <w:p w14:paraId="106CE951" w14:textId="77777777" w:rsidR="004B49D7" w:rsidRPr="004B49D7" w:rsidRDefault="004B49D7" w:rsidP="004B49D7">
      <w:pPr>
        <w:numPr>
          <w:ilvl w:val="0"/>
          <w:numId w:val="3"/>
        </w:numPr>
        <w:jc w:val="both"/>
      </w:pPr>
      <w:r w:rsidRPr="004B49D7">
        <w:t>Smoking status (never/current/former), alcohol consumption (never/current/former), tea consumption (never/current/former)</w:t>
      </w:r>
    </w:p>
    <w:p w14:paraId="3D3F79E1" w14:textId="77777777" w:rsidR="004B49D7" w:rsidRPr="004B49D7" w:rsidRDefault="004B49D7" w:rsidP="004B49D7">
      <w:pPr>
        <w:jc w:val="both"/>
        <w:rPr>
          <w:b/>
          <w:bCs/>
        </w:rPr>
      </w:pPr>
      <w:r w:rsidRPr="004B49D7">
        <w:rPr>
          <w:b/>
          <w:bCs/>
        </w:rPr>
        <w:t>2.3.2 Comorbidities</w:t>
      </w:r>
    </w:p>
    <w:p w14:paraId="47338215" w14:textId="77777777" w:rsidR="004B49D7" w:rsidRPr="004B49D7" w:rsidRDefault="004B49D7" w:rsidP="004B49D7">
      <w:pPr>
        <w:jc w:val="both"/>
      </w:pPr>
      <w:r w:rsidRPr="004B49D7">
        <w:t>Chronic hepatitis, diabetes, hypertension, coronary heart disease (diagnosed by physician, yes/no).</w:t>
      </w:r>
    </w:p>
    <w:p w14:paraId="1E123533" w14:textId="77777777" w:rsidR="004B49D7" w:rsidRPr="004B49D7" w:rsidRDefault="004B49D7" w:rsidP="004B49D7">
      <w:pPr>
        <w:jc w:val="both"/>
        <w:rPr>
          <w:b/>
          <w:bCs/>
        </w:rPr>
      </w:pPr>
      <w:r w:rsidRPr="004B49D7">
        <w:rPr>
          <w:b/>
          <w:bCs/>
        </w:rPr>
        <w:t>2.3.3 Tumor Characteristics</w:t>
      </w:r>
    </w:p>
    <w:p w14:paraId="3B8FA9A3" w14:textId="77777777" w:rsidR="004B49D7" w:rsidRPr="004B49D7" w:rsidRDefault="004B49D7" w:rsidP="004B49D7">
      <w:pPr>
        <w:numPr>
          <w:ilvl w:val="0"/>
          <w:numId w:val="4"/>
        </w:numPr>
        <w:jc w:val="both"/>
      </w:pPr>
      <w:r w:rsidRPr="004B49D7">
        <w:t>Primary site (esophagus/stomach/colorectum/liver/pancreas/biliary tract)</w:t>
      </w:r>
    </w:p>
    <w:p w14:paraId="116BB054" w14:textId="77777777" w:rsidR="004B49D7" w:rsidRPr="004B49D7" w:rsidRDefault="004B49D7" w:rsidP="004B49D7">
      <w:pPr>
        <w:numPr>
          <w:ilvl w:val="0"/>
          <w:numId w:val="4"/>
        </w:numPr>
        <w:jc w:val="both"/>
      </w:pPr>
      <w:r w:rsidRPr="004B49D7">
        <w:t>TNM stage (I/II/III/IV) according to the American Joint Committee on Cancer (AJCC) 8th edition</w:t>
      </w:r>
    </w:p>
    <w:p w14:paraId="6B583F62" w14:textId="77777777" w:rsidR="004B49D7" w:rsidRPr="004B49D7" w:rsidRDefault="004B49D7" w:rsidP="004B49D7">
      <w:pPr>
        <w:numPr>
          <w:ilvl w:val="0"/>
          <w:numId w:val="4"/>
        </w:numPr>
        <w:jc w:val="both"/>
      </w:pPr>
      <w:r w:rsidRPr="004B49D7">
        <w:lastRenderedPageBreak/>
        <w:t>Tumor differentiation (well/moderate/poor/undifferentiated)</w:t>
      </w:r>
    </w:p>
    <w:p w14:paraId="33848DA3" w14:textId="77777777" w:rsidR="004B49D7" w:rsidRPr="004B49D7" w:rsidRDefault="004B49D7" w:rsidP="004B49D7">
      <w:pPr>
        <w:numPr>
          <w:ilvl w:val="0"/>
          <w:numId w:val="4"/>
        </w:numPr>
        <w:jc w:val="both"/>
      </w:pPr>
      <w:r w:rsidRPr="004B49D7">
        <w:t>Tumor burden status at enrollment: primary only, recurrence, metastasis, no evidence of disease</w:t>
      </w:r>
    </w:p>
    <w:p w14:paraId="7F3A6394" w14:textId="77777777" w:rsidR="004B49D7" w:rsidRPr="004B49D7" w:rsidRDefault="004B49D7" w:rsidP="004B49D7">
      <w:pPr>
        <w:jc w:val="both"/>
        <w:rPr>
          <w:b/>
          <w:bCs/>
        </w:rPr>
      </w:pPr>
      <w:r w:rsidRPr="004B49D7">
        <w:rPr>
          <w:b/>
          <w:bCs/>
        </w:rPr>
        <w:t>2.3.4 Treatment History</w:t>
      </w:r>
    </w:p>
    <w:p w14:paraId="7E0B1BE6" w14:textId="77777777" w:rsidR="004B49D7" w:rsidRPr="004B49D7" w:rsidRDefault="004B49D7" w:rsidP="004B49D7">
      <w:pPr>
        <w:numPr>
          <w:ilvl w:val="0"/>
          <w:numId w:val="5"/>
        </w:numPr>
        <w:jc w:val="both"/>
      </w:pPr>
      <w:r w:rsidRPr="004B49D7">
        <w:t>Prior radiotherapy (yes/no)</w:t>
      </w:r>
    </w:p>
    <w:p w14:paraId="0B3A3F91" w14:textId="77777777" w:rsidR="004B49D7" w:rsidRPr="004B49D7" w:rsidRDefault="004B49D7" w:rsidP="004B49D7">
      <w:pPr>
        <w:numPr>
          <w:ilvl w:val="0"/>
          <w:numId w:val="5"/>
        </w:numPr>
        <w:jc w:val="both"/>
      </w:pPr>
      <w:r w:rsidRPr="004B49D7">
        <w:t>Prior chemotherapy (yes/no)</w:t>
      </w:r>
    </w:p>
    <w:p w14:paraId="54A55EA3" w14:textId="77777777" w:rsidR="004B49D7" w:rsidRPr="004B49D7" w:rsidRDefault="004B49D7" w:rsidP="004B49D7">
      <w:pPr>
        <w:numPr>
          <w:ilvl w:val="0"/>
          <w:numId w:val="5"/>
        </w:numPr>
        <w:jc w:val="both"/>
      </w:pPr>
      <w:r w:rsidRPr="004B49D7">
        <w:t>Radical resection (yes/no)</w:t>
      </w:r>
    </w:p>
    <w:p w14:paraId="672C7F8F" w14:textId="77777777" w:rsidR="004B49D7" w:rsidRPr="004B49D7" w:rsidRDefault="004B49D7" w:rsidP="004B49D7">
      <w:pPr>
        <w:numPr>
          <w:ilvl w:val="0"/>
          <w:numId w:val="5"/>
        </w:numPr>
        <w:jc w:val="both"/>
      </w:pPr>
      <w:r w:rsidRPr="004B49D7">
        <w:t>Palliative resection (yes/no)</w:t>
      </w:r>
    </w:p>
    <w:p w14:paraId="312683D1" w14:textId="77777777" w:rsidR="004B49D7" w:rsidRPr="004B49D7" w:rsidRDefault="004B49D7" w:rsidP="004B49D7">
      <w:pPr>
        <w:numPr>
          <w:ilvl w:val="0"/>
          <w:numId w:val="5"/>
        </w:numPr>
        <w:jc w:val="both"/>
      </w:pPr>
      <w:r w:rsidRPr="004B49D7">
        <w:t>Current treatment modality: surgery, chemotherapy, radiotherapy, chemoradiotherapy, other, none</w:t>
      </w:r>
    </w:p>
    <w:p w14:paraId="2D9BADDC" w14:textId="77777777" w:rsidR="004B49D7" w:rsidRPr="004B49D7" w:rsidRDefault="004B49D7" w:rsidP="004B49D7">
      <w:pPr>
        <w:jc w:val="both"/>
        <w:rPr>
          <w:b/>
          <w:bCs/>
        </w:rPr>
      </w:pPr>
      <w:r w:rsidRPr="004B49D7">
        <w:rPr>
          <w:b/>
          <w:bCs/>
        </w:rPr>
        <w:t>2.3.5 Nutritional Support</w:t>
      </w:r>
    </w:p>
    <w:p w14:paraId="4869AEF5" w14:textId="77777777" w:rsidR="004B49D7" w:rsidRPr="004B49D7" w:rsidRDefault="004B49D7" w:rsidP="004B49D7">
      <w:pPr>
        <w:numPr>
          <w:ilvl w:val="0"/>
          <w:numId w:val="6"/>
        </w:numPr>
        <w:jc w:val="both"/>
      </w:pPr>
      <w:r w:rsidRPr="004B49D7">
        <w:t>Parenteral nutrition (yes/no)</w:t>
      </w:r>
    </w:p>
    <w:p w14:paraId="1969C546" w14:textId="77777777" w:rsidR="004B49D7" w:rsidRPr="004B49D7" w:rsidRDefault="004B49D7" w:rsidP="004B49D7">
      <w:pPr>
        <w:numPr>
          <w:ilvl w:val="0"/>
          <w:numId w:val="6"/>
        </w:numPr>
        <w:jc w:val="both"/>
      </w:pPr>
      <w:r w:rsidRPr="004B49D7">
        <w:t>Enteral nutrition (yes/no)</w:t>
      </w:r>
    </w:p>
    <w:p w14:paraId="09C1C0DC" w14:textId="77777777" w:rsidR="004B49D7" w:rsidRPr="004B49D7" w:rsidRDefault="004B49D7" w:rsidP="004B49D7">
      <w:pPr>
        <w:numPr>
          <w:ilvl w:val="0"/>
          <w:numId w:val="6"/>
        </w:numPr>
        <w:jc w:val="both"/>
      </w:pPr>
      <w:r w:rsidRPr="004B49D7">
        <w:t>None</w:t>
      </w:r>
    </w:p>
    <w:p w14:paraId="691074C3" w14:textId="77777777" w:rsidR="004B49D7" w:rsidRPr="004B49D7" w:rsidRDefault="004B49D7" w:rsidP="004B49D7">
      <w:pPr>
        <w:jc w:val="both"/>
        <w:rPr>
          <w:b/>
          <w:bCs/>
        </w:rPr>
      </w:pPr>
      <w:r w:rsidRPr="004B49D7">
        <w:rPr>
          <w:b/>
          <w:bCs/>
        </w:rPr>
        <w:t>2.3.6 Anthropometry and Body Composition</w:t>
      </w:r>
    </w:p>
    <w:p w14:paraId="375C4990" w14:textId="77777777" w:rsidR="004B49D7" w:rsidRPr="004B49D7" w:rsidRDefault="004B49D7" w:rsidP="004B49D7">
      <w:pPr>
        <w:numPr>
          <w:ilvl w:val="0"/>
          <w:numId w:val="7"/>
        </w:numPr>
        <w:jc w:val="both"/>
      </w:pPr>
      <w:r w:rsidRPr="004B49D7">
        <w:t>Height (cm), weight (kg), body mass index (BMI, kg/m²)</w:t>
      </w:r>
    </w:p>
    <w:p w14:paraId="6A7EE24A" w14:textId="77777777" w:rsidR="004B49D7" w:rsidRPr="004B49D7" w:rsidRDefault="004B49D7" w:rsidP="004B49D7">
      <w:pPr>
        <w:numPr>
          <w:ilvl w:val="0"/>
          <w:numId w:val="7"/>
        </w:numPr>
        <w:jc w:val="both"/>
      </w:pPr>
      <w:r w:rsidRPr="004B49D7">
        <w:t>Mid-arm circumference (MAC, cm), triceps skinfold thickness (TST, mm), arm muscle circumference (AMC, cm) calculated as MAC - π × TST</w:t>
      </w:r>
    </w:p>
    <w:p w14:paraId="20BC2DF1" w14:textId="77777777" w:rsidR="004B49D7" w:rsidRPr="004B49D7" w:rsidRDefault="004B49D7" w:rsidP="004B49D7">
      <w:pPr>
        <w:numPr>
          <w:ilvl w:val="0"/>
          <w:numId w:val="7"/>
        </w:numPr>
        <w:jc w:val="both"/>
      </w:pPr>
      <w:r w:rsidRPr="004B49D7">
        <w:t>Calf circumference (cm)</w:t>
      </w:r>
    </w:p>
    <w:p w14:paraId="6E3B3018" w14:textId="77777777" w:rsidR="004B49D7" w:rsidRPr="004B49D7" w:rsidRDefault="004B49D7" w:rsidP="004B49D7">
      <w:pPr>
        <w:numPr>
          <w:ilvl w:val="0"/>
          <w:numId w:val="7"/>
        </w:numPr>
        <w:jc w:val="both"/>
      </w:pPr>
      <w:r w:rsidRPr="004B49D7">
        <w:t>Grip strength (kg) measured using a handheld dynamometer (three attempts, maximum value recorded)</w:t>
      </w:r>
    </w:p>
    <w:p w14:paraId="6FB0F5BD" w14:textId="77777777" w:rsidR="004B49D7" w:rsidRPr="004B49D7" w:rsidRDefault="004B49D7" w:rsidP="004B49D7">
      <w:pPr>
        <w:numPr>
          <w:ilvl w:val="0"/>
          <w:numId w:val="7"/>
        </w:numPr>
        <w:jc w:val="both"/>
      </w:pPr>
      <w:r w:rsidRPr="004B49D7">
        <w:t xml:space="preserve">Bioelectrical impedance analysis (BIA) using a multi-frequency device (InBody 770, </w:t>
      </w:r>
      <w:proofErr w:type="spellStart"/>
      <w:r w:rsidRPr="004B49D7">
        <w:t>Biospace</w:t>
      </w:r>
      <w:proofErr w:type="spellEnd"/>
      <w:r w:rsidRPr="004B49D7">
        <w:t>, Seoul, Korea) to obtain: body fat mass (kg), body fat percentage (%), fat-free mass (kg), muscle mass (kg), estimated bone mass (kg), protein mass (kg), total body water (kg), extracellular water (kg), intracellular water (kg), phase angle (°)</w:t>
      </w:r>
    </w:p>
    <w:p w14:paraId="72D03896" w14:textId="77777777" w:rsidR="004B49D7" w:rsidRPr="004B49D7" w:rsidRDefault="004B49D7" w:rsidP="004B49D7">
      <w:pPr>
        <w:jc w:val="both"/>
        <w:rPr>
          <w:b/>
          <w:bCs/>
        </w:rPr>
      </w:pPr>
      <w:r w:rsidRPr="004B49D7">
        <w:rPr>
          <w:b/>
          <w:bCs/>
        </w:rPr>
        <w:t>2.3.7 Laboratory Parameters</w:t>
      </w:r>
    </w:p>
    <w:p w14:paraId="3917C61B" w14:textId="77777777" w:rsidR="004B49D7" w:rsidRPr="004B49D7" w:rsidRDefault="004B49D7" w:rsidP="004B49D7">
      <w:pPr>
        <w:jc w:val="both"/>
      </w:pPr>
      <w:r w:rsidRPr="004B49D7">
        <w:t>Fasting blood samples were collected within 48 hours of enrollment. The following parameters were measured:</w:t>
      </w:r>
    </w:p>
    <w:p w14:paraId="6017DE23" w14:textId="77777777" w:rsidR="004B49D7" w:rsidRPr="004B49D7" w:rsidRDefault="004B49D7" w:rsidP="004B49D7">
      <w:pPr>
        <w:numPr>
          <w:ilvl w:val="0"/>
          <w:numId w:val="8"/>
        </w:numPr>
        <w:jc w:val="both"/>
      </w:pPr>
      <w:r w:rsidRPr="004B49D7">
        <w:t>Creatinine (</w:t>
      </w:r>
      <w:proofErr w:type="spellStart"/>
      <w:r w:rsidRPr="004B49D7">
        <w:t>μmol</w:t>
      </w:r>
      <w:proofErr w:type="spellEnd"/>
      <w:r w:rsidRPr="004B49D7">
        <w:t>/L), urea nitrogen (mmol/L)</w:t>
      </w:r>
    </w:p>
    <w:p w14:paraId="0EB1C6E0" w14:textId="77777777" w:rsidR="004B49D7" w:rsidRPr="004B49D7" w:rsidRDefault="004B49D7" w:rsidP="004B49D7">
      <w:pPr>
        <w:numPr>
          <w:ilvl w:val="0"/>
          <w:numId w:val="8"/>
        </w:numPr>
        <w:jc w:val="both"/>
      </w:pPr>
      <w:r w:rsidRPr="004B49D7">
        <w:lastRenderedPageBreak/>
        <w:t>Total bilirubin (</w:t>
      </w:r>
      <w:proofErr w:type="spellStart"/>
      <w:r w:rsidRPr="004B49D7">
        <w:t>μmol</w:t>
      </w:r>
      <w:proofErr w:type="spellEnd"/>
      <w:r w:rsidRPr="004B49D7">
        <w:t>/L), direct bilirubin (</w:t>
      </w:r>
      <w:proofErr w:type="spellStart"/>
      <w:r w:rsidRPr="004B49D7">
        <w:t>μmol</w:t>
      </w:r>
      <w:proofErr w:type="spellEnd"/>
      <w:r w:rsidRPr="004B49D7">
        <w:t>/L)</w:t>
      </w:r>
    </w:p>
    <w:p w14:paraId="552730E7" w14:textId="77777777" w:rsidR="004B49D7" w:rsidRPr="004B49D7" w:rsidRDefault="004B49D7" w:rsidP="004B49D7">
      <w:pPr>
        <w:numPr>
          <w:ilvl w:val="0"/>
          <w:numId w:val="8"/>
        </w:numPr>
        <w:jc w:val="both"/>
      </w:pPr>
      <w:r w:rsidRPr="004B49D7">
        <w:t>C-reactive protein (CRP, mg/L)</w:t>
      </w:r>
    </w:p>
    <w:p w14:paraId="5B8BEA3A" w14:textId="77777777" w:rsidR="004B49D7" w:rsidRPr="004B49D7" w:rsidRDefault="004B49D7" w:rsidP="004B49D7">
      <w:pPr>
        <w:numPr>
          <w:ilvl w:val="0"/>
          <w:numId w:val="8"/>
        </w:numPr>
        <w:jc w:val="both"/>
      </w:pPr>
      <w:r w:rsidRPr="004B49D7">
        <w:t>Total cholesterol (TC, mmol/L), fasting plasma glucose (FPG, mmol/L), triglycerides (TG, mmol/L)</w:t>
      </w:r>
    </w:p>
    <w:p w14:paraId="21A5AAE2" w14:textId="77777777" w:rsidR="004B49D7" w:rsidRPr="004B49D7" w:rsidRDefault="004B49D7" w:rsidP="004B49D7">
      <w:pPr>
        <w:numPr>
          <w:ilvl w:val="0"/>
          <w:numId w:val="8"/>
        </w:numPr>
        <w:jc w:val="both"/>
      </w:pPr>
      <w:r w:rsidRPr="004B49D7">
        <w:t>Aspartate aminotransferase (AST, U/L), alanine aminotransferase (ALT, U/L)</w:t>
      </w:r>
    </w:p>
    <w:p w14:paraId="6B996495" w14:textId="77777777" w:rsidR="004B49D7" w:rsidRPr="004B49D7" w:rsidRDefault="004B49D7" w:rsidP="004B49D7">
      <w:pPr>
        <w:numPr>
          <w:ilvl w:val="0"/>
          <w:numId w:val="8"/>
        </w:numPr>
        <w:jc w:val="both"/>
      </w:pPr>
      <w:r w:rsidRPr="004B49D7">
        <w:t>High-density lipoprotein (HDL, mmol/L), low-density lipoprotein (LDL, mmol/L)</w:t>
      </w:r>
    </w:p>
    <w:p w14:paraId="76B4A914" w14:textId="77777777" w:rsidR="004B49D7" w:rsidRPr="004B49D7" w:rsidRDefault="004B49D7" w:rsidP="004B49D7">
      <w:pPr>
        <w:numPr>
          <w:ilvl w:val="0"/>
          <w:numId w:val="8"/>
        </w:numPr>
        <w:jc w:val="both"/>
      </w:pPr>
      <w:r w:rsidRPr="004B49D7">
        <w:t>Hemoglobin (Hb, g/L), white blood cell count (WBC, 10⁹/L), neutrophil count (10⁹/L), lymphocyte count (10⁹/L), red blood cell count (RBC, 10¹²/L), platelet count (PLT, 10⁹/L)</w:t>
      </w:r>
    </w:p>
    <w:p w14:paraId="0BC75556" w14:textId="77777777" w:rsidR="004B49D7" w:rsidRPr="004B49D7" w:rsidRDefault="004B49D7" w:rsidP="004B49D7">
      <w:pPr>
        <w:numPr>
          <w:ilvl w:val="0"/>
          <w:numId w:val="8"/>
        </w:numPr>
        <w:jc w:val="both"/>
      </w:pPr>
      <w:r w:rsidRPr="004B49D7">
        <w:t>Neutrophil-to-lymphocyte ratio (NLR) = neutrophil count / lymphocyte count</w:t>
      </w:r>
    </w:p>
    <w:p w14:paraId="79217B76" w14:textId="77777777" w:rsidR="004B49D7" w:rsidRPr="004B49D7" w:rsidRDefault="004B49D7" w:rsidP="004B49D7">
      <w:pPr>
        <w:numPr>
          <w:ilvl w:val="0"/>
          <w:numId w:val="8"/>
        </w:numPr>
        <w:jc w:val="both"/>
      </w:pPr>
      <w:r w:rsidRPr="004B49D7">
        <w:t>Platelet-to-lymphocyte ratio (PLR) = platelet count / lymphocyte count</w:t>
      </w:r>
    </w:p>
    <w:p w14:paraId="148A590D" w14:textId="77777777" w:rsidR="004B49D7" w:rsidRPr="004B49D7" w:rsidRDefault="004B49D7" w:rsidP="004B49D7">
      <w:pPr>
        <w:jc w:val="both"/>
        <w:rPr>
          <w:b/>
          <w:bCs/>
        </w:rPr>
      </w:pPr>
      <w:r w:rsidRPr="004B49D7">
        <w:rPr>
          <w:b/>
          <w:bCs/>
        </w:rPr>
        <w:t>2.3.8 Nutritional and Functional Scores</w:t>
      </w:r>
    </w:p>
    <w:p w14:paraId="1A8712E1" w14:textId="77777777" w:rsidR="004B49D7" w:rsidRPr="004B49D7" w:rsidRDefault="004B49D7" w:rsidP="004B49D7">
      <w:pPr>
        <w:numPr>
          <w:ilvl w:val="0"/>
          <w:numId w:val="9"/>
        </w:numPr>
        <w:jc w:val="both"/>
      </w:pPr>
      <w:r w:rsidRPr="004B49D7">
        <w:t>Patient-Generated Subjective Global Assessment (PG-SGA): scores range 0–35, with higher scores indicating worse nutritional status. Malnutrition was defined as PG-SGA ≥4 (requires nutritional intervention).</w:t>
      </w:r>
    </w:p>
    <w:p w14:paraId="4AEBFC55" w14:textId="77777777" w:rsidR="004B49D7" w:rsidRPr="004B49D7" w:rsidRDefault="004B49D7" w:rsidP="004B49D7">
      <w:pPr>
        <w:numPr>
          <w:ilvl w:val="0"/>
          <w:numId w:val="9"/>
        </w:numPr>
        <w:jc w:val="both"/>
      </w:pPr>
      <w:r w:rsidRPr="004B49D7">
        <w:t>Nutritional Risk Screening 2002 (NRS2002): scores range 0–7, with ≥3 indicating nutritional risk.</w:t>
      </w:r>
    </w:p>
    <w:p w14:paraId="5A3C245D" w14:textId="77777777" w:rsidR="004B49D7" w:rsidRPr="004B49D7" w:rsidRDefault="004B49D7" w:rsidP="004B49D7">
      <w:pPr>
        <w:numPr>
          <w:ilvl w:val="0"/>
          <w:numId w:val="9"/>
        </w:numPr>
        <w:jc w:val="both"/>
      </w:pPr>
      <w:r w:rsidRPr="004B49D7">
        <w:t>Karnofsky Performance Status (KPS): scores range 0–100, with higher scores indicating better functional status.</w:t>
      </w:r>
    </w:p>
    <w:p w14:paraId="504BFBAB" w14:textId="77777777" w:rsidR="004B49D7" w:rsidRPr="004B49D7" w:rsidRDefault="004B49D7" w:rsidP="004B49D7">
      <w:pPr>
        <w:jc w:val="both"/>
        <w:rPr>
          <w:b/>
          <w:bCs/>
        </w:rPr>
      </w:pPr>
      <w:r w:rsidRPr="004B49D7">
        <w:rPr>
          <w:b/>
          <w:bCs/>
        </w:rPr>
        <w:t>2.4 Outcome Definition</w:t>
      </w:r>
    </w:p>
    <w:p w14:paraId="0E02C0F1" w14:textId="77777777" w:rsidR="004B49D7" w:rsidRPr="004B49D7" w:rsidRDefault="004B49D7" w:rsidP="004B49D7">
      <w:pPr>
        <w:jc w:val="both"/>
      </w:pPr>
      <w:r w:rsidRPr="004B49D7">
        <w:t>The primary outcome was overall survival (OS), defined as the time from diagnosis to death from any cause. Patients alive at the last follow-up (October 31, 2023) were censored. Survival status was ascertained through outpatient visits, telephone calls, or linkage to national death registry data.</w:t>
      </w:r>
    </w:p>
    <w:p w14:paraId="1AB08DA8" w14:textId="77777777" w:rsidR="004B49D7" w:rsidRPr="004B49D7" w:rsidRDefault="004B49D7" w:rsidP="004B49D7">
      <w:pPr>
        <w:jc w:val="both"/>
        <w:rPr>
          <w:b/>
          <w:bCs/>
        </w:rPr>
      </w:pPr>
      <w:r w:rsidRPr="004B49D7">
        <w:rPr>
          <w:b/>
          <w:bCs/>
        </w:rPr>
        <w:t>2.5 Definition of Key Nutritional and Functional Conditions</w:t>
      </w:r>
    </w:p>
    <w:p w14:paraId="0237310A" w14:textId="77777777" w:rsidR="004B49D7" w:rsidRPr="004B49D7" w:rsidRDefault="004B49D7" w:rsidP="004B49D7">
      <w:pPr>
        <w:numPr>
          <w:ilvl w:val="0"/>
          <w:numId w:val="10"/>
        </w:numPr>
        <w:jc w:val="both"/>
      </w:pPr>
      <w:r w:rsidRPr="004B49D7">
        <w:rPr>
          <w:b/>
          <w:bCs/>
        </w:rPr>
        <w:t>Cachexia:</w:t>
      </w:r>
      <w:r w:rsidRPr="004B49D7">
        <w:t> Defined according to the international consensus (Fearon et al., Lancet Oncol 2011): involuntary weight loss &gt;5% over the past 6 months, or weight loss &gt;2% in individuals with a BMI &lt;18.5 kg/m².</w:t>
      </w:r>
    </w:p>
    <w:p w14:paraId="1A60F94B" w14:textId="77777777" w:rsidR="004B49D7" w:rsidRPr="004B49D7" w:rsidRDefault="004B49D7" w:rsidP="004B49D7">
      <w:pPr>
        <w:numPr>
          <w:ilvl w:val="0"/>
          <w:numId w:val="10"/>
        </w:numPr>
        <w:jc w:val="both"/>
      </w:pPr>
      <w:r w:rsidRPr="004B49D7">
        <w:rPr>
          <w:b/>
          <w:bCs/>
        </w:rPr>
        <w:lastRenderedPageBreak/>
        <w:t>Sarcopenia:</w:t>
      </w:r>
      <w:r w:rsidRPr="004B49D7">
        <w:t> Defined according to the Asian Working Group for Sarcopenia (AWGS 2019) criteria: low muscle strength (handgrip strength &lt;28 kg for men, &lt;18 kg for women) and low muscle mass (appendicular skeletal muscle mass index &lt;7.0 kg/m² for men, &lt;5.7 kg/m² for women) measured by BIA.</w:t>
      </w:r>
    </w:p>
    <w:p w14:paraId="15486F9E" w14:textId="77777777" w:rsidR="004B49D7" w:rsidRPr="004B49D7" w:rsidRDefault="004B49D7" w:rsidP="004B49D7">
      <w:pPr>
        <w:numPr>
          <w:ilvl w:val="0"/>
          <w:numId w:val="10"/>
        </w:numPr>
        <w:jc w:val="both"/>
      </w:pPr>
      <w:r w:rsidRPr="004B49D7">
        <w:rPr>
          <w:b/>
          <w:bCs/>
        </w:rPr>
        <w:t>Malnutrition:</w:t>
      </w:r>
      <w:r w:rsidRPr="004B49D7">
        <w:t> Defined as PG-SGA score ≥4.</w:t>
      </w:r>
    </w:p>
    <w:p w14:paraId="16EEC1D0" w14:textId="77777777" w:rsidR="004B49D7" w:rsidRPr="004B49D7" w:rsidRDefault="004B49D7" w:rsidP="004B49D7">
      <w:pPr>
        <w:jc w:val="both"/>
        <w:rPr>
          <w:b/>
          <w:bCs/>
        </w:rPr>
      </w:pPr>
      <w:r w:rsidRPr="004B49D7">
        <w:rPr>
          <w:b/>
          <w:bCs/>
        </w:rPr>
        <w:t>3. Statistical Analysis</w:t>
      </w:r>
    </w:p>
    <w:p w14:paraId="608E11FE" w14:textId="77777777" w:rsidR="004B49D7" w:rsidRPr="004B49D7" w:rsidRDefault="004B49D7" w:rsidP="004B49D7">
      <w:pPr>
        <w:jc w:val="both"/>
        <w:rPr>
          <w:b/>
          <w:bCs/>
        </w:rPr>
      </w:pPr>
      <w:r w:rsidRPr="004B49D7">
        <w:rPr>
          <w:b/>
          <w:bCs/>
        </w:rPr>
        <w:t>3.1 Missing Data</w:t>
      </w:r>
    </w:p>
    <w:p w14:paraId="4555176A" w14:textId="77777777" w:rsidR="004B49D7" w:rsidRPr="004B49D7" w:rsidRDefault="004B49D7" w:rsidP="004B49D7">
      <w:pPr>
        <w:jc w:val="both"/>
      </w:pPr>
      <w:r w:rsidRPr="004B49D7">
        <w:t>Variables with &gt;20% missingness were excluded from analysis. For the remaining variables, multiple imputation by chained equations (MICE) was performed using the mice package in R. Predictive mean matching was used for continuous variables, and logistic regression (binary) or polytomous regression (multinomial) was used for categorical variables. Ten imputed datasets were generated, and results were pooled using Rubin's rules. Complete-case analyses were conducted as sensitivity analyses.</w:t>
      </w:r>
    </w:p>
    <w:p w14:paraId="6C7004B0" w14:textId="77777777" w:rsidR="004B49D7" w:rsidRPr="004B49D7" w:rsidRDefault="004B49D7" w:rsidP="004B49D7">
      <w:pPr>
        <w:jc w:val="both"/>
        <w:rPr>
          <w:b/>
          <w:bCs/>
        </w:rPr>
      </w:pPr>
      <w:r w:rsidRPr="004B49D7">
        <w:rPr>
          <w:b/>
          <w:bCs/>
        </w:rPr>
        <w:t>3.2 Baseline Comparisons</w:t>
      </w:r>
    </w:p>
    <w:p w14:paraId="2070C335" w14:textId="77777777" w:rsidR="004B49D7" w:rsidRPr="004B49D7" w:rsidRDefault="004B49D7" w:rsidP="004B49D7">
      <w:pPr>
        <w:jc w:val="both"/>
      </w:pPr>
      <w:r w:rsidRPr="004B49D7">
        <w:t>Continuous variables were tested for normality using the Shapiro-Wilk test and Q-Q plots. Normally distributed variables were compared using Student's t-test and presented as mean ± standard deviation (SD); non-normally distributed variables were compared using the Mann-Whitney U test and presented as median (interquartile range, IQR). Categorical variables were compared using the chi-square test or Fisher's exact test, as appropriate, and presented as frequency (percentage). Standardized mean differences (SMD) were also calculated to assess balance between groups.</w:t>
      </w:r>
    </w:p>
    <w:p w14:paraId="20FD980E" w14:textId="77777777" w:rsidR="004B49D7" w:rsidRPr="004B49D7" w:rsidRDefault="004B49D7" w:rsidP="004B49D7">
      <w:pPr>
        <w:jc w:val="both"/>
        <w:rPr>
          <w:b/>
          <w:bCs/>
        </w:rPr>
      </w:pPr>
      <w:r w:rsidRPr="004B49D7">
        <w:rPr>
          <w:b/>
          <w:bCs/>
        </w:rPr>
        <w:t>3.3 Survival Analysis</w:t>
      </w:r>
    </w:p>
    <w:p w14:paraId="3BBF15B9" w14:textId="77777777" w:rsidR="004B49D7" w:rsidRPr="004B49D7" w:rsidRDefault="004B49D7" w:rsidP="004B49D7">
      <w:pPr>
        <w:jc w:val="both"/>
      </w:pPr>
      <w:r w:rsidRPr="004B49D7">
        <w:t>Kaplan-Meier curves were constructed to compare OS between early-onset and later-onset groups, overall and stratified by sex and cancer subtype, with log-rank tests for statistical significance.</w:t>
      </w:r>
    </w:p>
    <w:p w14:paraId="2CB11C5F" w14:textId="77777777" w:rsidR="004B49D7" w:rsidRPr="004B49D7" w:rsidRDefault="004B49D7" w:rsidP="004B49D7">
      <w:pPr>
        <w:jc w:val="both"/>
      </w:pPr>
      <w:r w:rsidRPr="004B49D7">
        <w:t>Cox proportional hazards regression was used to examine the association between early-onset age and mortality, with three sequential models:</w:t>
      </w:r>
    </w:p>
    <w:p w14:paraId="219A2AE6" w14:textId="77777777" w:rsidR="004B49D7" w:rsidRPr="004B49D7" w:rsidRDefault="004B49D7" w:rsidP="004B49D7">
      <w:pPr>
        <w:numPr>
          <w:ilvl w:val="0"/>
          <w:numId w:val="11"/>
        </w:numPr>
        <w:jc w:val="both"/>
      </w:pPr>
      <w:r w:rsidRPr="004B49D7">
        <w:rPr>
          <w:b/>
          <w:bCs/>
        </w:rPr>
        <w:t>Model 1:</w:t>
      </w:r>
      <w:r w:rsidRPr="004B49D7">
        <w:t> unadjusted.</w:t>
      </w:r>
    </w:p>
    <w:p w14:paraId="326C90D9" w14:textId="77777777" w:rsidR="004B49D7" w:rsidRPr="004B49D7" w:rsidRDefault="004B49D7" w:rsidP="004B49D7">
      <w:pPr>
        <w:numPr>
          <w:ilvl w:val="0"/>
          <w:numId w:val="11"/>
        </w:numPr>
        <w:jc w:val="both"/>
      </w:pPr>
      <w:r w:rsidRPr="004B49D7">
        <w:rPr>
          <w:b/>
          <w:bCs/>
        </w:rPr>
        <w:t>Model 2:</w:t>
      </w:r>
      <w:r w:rsidRPr="004B49D7">
        <w:t> adjusted for demographic and lifestyle factors (sex, residence, education, occupation, marital status, ethnicity, smoking, drinking).</w:t>
      </w:r>
    </w:p>
    <w:p w14:paraId="09FD9FC4" w14:textId="77777777" w:rsidR="004B49D7" w:rsidRPr="004B49D7" w:rsidRDefault="004B49D7" w:rsidP="004B49D7">
      <w:pPr>
        <w:numPr>
          <w:ilvl w:val="0"/>
          <w:numId w:val="11"/>
        </w:numPr>
        <w:jc w:val="both"/>
      </w:pPr>
      <w:r w:rsidRPr="004B49D7">
        <w:rPr>
          <w:b/>
          <w:bCs/>
        </w:rPr>
        <w:lastRenderedPageBreak/>
        <w:t>Model 3:</w:t>
      </w:r>
      <w:r w:rsidRPr="004B49D7">
        <w:t> further adjusted for comorbidities (diabetes, hypertension, coronary heart disease), tumor characteristics (cancer subtype, TNM stage, tumor differentiation, tumor burden status), and nutritional status (PG-SGA group).</w:t>
      </w:r>
    </w:p>
    <w:p w14:paraId="61E6C7E4" w14:textId="77777777" w:rsidR="004B49D7" w:rsidRPr="004B49D7" w:rsidRDefault="004B49D7" w:rsidP="004B49D7">
      <w:pPr>
        <w:jc w:val="both"/>
      </w:pPr>
      <w:r w:rsidRPr="004B49D7">
        <w:t>Hazard ratios (HR) and 95% CIs were reported. The proportional hazards assumption was checked using Schoenfeld residuals; no violations were detected.</w:t>
      </w:r>
    </w:p>
    <w:p w14:paraId="6D8F5DAD" w14:textId="77777777" w:rsidR="004B49D7" w:rsidRPr="004B49D7" w:rsidRDefault="004B49D7" w:rsidP="004B49D7">
      <w:pPr>
        <w:jc w:val="both"/>
        <w:rPr>
          <w:b/>
          <w:bCs/>
        </w:rPr>
      </w:pPr>
      <w:r w:rsidRPr="004B49D7">
        <w:rPr>
          <w:b/>
          <w:bCs/>
        </w:rPr>
        <w:t>3.4 Sensitivity Analyses</w:t>
      </w:r>
    </w:p>
    <w:p w14:paraId="3009AC9C" w14:textId="77777777" w:rsidR="004B49D7" w:rsidRPr="004B49D7" w:rsidRDefault="004B49D7" w:rsidP="004B49D7">
      <w:pPr>
        <w:jc w:val="both"/>
      </w:pPr>
      <w:r w:rsidRPr="004B49D7">
        <w:t>To test the robustness of the association between early-onset age and survival, we performed:</w:t>
      </w:r>
    </w:p>
    <w:p w14:paraId="7E2FB2C3" w14:textId="77777777" w:rsidR="004B49D7" w:rsidRPr="004B49D7" w:rsidRDefault="004B49D7" w:rsidP="004B49D7">
      <w:pPr>
        <w:numPr>
          <w:ilvl w:val="0"/>
          <w:numId w:val="12"/>
        </w:numPr>
        <w:jc w:val="both"/>
      </w:pPr>
      <w:r w:rsidRPr="004B49D7">
        <w:t>Excluding later-onset patients aged &gt;75 years.</w:t>
      </w:r>
    </w:p>
    <w:p w14:paraId="06E9D7BB" w14:textId="77777777" w:rsidR="004B49D7" w:rsidRPr="004B49D7" w:rsidRDefault="004B49D7" w:rsidP="004B49D7">
      <w:pPr>
        <w:numPr>
          <w:ilvl w:val="0"/>
          <w:numId w:val="12"/>
        </w:numPr>
        <w:jc w:val="both"/>
      </w:pPr>
      <w:r w:rsidRPr="004B49D7">
        <w:t>Excluding patients who died within 1 year of diagnosis.</w:t>
      </w:r>
    </w:p>
    <w:p w14:paraId="5405E232" w14:textId="77777777" w:rsidR="004B49D7" w:rsidRPr="004B49D7" w:rsidRDefault="004B49D7" w:rsidP="004B49D7">
      <w:pPr>
        <w:numPr>
          <w:ilvl w:val="0"/>
          <w:numId w:val="12"/>
        </w:numPr>
        <w:jc w:val="both"/>
      </w:pPr>
      <w:r w:rsidRPr="004B49D7">
        <w:t>Additionally adjusting for diagnosis year.</w:t>
      </w:r>
    </w:p>
    <w:p w14:paraId="00C37A06" w14:textId="77777777" w:rsidR="004B49D7" w:rsidRPr="004B49D7" w:rsidRDefault="004B49D7" w:rsidP="004B49D7">
      <w:pPr>
        <w:numPr>
          <w:ilvl w:val="0"/>
          <w:numId w:val="12"/>
        </w:numPr>
        <w:jc w:val="both"/>
      </w:pPr>
      <w:r w:rsidRPr="004B49D7">
        <w:t>Stratifying by age (&lt;60 vs. ≥60 years) by excluding patients aged ≥60 years from both groups.</w:t>
      </w:r>
    </w:p>
    <w:p w14:paraId="662CF432" w14:textId="77777777" w:rsidR="004B49D7" w:rsidRPr="004B49D7" w:rsidRDefault="004B49D7" w:rsidP="004B49D7">
      <w:pPr>
        <w:jc w:val="both"/>
        <w:rPr>
          <w:b/>
          <w:bCs/>
        </w:rPr>
      </w:pPr>
      <w:r w:rsidRPr="004B49D7">
        <w:rPr>
          <w:b/>
          <w:bCs/>
        </w:rPr>
        <w:t>3.5 Prognostic Model Development in Early-Onset Patients</w:t>
      </w:r>
    </w:p>
    <w:p w14:paraId="65A10EF6" w14:textId="77777777" w:rsidR="004B49D7" w:rsidRPr="004B49D7" w:rsidRDefault="004B49D7" w:rsidP="004B49D7">
      <w:pPr>
        <w:jc w:val="both"/>
        <w:rPr>
          <w:b/>
          <w:bCs/>
        </w:rPr>
      </w:pPr>
      <w:r w:rsidRPr="004B49D7">
        <w:rPr>
          <w:b/>
          <w:bCs/>
        </w:rPr>
        <w:t>3.5.1 Data Preparation</w:t>
      </w:r>
    </w:p>
    <w:p w14:paraId="6EC7CEC7" w14:textId="77777777" w:rsidR="004B49D7" w:rsidRPr="004B49D7" w:rsidRDefault="004B49D7" w:rsidP="004B49D7">
      <w:pPr>
        <w:jc w:val="both"/>
      </w:pPr>
      <w:r w:rsidRPr="004B49D7">
        <w:t>Analyses were restricted to early-onset patients (n=1,833). The cohort was randomly split into training (70%, n=1,283) and testing (30%, n=550) sets, stratified by event status to ensure similar outcome proportions. Multicollinearity was assessed using variance inflation factor (VIF) and condition number of the design matrix; no serious multicollinearity was found (all VIF &lt; 2.5).</w:t>
      </w:r>
    </w:p>
    <w:p w14:paraId="02549937" w14:textId="77777777" w:rsidR="004B49D7" w:rsidRPr="004B49D7" w:rsidRDefault="004B49D7" w:rsidP="004B49D7">
      <w:pPr>
        <w:jc w:val="both"/>
        <w:rPr>
          <w:b/>
          <w:bCs/>
        </w:rPr>
      </w:pPr>
      <w:r w:rsidRPr="004B49D7">
        <w:rPr>
          <w:b/>
          <w:bCs/>
        </w:rPr>
        <w:t>3.5.2 Hybrid Variable Selection</w:t>
      </w:r>
    </w:p>
    <w:p w14:paraId="02867C45" w14:textId="77777777" w:rsidR="004B49D7" w:rsidRPr="004B49D7" w:rsidRDefault="004B49D7" w:rsidP="004B49D7">
      <w:pPr>
        <w:jc w:val="both"/>
      </w:pPr>
      <w:r w:rsidRPr="004B49D7">
        <w:t>Three machine learning algorithms were applied to the training set to rank variable importance:</w:t>
      </w:r>
    </w:p>
    <w:p w14:paraId="7C5A19C3" w14:textId="2A95E936" w:rsidR="004B49D7" w:rsidRPr="004B49D7" w:rsidRDefault="004B49D7" w:rsidP="004B49D7">
      <w:pPr>
        <w:numPr>
          <w:ilvl w:val="0"/>
          <w:numId w:val="13"/>
        </w:numPr>
        <w:jc w:val="both"/>
      </w:pPr>
      <w:r w:rsidRPr="004B49D7">
        <w:rPr>
          <w:b/>
          <w:bCs/>
        </w:rPr>
        <w:t>Random Survival Forest (RSF):</w:t>
      </w:r>
      <w:r w:rsidRPr="004B49D7">
        <w:t> Implemented using the random</w:t>
      </w:r>
      <w:r>
        <w:rPr>
          <w:rFonts w:hint="eastAsia"/>
        </w:rPr>
        <w:t>-</w:t>
      </w:r>
      <w:r w:rsidRPr="004B49D7">
        <w:t>Forest</w:t>
      </w:r>
      <w:r>
        <w:rPr>
          <w:rFonts w:hint="eastAsia"/>
        </w:rPr>
        <w:t>-</w:t>
      </w:r>
      <w:r w:rsidRPr="004B49D7">
        <w:t>SRC package. The number of trees was set to 1000, and the number of variables randomly sampled at each split was the square root of the number of predictors. Variable importance was measured by minimal depth and VIMP (variable importance).</w:t>
      </w:r>
    </w:p>
    <w:p w14:paraId="279B559B" w14:textId="77777777" w:rsidR="004B49D7" w:rsidRPr="004B49D7" w:rsidRDefault="004B49D7" w:rsidP="004B49D7">
      <w:pPr>
        <w:numPr>
          <w:ilvl w:val="0"/>
          <w:numId w:val="13"/>
        </w:numPr>
        <w:jc w:val="both"/>
      </w:pPr>
      <w:r w:rsidRPr="004B49D7">
        <w:rPr>
          <w:b/>
          <w:bCs/>
        </w:rPr>
        <w:t>Gradient Boosting Machine (GBM):</w:t>
      </w:r>
      <w:r w:rsidRPr="004B49D7">
        <w:t> Implemented using the </w:t>
      </w:r>
      <w:proofErr w:type="spellStart"/>
      <w:r w:rsidRPr="004B49D7">
        <w:t>gbm</w:t>
      </w:r>
      <w:proofErr w:type="spellEnd"/>
      <w:r w:rsidRPr="004B49D7">
        <w:t xml:space="preserve"> package with a Cox loss function. Parameters: number of trees = 5000, interaction depth </w:t>
      </w:r>
      <w:r w:rsidRPr="004B49D7">
        <w:lastRenderedPageBreak/>
        <w:t>= 3, shrinkage = 0.01, bag fraction = 0.5. Variable importance was based on the relative influence.</w:t>
      </w:r>
    </w:p>
    <w:p w14:paraId="0D2FF2C1" w14:textId="77777777" w:rsidR="004B49D7" w:rsidRPr="004B49D7" w:rsidRDefault="004B49D7" w:rsidP="004B49D7">
      <w:pPr>
        <w:numPr>
          <w:ilvl w:val="0"/>
          <w:numId w:val="13"/>
        </w:numPr>
        <w:jc w:val="both"/>
      </w:pPr>
      <w:r w:rsidRPr="004B49D7">
        <w:rPr>
          <w:b/>
          <w:bCs/>
        </w:rPr>
        <w:t>Elastic Net Cox Regression:</w:t>
      </w:r>
      <w:r w:rsidRPr="004B49D7">
        <w:t> Implemented using the </w:t>
      </w:r>
      <w:proofErr w:type="spellStart"/>
      <w:r w:rsidRPr="004B49D7">
        <w:t>glmnet</w:t>
      </w:r>
      <w:proofErr w:type="spellEnd"/>
      <w:r w:rsidRPr="004B49D7">
        <w:t> package with α=0.5 (elastic net) and α=1 (LASSO). Ten-fold cross-validation was used to select the optimal λ. Variable importance was based on the absolute value of the standardized coefficients.</w:t>
      </w:r>
    </w:p>
    <w:p w14:paraId="0380889E" w14:textId="77777777" w:rsidR="004B49D7" w:rsidRPr="004B49D7" w:rsidRDefault="004B49D7" w:rsidP="004B49D7">
      <w:pPr>
        <w:jc w:val="both"/>
      </w:pPr>
      <w:r w:rsidRPr="004B49D7">
        <w:t>Variables appearing in the top 10 importance rankings in at least two of the three methods were selected as candidate predictors. These were then entered into a multivariable Cox proportional hazards model; variables with </w:t>
      </w:r>
      <w:r w:rsidRPr="004B49D7">
        <w:rPr>
          <w:i/>
          <w:iCs/>
        </w:rPr>
        <w:t>P</w:t>
      </w:r>
      <w:r w:rsidRPr="004B49D7">
        <w:t> &lt; 0.05 were retained in the final model. Cancer subtype was forced into the model regardless of statistical significance due to clinical relevance.</w:t>
      </w:r>
    </w:p>
    <w:p w14:paraId="7505D935" w14:textId="77777777" w:rsidR="004B49D7" w:rsidRPr="004B49D7" w:rsidRDefault="004B49D7" w:rsidP="004B49D7">
      <w:pPr>
        <w:jc w:val="both"/>
        <w:rPr>
          <w:b/>
          <w:bCs/>
        </w:rPr>
      </w:pPr>
      <w:r w:rsidRPr="004B49D7">
        <w:rPr>
          <w:b/>
          <w:bCs/>
        </w:rPr>
        <w:t>3.5.3 Model Construction and Comparison</w:t>
      </w:r>
    </w:p>
    <w:p w14:paraId="7C6AAEDA" w14:textId="77777777" w:rsidR="004B49D7" w:rsidRPr="004B49D7" w:rsidRDefault="004B49D7" w:rsidP="004B49D7">
      <w:pPr>
        <w:jc w:val="both"/>
      </w:pPr>
      <w:r w:rsidRPr="004B49D7">
        <w:t>Five models were developed on the training set:</w:t>
      </w:r>
    </w:p>
    <w:p w14:paraId="23C2D0EA" w14:textId="77777777" w:rsidR="004B49D7" w:rsidRPr="004B49D7" w:rsidRDefault="004B49D7" w:rsidP="004B49D7">
      <w:pPr>
        <w:numPr>
          <w:ilvl w:val="0"/>
          <w:numId w:val="14"/>
        </w:numPr>
        <w:jc w:val="both"/>
      </w:pPr>
      <w:r w:rsidRPr="004B49D7">
        <w:rPr>
          <w:b/>
          <w:bCs/>
        </w:rPr>
        <w:t>Cox proportional hazards regression</w:t>
      </w:r>
      <w:r w:rsidRPr="004B49D7">
        <w:t> (with the selected variables)</w:t>
      </w:r>
    </w:p>
    <w:p w14:paraId="03D57442" w14:textId="77777777" w:rsidR="004B49D7" w:rsidRPr="004B49D7" w:rsidRDefault="004B49D7" w:rsidP="004B49D7">
      <w:pPr>
        <w:numPr>
          <w:ilvl w:val="0"/>
          <w:numId w:val="14"/>
        </w:numPr>
        <w:jc w:val="both"/>
      </w:pPr>
      <w:r w:rsidRPr="004B49D7">
        <w:rPr>
          <w:b/>
          <w:bCs/>
        </w:rPr>
        <w:t>Random Survival Forest (RSF)</w:t>
      </w:r>
      <w:r w:rsidRPr="004B49D7">
        <w:t> (using all candidate variables, with same parameters as above)</w:t>
      </w:r>
    </w:p>
    <w:p w14:paraId="2ED9B3E3" w14:textId="77777777" w:rsidR="004B49D7" w:rsidRPr="004B49D7" w:rsidRDefault="004B49D7" w:rsidP="004B49D7">
      <w:pPr>
        <w:numPr>
          <w:ilvl w:val="0"/>
          <w:numId w:val="14"/>
        </w:numPr>
        <w:jc w:val="both"/>
      </w:pPr>
      <w:r w:rsidRPr="004B49D7">
        <w:rPr>
          <w:b/>
          <w:bCs/>
        </w:rPr>
        <w:t>Gradient Boosting Machine (GBM)</w:t>
      </w:r>
      <w:r w:rsidRPr="004B49D7">
        <w:t> (using all candidate variables, with same parameters as above)</w:t>
      </w:r>
    </w:p>
    <w:p w14:paraId="70D6CFDF" w14:textId="77777777" w:rsidR="004B49D7" w:rsidRPr="004B49D7" w:rsidRDefault="004B49D7" w:rsidP="004B49D7">
      <w:pPr>
        <w:numPr>
          <w:ilvl w:val="0"/>
          <w:numId w:val="14"/>
        </w:numPr>
        <w:jc w:val="both"/>
      </w:pPr>
      <w:r w:rsidRPr="004B49D7">
        <w:rPr>
          <w:b/>
          <w:bCs/>
        </w:rPr>
        <w:t>LASSO Cox regression</w:t>
      </w:r>
      <w:r w:rsidRPr="004B49D7">
        <w:t> (α=1, λ selected by cross-validation)</w:t>
      </w:r>
    </w:p>
    <w:p w14:paraId="7BF197FE" w14:textId="77777777" w:rsidR="004B49D7" w:rsidRPr="004B49D7" w:rsidRDefault="004B49D7" w:rsidP="004B49D7">
      <w:pPr>
        <w:numPr>
          <w:ilvl w:val="0"/>
          <w:numId w:val="14"/>
        </w:numPr>
        <w:jc w:val="both"/>
      </w:pPr>
      <w:r w:rsidRPr="004B49D7">
        <w:rPr>
          <w:b/>
          <w:bCs/>
        </w:rPr>
        <w:t>Elastic Net Cox regression</w:t>
      </w:r>
      <w:r w:rsidRPr="004B49D7">
        <w:t> (α=0.5, λ selected by cross-validation)</w:t>
      </w:r>
    </w:p>
    <w:p w14:paraId="7E60E062" w14:textId="77777777" w:rsidR="004B49D7" w:rsidRPr="004B49D7" w:rsidRDefault="004B49D7" w:rsidP="004B49D7">
      <w:pPr>
        <w:jc w:val="both"/>
      </w:pPr>
      <w:r w:rsidRPr="004B49D7">
        <w:t>Performance was evaluated in the test set using:</w:t>
      </w:r>
    </w:p>
    <w:p w14:paraId="658D0C35" w14:textId="77777777" w:rsidR="004B49D7" w:rsidRPr="004B49D7" w:rsidRDefault="004B49D7" w:rsidP="004B49D7">
      <w:pPr>
        <w:numPr>
          <w:ilvl w:val="0"/>
          <w:numId w:val="15"/>
        </w:numPr>
        <w:jc w:val="both"/>
      </w:pPr>
      <w:r w:rsidRPr="004B49D7">
        <w:rPr>
          <w:b/>
          <w:bCs/>
        </w:rPr>
        <w:t>Harrell's C-index</w:t>
      </w:r>
      <w:r w:rsidRPr="004B49D7">
        <w:t> (discrimination)</w:t>
      </w:r>
    </w:p>
    <w:p w14:paraId="6F1A29CA" w14:textId="54207423" w:rsidR="004B49D7" w:rsidRPr="004B49D7" w:rsidRDefault="004B49D7" w:rsidP="004B49D7">
      <w:pPr>
        <w:numPr>
          <w:ilvl w:val="0"/>
          <w:numId w:val="15"/>
        </w:numPr>
        <w:jc w:val="both"/>
      </w:pPr>
      <w:r w:rsidRPr="004B49D7">
        <w:rPr>
          <w:b/>
          <w:bCs/>
        </w:rPr>
        <w:t>Time-dependent AUC</w:t>
      </w:r>
      <w:r w:rsidRPr="004B49D7">
        <w:t> at 1, 2, and 3 years (using the time</w:t>
      </w:r>
      <w:r>
        <w:rPr>
          <w:rFonts w:hint="eastAsia"/>
        </w:rPr>
        <w:t>-</w:t>
      </w:r>
      <w:r w:rsidRPr="004B49D7">
        <w:t>ROC package)</w:t>
      </w:r>
    </w:p>
    <w:p w14:paraId="59C210BC" w14:textId="77777777" w:rsidR="004B49D7" w:rsidRPr="004B49D7" w:rsidRDefault="004B49D7" w:rsidP="004B49D7">
      <w:pPr>
        <w:numPr>
          <w:ilvl w:val="0"/>
          <w:numId w:val="15"/>
        </w:numPr>
        <w:jc w:val="both"/>
      </w:pPr>
      <w:r w:rsidRPr="004B49D7">
        <w:rPr>
          <w:b/>
          <w:bCs/>
        </w:rPr>
        <w:t>Calibration plots</w:t>
      </w:r>
      <w:r w:rsidRPr="004B49D7">
        <w:t> comparing predicted vs. observed survival probabilities at 1, 2, and 3 years</w:t>
      </w:r>
    </w:p>
    <w:p w14:paraId="0508DAEF" w14:textId="77777777" w:rsidR="004B49D7" w:rsidRPr="004B49D7" w:rsidRDefault="004B49D7" w:rsidP="004B49D7">
      <w:pPr>
        <w:numPr>
          <w:ilvl w:val="0"/>
          <w:numId w:val="15"/>
        </w:numPr>
        <w:jc w:val="both"/>
      </w:pPr>
      <w:r w:rsidRPr="004B49D7">
        <w:rPr>
          <w:b/>
          <w:bCs/>
        </w:rPr>
        <w:t>Overfitting</w:t>
      </w:r>
      <w:r w:rsidRPr="004B49D7">
        <w:t> quantified as the difference between training and test C-indices</w:t>
      </w:r>
    </w:p>
    <w:p w14:paraId="3FC3C61C" w14:textId="77777777" w:rsidR="004B49D7" w:rsidRPr="004B49D7" w:rsidRDefault="004B49D7" w:rsidP="004B49D7">
      <w:pPr>
        <w:jc w:val="both"/>
        <w:rPr>
          <w:b/>
          <w:bCs/>
        </w:rPr>
      </w:pPr>
      <w:r w:rsidRPr="004B49D7">
        <w:rPr>
          <w:b/>
          <w:bCs/>
        </w:rPr>
        <w:t>3.5.4 Nomogram and Risk Score</w:t>
      </w:r>
    </w:p>
    <w:p w14:paraId="5493FE5B" w14:textId="77777777" w:rsidR="004B49D7" w:rsidRPr="004B49D7" w:rsidRDefault="004B49D7" w:rsidP="004B49D7">
      <w:pPr>
        <w:jc w:val="both"/>
      </w:pPr>
      <w:r w:rsidRPr="004B49D7">
        <w:t xml:space="preserve">Based on the best performing model (Cox regression), a nomogram was constructed using the rms package to visualize predictions of 1-, 2-, and 3-year survival probabilities. A point-based scoring system was derived by multiplying each regression </w:t>
      </w:r>
      <w:r w:rsidRPr="004B49D7">
        <w:lastRenderedPageBreak/>
        <w:t>coefficient by 10 and rounding to one decimal place. The total risk score for each patient was calculated by summing individual points.</w:t>
      </w:r>
    </w:p>
    <w:p w14:paraId="4C91CF43" w14:textId="77777777" w:rsidR="004B49D7" w:rsidRPr="004B49D7" w:rsidRDefault="004B49D7" w:rsidP="004B49D7">
      <w:pPr>
        <w:jc w:val="both"/>
        <w:rPr>
          <w:b/>
          <w:bCs/>
        </w:rPr>
      </w:pPr>
      <w:r w:rsidRPr="004B49D7">
        <w:rPr>
          <w:b/>
          <w:bCs/>
        </w:rPr>
        <w:t>3.5.5 Internal Validation</w:t>
      </w:r>
    </w:p>
    <w:p w14:paraId="10C90DE4" w14:textId="77777777" w:rsidR="004B49D7" w:rsidRPr="004B49D7" w:rsidRDefault="004B49D7" w:rsidP="004B49D7">
      <w:pPr>
        <w:jc w:val="both"/>
      </w:pPr>
      <w:r w:rsidRPr="004B49D7">
        <w:t>Bootstrap resampling with 1000 iterations was performed. In each bootstrap sample (drawn with replacement from the training set), the Cox model was refitted, and the C-index was computed on the bootstrap sample and on the original training set. Optimism was estimated as the mean difference between bootstrap and original C-indices, and the optimism-corrected C-index was obtained. Calibration curves at 1, 2, and 3 years were generated using the calibrate function in the rms package (B=1000), and mean absolute error (MAE) was reported.</w:t>
      </w:r>
    </w:p>
    <w:p w14:paraId="0C26A16C" w14:textId="77777777" w:rsidR="004B49D7" w:rsidRPr="004B49D7" w:rsidRDefault="004B49D7" w:rsidP="004B49D7">
      <w:pPr>
        <w:jc w:val="both"/>
        <w:rPr>
          <w:b/>
          <w:bCs/>
        </w:rPr>
      </w:pPr>
      <w:r w:rsidRPr="004B49D7">
        <w:rPr>
          <w:b/>
          <w:bCs/>
        </w:rPr>
        <w:t>3.6 Risk Percentile Reference System</w:t>
      </w:r>
    </w:p>
    <w:p w14:paraId="410B6B8D" w14:textId="77777777" w:rsidR="004B49D7" w:rsidRPr="004B49D7" w:rsidRDefault="004B49D7" w:rsidP="004B49D7">
      <w:pPr>
        <w:jc w:val="both"/>
      </w:pPr>
      <w:r w:rsidRPr="004B49D7">
        <w:t>The entire early-onset cohort (training + testing, n=1,833) was used as the reference population. For each cancer subtype (esophageal, gastric, colorectal, hepato-pancreato-biliary) and each age at diagnosis, a rolling window of ±5 years was applied to stabilize sample sizes within each stratum. Within each stratum, individual risk scores were ranked, and the 10th, 25th, 50th (median), 75th, and 90th percentiles were calculated, generating a comprehensive lookup table.</w:t>
      </w:r>
    </w:p>
    <w:p w14:paraId="6E29C65A" w14:textId="77777777" w:rsidR="004B49D7" w:rsidRPr="004B49D7" w:rsidRDefault="004B49D7" w:rsidP="004B49D7">
      <w:pPr>
        <w:jc w:val="both"/>
      </w:pPr>
      <w:r w:rsidRPr="004B49D7">
        <w:t>For a new patient, after computing their risk score using the point system, their risk percentile is determined by locating the corresponding percentile in the table based on their cancer subtype and age. The interpretation is: "Compared to past patients with the same cancer type and similar age at diagnosis, your prognostic risk is higher than X% of them."</w:t>
      </w:r>
    </w:p>
    <w:p w14:paraId="53AB6B7F" w14:textId="77777777" w:rsidR="004B49D7" w:rsidRPr="004B49D7" w:rsidRDefault="004B49D7" w:rsidP="004B49D7">
      <w:pPr>
        <w:jc w:val="both"/>
        <w:rPr>
          <w:b/>
          <w:bCs/>
        </w:rPr>
      </w:pPr>
      <w:r w:rsidRPr="004B49D7">
        <w:rPr>
          <w:b/>
          <w:bCs/>
        </w:rPr>
        <w:t>3.7 Exploratory High-Risk Subgroup Analysis</w:t>
      </w:r>
    </w:p>
    <w:p w14:paraId="7247CA44" w14:textId="77777777" w:rsidR="004B49D7" w:rsidRPr="004B49D7" w:rsidRDefault="004B49D7" w:rsidP="004B49D7">
      <w:pPr>
        <w:jc w:val="both"/>
      </w:pPr>
      <w:r w:rsidRPr="004B49D7">
        <w:t>Within the early-onset cohort, patients with risk percentile ≥75th were defined as the "high-risk" subgroup. Clinical characteristics were compared between high-risk and low-risk (&lt;75th) groups using appropriate tests. Kaplan-Meier curves and log-rank tests compared overall survival between these two groups to validate the discriminatory ability of the percentile classification.</w:t>
      </w:r>
    </w:p>
    <w:p w14:paraId="47277875" w14:textId="77777777" w:rsidR="004B49D7" w:rsidRPr="004B49D7" w:rsidRDefault="004B49D7" w:rsidP="004B49D7">
      <w:pPr>
        <w:jc w:val="both"/>
        <w:rPr>
          <w:b/>
          <w:bCs/>
        </w:rPr>
      </w:pPr>
      <w:r w:rsidRPr="004B49D7">
        <w:rPr>
          <w:b/>
          <w:bCs/>
        </w:rPr>
        <w:t>3.8 Software</w:t>
      </w:r>
    </w:p>
    <w:p w14:paraId="5044EDC1" w14:textId="77777777" w:rsidR="004B49D7" w:rsidRPr="004B49D7" w:rsidRDefault="004B49D7" w:rsidP="004B49D7">
      <w:pPr>
        <w:jc w:val="both"/>
      </w:pPr>
      <w:r w:rsidRPr="004B49D7">
        <w:lastRenderedPageBreak/>
        <w:t xml:space="preserve">All statistical analyses were performed using R version 4.5.2 with the following packages: survival, survminer, rms, randomForestSRC, gbm, glmnet, mice, tableone, timeROC, riskRegression, ggplot2, dplyr, tidyr. GBD trend analysis was conducted using </w:t>
      </w:r>
      <w:proofErr w:type="spellStart"/>
      <w:r w:rsidRPr="004B49D7">
        <w:t>Joinpoint</w:t>
      </w:r>
      <w:proofErr w:type="spellEnd"/>
      <w:r w:rsidRPr="004B49D7">
        <w:t xml:space="preserve"> software version 5.0.2 (National Cancer Institute). A two-sided </w:t>
      </w:r>
      <w:r w:rsidRPr="004B49D7">
        <w:rPr>
          <w:i/>
          <w:iCs/>
        </w:rPr>
        <w:t>P</w:t>
      </w:r>
      <w:r w:rsidRPr="004B49D7">
        <w:t> &lt; 0.05 was considered statistically significant.</w:t>
      </w:r>
    </w:p>
    <w:p w14:paraId="7AC7EA90" w14:textId="77777777" w:rsidR="0079599E" w:rsidRDefault="0079599E" w:rsidP="004B49D7">
      <w:pPr>
        <w:jc w:val="both"/>
      </w:pPr>
    </w:p>
    <w:sectPr w:rsidR="007959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399F0" w14:textId="77777777" w:rsidR="00BA17E5" w:rsidRDefault="00BA17E5" w:rsidP="004B49D7">
      <w:pPr>
        <w:spacing w:line="240" w:lineRule="auto"/>
      </w:pPr>
      <w:r>
        <w:separator/>
      </w:r>
    </w:p>
  </w:endnote>
  <w:endnote w:type="continuationSeparator" w:id="0">
    <w:p w14:paraId="39DFEA17" w14:textId="77777777" w:rsidR="00BA17E5" w:rsidRDefault="00BA17E5" w:rsidP="004B49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17672" w14:textId="77777777" w:rsidR="00BA17E5" w:rsidRDefault="00BA17E5" w:rsidP="004B49D7">
      <w:pPr>
        <w:spacing w:line="240" w:lineRule="auto"/>
      </w:pPr>
      <w:r>
        <w:separator/>
      </w:r>
    </w:p>
  </w:footnote>
  <w:footnote w:type="continuationSeparator" w:id="0">
    <w:p w14:paraId="6039ED75" w14:textId="77777777" w:rsidR="00BA17E5" w:rsidRDefault="00BA17E5" w:rsidP="004B49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30970"/>
    <w:multiLevelType w:val="multilevel"/>
    <w:tmpl w:val="7DA48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C11A6"/>
    <w:multiLevelType w:val="multilevel"/>
    <w:tmpl w:val="5B9E4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4B609D"/>
    <w:multiLevelType w:val="multilevel"/>
    <w:tmpl w:val="57E0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710288"/>
    <w:multiLevelType w:val="multilevel"/>
    <w:tmpl w:val="87BE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153344"/>
    <w:multiLevelType w:val="multilevel"/>
    <w:tmpl w:val="FEE43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8E6CE9"/>
    <w:multiLevelType w:val="multilevel"/>
    <w:tmpl w:val="03CC0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1F70BA"/>
    <w:multiLevelType w:val="multilevel"/>
    <w:tmpl w:val="E15C2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90746A"/>
    <w:multiLevelType w:val="multilevel"/>
    <w:tmpl w:val="CB8E8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BA551F"/>
    <w:multiLevelType w:val="multilevel"/>
    <w:tmpl w:val="9BBC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DE5FC2"/>
    <w:multiLevelType w:val="multilevel"/>
    <w:tmpl w:val="D19E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017F29"/>
    <w:multiLevelType w:val="multilevel"/>
    <w:tmpl w:val="296A3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0772E2"/>
    <w:multiLevelType w:val="multilevel"/>
    <w:tmpl w:val="3A1A5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C2709E"/>
    <w:multiLevelType w:val="multilevel"/>
    <w:tmpl w:val="47389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CA5C47"/>
    <w:multiLevelType w:val="multilevel"/>
    <w:tmpl w:val="A784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6423D9"/>
    <w:multiLevelType w:val="multilevel"/>
    <w:tmpl w:val="C78E2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9C162C"/>
    <w:multiLevelType w:val="multilevel"/>
    <w:tmpl w:val="A694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7560682">
    <w:abstractNumId w:val="5"/>
  </w:num>
  <w:num w:numId="2" w16cid:durableId="189731257">
    <w:abstractNumId w:val="7"/>
  </w:num>
  <w:num w:numId="3" w16cid:durableId="2004775254">
    <w:abstractNumId w:val="2"/>
  </w:num>
  <w:num w:numId="4" w16cid:durableId="1947809448">
    <w:abstractNumId w:val="10"/>
  </w:num>
  <w:num w:numId="5" w16cid:durableId="1894347496">
    <w:abstractNumId w:val="0"/>
  </w:num>
  <w:num w:numId="6" w16cid:durableId="242377186">
    <w:abstractNumId w:val="15"/>
  </w:num>
  <w:num w:numId="7" w16cid:durableId="2010058750">
    <w:abstractNumId w:val="13"/>
  </w:num>
  <w:num w:numId="8" w16cid:durableId="1484548108">
    <w:abstractNumId w:val="8"/>
  </w:num>
  <w:num w:numId="9" w16cid:durableId="1117021138">
    <w:abstractNumId w:val="11"/>
  </w:num>
  <w:num w:numId="10" w16cid:durableId="545410183">
    <w:abstractNumId w:val="6"/>
  </w:num>
  <w:num w:numId="11" w16cid:durableId="2047026367">
    <w:abstractNumId w:val="3"/>
  </w:num>
  <w:num w:numId="12" w16cid:durableId="1344473616">
    <w:abstractNumId w:val="12"/>
  </w:num>
  <w:num w:numId="13" w16cid:durableId="1864439739">
    <w:abstractNumId w:val="9"/>
  </w:num>
  <w:num w:numId="14" w16cid:durableId="886916333">
    <w:abstractNumId w:val="4"/>
  </w:num>
  <w:num w:numId="15" w16cid:durableId="950937049">
    <w:abstractNumId w:val="1"/>
  </w:num>
  <w:num w:numId="16" w16cid:durableId="11785377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DDF"/>
    <w:rsid w:val="000034B2"/>
    <w:rsid w:val="0000636B"/>
    <w:rsid w:val="001E350D"/>
    <w:rsid w:val="0020062C"/>
    <w:rsid w:val="002532D9"/>
    <w:rsid w:val="004B49D7"/>
    <w:rsid w:val="005C0D9D"/>
    <w:rsid w:val="00612BF8"/>
    <w:rsid w:val="00635F32"/>
    <w:rsid w:val="0079599E"/>
    <w:rsid w:val="007D2DDF"/>
    <w:rsid w:val="00A77596"/>
    <w:rsid w:val="00AB4B71"/>
    <w:rsid w:val="00BA17E5"/>
    <w:rsid w:val="00C24D0F"/>
    <w:rsid w:val="00E6489F"/>
    <w:rsid w:val="00F52AD3"/>
    <w:rsid w:val="00F54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6B7DB5"/>
  <w15:chartTrackingRefBased/>
  <w15:docId w15:val="{9795F6A2-C52C-4141-8C0A-91B004FC5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kern w:val="2"/>
        <w:sz w:val="24"/>
        <w:szCs w:val="24"/>
        <w:lang w:val="en-US" w:eastAsia="zh-CN"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52AD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7D2DD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7D2DD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7D2DDF"/>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7D2DDF"/>
    <w:pPr>
      <w:keepNext/>
      <w:keepLines/>
      <w:spacing w:before="80" w:after="40"/>
      <w:outlineLvl w:val="4"/>
    </w:pPr>
    <w:rPr>
      <w:rFonts w:asciiTheme="minorHAnsi" w:eastAsiaTheme="minorEastAsia" w:hAnsiTheme="minorHAnsi" w:cstheme="majorBidi"/>
      <w:color w:val="2F5496" w:themeColor="accent1" w:themeShade="BF"/>
    </w:rPr>
  </w:style>
  <w:style w:type="paragraph" w:styleId="6">
    <w:name w:val="heading 6"/>
    <w:basedOn w:val="a"/>
    <w:next w:val="a"/>
    <w:link w:val="60"/>
    <w:uiPriority w:val="9"/>
    <w:semiHidden/>
    <w:unhideWhenUsed/>
    <w:qFormat/>
    <w:rsid w:val="007D2DDF"/>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semiHidden/>
    <w:unhideWhenUsed/>
    <w:qFormat/>
    <w:rsid w:val="007D2DDF"/>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7D2DDF"/>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7D2DDF"/>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宣武课题-一级标题"/>
    <w:basedOn w:val="1"/>
    <w:link w:val="-0"/>
    <w:qFormat/>
    <w:rsid w:val="00F52AD3"/>
    <w:pPr>
      <w:widowControl w:val="0"/>
      <w:snapToGrid w:val="0"/>
      <w:spacing w:before="0" w:after="0"/>
      <w:jc w:val="both"/>
    </w:pPr>
    <w:rPr>
      <w:rFonts w:ascii="Times New Roman" w:eastAsia="宋体" w:hAnsi="Times New Roman" w:cstheme="minorBidi"/>
      <w:bCs/>
      <w:color w:val="auto"/>
      <w:kern w:val="44"/>
      <w:sz w:val="28"/>
      <w:szCs w:val="28"/>
    </w:rPr>
  </w:style>
  <w:style w:type="character" w:customStyle="1" w:styleId="-0">
    <w:name w:val="宣武课题-一级标题 字符"/>
    <w:basedOn w:val="10"/>
    <w:link w:val="-"/>
    <w:rsid w:val="00F52AD3"/>
    <w:rPr>
      <w:rFonts w:asciiTheme="majorHAnsi" w:eastAsiaTheme="majorEastAsia" w:hAnsiTheme="majorHAnsi" w:cstheme="majorBidi"/>
      <w:bCs/>
      <w:color w:val="2F5496" w:themeColor="accent1" w:themeShade="BF"/>
      <w:kern w:val="44"/>
      <w:sz w:val="28"/>
      <w:szCs w:val="28"/>
    </w:rPr>
  </w:style>
  <w:style w:type="character" w:customStyle="1" w:styleId="10">
    <w:name w:val="标题 1 字符"/>
    <w:basedOn w:val="a0"/>
    <w:link w:val="1"/>
    <w:uiPriority w:val="9"/>
    <w:rsid w:val="00F52AD3"/>
    <w:rPr>
      <w:rFonts w:asciiTheme="majorHAnsi" w:eastAsiaTheme="majorEastAsia" w:hAnsiTheme="majorHAnsi" w:cstheme="majorBidi"/>
      <w:color w:val="2F5496" w:themeColor="accent1" w:themeShade="BF"/>
      <w:sz w:val="48"/>
      <w:szCs w:val="48"/>
    </w:rPr>
  </w:style>
  <w:style w:type="paragraph" w:styleId="a3">
    <w:name w:val="caption"/>
    <w:aliases w:val="宣武课题-题注"/>
    <w:basedOn w:val="a"/>
    <w:next w:val="a"/>
    <w:unhideWhenUsed/>
    <w:qFormat/>
    <w:rsid w:val="00F52AD3"/>
    <w:pPr>
      <w:widowControl w:val="0"/>
      <w:spacing w:line="240" w:lineRule="auto"/>
      <w:jc w:val="both"/>
    </w:pPr>
    <w:rPr>
      <w:rFonts w:cstheme="majorBidi"/>
      <w:sz w:val="21"/>
      <w:szCs w:val="20"/>
    </w:rPr>
  </w:style>
  <w:style w:type="character" w:customStyle="1" w:styleId="20">
    <w:name w:val="标题 2 字符"/>
    <w:basedOn w:val="a0"/>
    <w:link w:val="2"/>
    <w:uiPriority w:val="9"/>
    <w:semiHidden/>
    <w:rsid w:val="007D2DD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7D2DD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7D2DDF"/>
    <w:rPr>
      <w:rFonts w:asciiTheme="minorHAnsi" w:eastAsiaTheme="minorEastAsia" w:hAnsiTheme="minorHAnsi" w:cstheme="majorBidi"/>
      <w:color w:val="2F5496" w:themeColor="accent1" w:themeShade="BF"/>
      <w:sz w:val="28"/>
      <w:szCs w:val="28"/>
    </w:rPr>
  </w:style>
  <w:style w:type="character" w:customStyle="1" w:styleId="50">
    <w:name w:val="标题 5 字符"/>
    <w:basedOn w:val="a0"/>
    <w:link w:val="5"/>
    <w:uiPriority w:val="9"/>
    <w:semiHidden/>
    <w:rsid w:val="007D2DDF"/>
    <w:rPr>
      <w:rFonts w:asciiTheme="minorHAnsi" w:eastAsiaTheme="minorEastAsia" w:hAnsiTheme="minorHAnsi" w:cstheme="majorBidi"/>
      <w:color w:val="2F5496" w:themeColor="accent1" w:themeShade="BF"/>
    </w:rPr>
  </w:style>
  <w:style w:type="character" w:customStyle="1" w:styleId="60">
    <w:name w:val="标题 6 字符"/>
    <w:basedOn w:val="a0"/>
    <w:link w:val="6"/>
    <w:uiPriority w:val="9"/>
    <w:semiHidden/>
    <w:rsid w:val="007D2DDF"/>
    <w:rPr>
      <w:rFonts w:asciiTheme="minorHAnsi" w:eastAsiaTheme="minorEastAsia" w:hAnsiTheme="minorHAnsi" w:cstheme="majorBidi"/>
      <w:b/>
      <w:bCs/>
      <w:color w:val="2F5496" w:themeColor="accent1" w:themeShade="BF"/>
    </w:rPr>
  </w:style>
  <w:style w:type="character" w:customStyle="1" w:styleId="70">
    <w:name w:val="标题 7 字符"/>
    <w:basedOn w:val="a0"/>
    <w:link w:val="7"/>
    <w:uiPriority w:val="9"/>
    <w:semiHidden/>
    <w:rsid w:val="007D2DDF"/>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rsid w:val="007D2DDF"/>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rsid w:val="007D2DDF"/>
    <w:rPr>
      <w:rFonts w:asciiTheme="minorHAnsi" w:eastAsiaTheme="majorEastAsia" w:hAnsiTheme="minorHAnsi" w:cstheme="majorBidi"/>
      <w:color w:val="595959" w:themeColor="text1" w:themeTint="A6"/>
    </w:rPr>
  </w:style>
  <w:style w:type="paragraph" w:styleId="a4">
    <w:name w:val="Title"/>
    <w:basedOn w:val="a"/>
    <w:next w:val="a"/>
    <w:link w:val="a5"/>
    <w:uiPriority w:val="10"/>
    <w:qFormat/>
    <w:rsid w:val="007D2DD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0"/>
    <w:link w:val="a4"/>
    <w:uiPriority w:val="10"/>
    <w:rsid w:val="007D2DDF"/>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7D2DD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0"/>
    <w:link w:val="a6"/>
    <w:uiPriority w:val="11"/>
    <w:rsid w:val="007D2DDF"/>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7D2DDF"/>
    <w:pPr>
      <w:spacing w:before="160" w:after="160"/>
      <w:jc w:val="center"/>
    </w:pPr>
    <w:rPr>
      <w:i/>
      <w:iCs/>
      <w:color w:val="404040" w:themeColor="text1" w:themeTint="BF"/>
    </w:rPr>
  </w:style>
  <w:style w:type="character" w:customStyle="1" w:styleId="a9">
    <w:name w:val="引用 字符"/>
    <w:basedOn w:val="a0"/>
    <w:link w:val="a8"/>
    <w:uiPriority w:val="29"/>
    <w:rsid w:val="007D2DDF"/>
    <w:rPr>
      <w:i/>
      <w:iCs/>
      <w:color w:val="404040" w:themeColor="text1" w:themeTint="BF"/>
    </w:rPr>
  </w:style>
  <w:style w:type="paragraph" w:styleId="aa">
    <w:name w:val="List Paragraph"/>
    <w:basedOn w:val="a"/>
    <w:uiPriority w:val="34"/>
    <w:qFormat/>
    <w:rsid w:val="007D2DDF"/>
    <w:pPr>
      <w:ind w:left="720"/>
      <w:contextualSpacing/>
    </w:pPr>
  </w:style>
  <w:style w:type="character" w:styleId="ab">
    <w:name w:val="Intense Emphasis"/>
    <w:basedOn w:val="a0"/>
    <w:uiPriority w:val="21"/>
    <w:qFormat/>
    <w:rsid w:val="007D2DDF"/>
    <w:rPr>
      <w:i/>
      <w:iCs/>
      <w:color w:val="2F5496" w:themeColor="accent1" w:themeShade="BF"/>
    </w:rPr>
  </w:style>
  <w:style w:type="paragraph" w:styleId="ac">
    <w:name w:val="Intense Quote"/>
    <w:basedOn w:val="a"/>
    <w:next w:val="a"/>
    <w:link w:val="ad"/>
    <w:uiPriority w:val="30"/>
    <w:qFormat/>
    <w:rsid w:val="007D2D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明显引用 字符"/>
    <w:basedOn w:val="a0"/>
    <w:link w:val="ac"/>
    <w:uiPriority w:val="30"/>
    <w:rsid w:val="007D2DDF"/>
    <w:rPr>
      <w:i/>
      <w:iCs/>
      <w:color w:val="2F5496" w:themeColor="accent1" w:themeShade="BF"/>
    </w:rPr>
  </w:style>
  <w:style w:type="character" w:styleId="ae">
    <w:name w:val="Intense Reference"/>
    <w:basedOn w:val="a0"/>
    <w:uiPriority w:val="32"/>
    <w:qFormat/>
    <w:rsid w:val="007D2DDF"/>
    <w:rPr>
      <w:b/>
      <w:bCs/>
      <w:smallCaps/>
      <w:color w:val="2F5496" w:themeColor="accent1" w:themeShade="BF"/>
      <w:spacing w:val="5"/>
    </w:rPr>
  </w:style>
  <w:style w:type="paragraph" w:styleId="af">
    <w:name w:val="header"/>
    <w:basedOn w:val="a"/>
    <w:link w:val="af0"/>
    <w:uiPriority w:val="99"/>
    <w:unhideWhenUsed/>
    <w:rsid w:val="004B49D7"/>
    <w:pPr>
      <w:tabs>
        <w:tab w:val="center" w:pos="4153"/>
        <w:tab w:val="right" w:pos="8306"/>
      </w:tabs>
      <w:snapToGrid w:val="0"/>
      <w:spacing w:line="240" w:lineRule="auto"/>
      <w:jc w:val="center"/>
    </w:pPr>
    <w:rPr>
      <w:sz w:val="18"/>
      <w:szCs w:val="18"/>
    </w:rPr>
  </w:style>
  <w:style w:type="character" w:customStyle="1" w:styleId="af0">
    <w:name w:val="页眉 字符"/>
    <w:basedOn w:val="a0"/>
    <w:link w:val="af"/>
    <w:uiPriority w:val="99"/>
    <w:rsid w:val="004B49D7"/>
    <w:rPr>
      <w:sz w:val="18"/>
      <w:szCs w:val="18"/>
    </w:rPr>
  </w:style>
  <w:style w:type="paragraph" w:styleId="af1">
    <w:name w:val="footer"/>
    <w:basedOn w:val="a"/>
    <w:link w:val="af2"/>
    <w:uiPriority w:val="99"/>
    <w:unhideWhenUsed/>
    <w:rsid w:val="004B49D7"/>
    <w:pPr>
      <w:tabs>
        <w:tab w:val="center" w:pos="4153"/>
        <w:tab w:val="right" w:pos="8306"/>
      </w:tabs>
      <w:snapToGrid w:val="0"/>
      <w:spacing w:line="240" w:lineRule="auto"/>
    </w:pPr>
    <w:rPr>
      <w:sz w:val="18"/>
      <w:szCs w:val="18"/>
    </w:rPr>
  </w:style>
  <w:style w:type="character" w:customStyle="1" w:styleId="af2">
    <w:name w:val="页脚 字符"/>
    <w:basedOn w:val="a0"/>
    <w:link w:val="af1"/>
    <w:uiPriority w:val="99"/>
    <w:rsid w:val="004B49D7"/>
    <w:rPr>
      <w:sz w:val="18"/>
      <w:szCs w:val="18"/>
    </w:rPr>
  </w:style>
  <w:style w:type="character" w:styleId="af3">
    <w:name w:val="Hyperlink"/>
    <w:basedOn w:val="a0"/>
    <w:uiPriority w:val="99"/>
    <w:unhideWhenUsed/>
    <w:rsid w:val="004B49D7"/>
    <w:rPr>
      <w:color w:val="0563C1" w:themeColor="hyperlink"/>
      <w:u w:val="single"/>
    </w:rPr>
  </w:style>
  <w:style w:type="character" w:styleId="af4">
    <w:name w:val="Unresolved Mention"/>
    <w:basedOn w:val="a0"/>
    <w:uiPriority w:val="99"/>
    <w:semiHidden/>
    <w:unhideWhenUsed/>
    <w:rsid w:val="004B49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1962</Words>
  <Characters>12404</Characters>
  <Application>Microsoft Office Word</Application>
  <DocSecurity>0</DocSecurity>
  <Lines>243</Lines>
  <Paragraphs>138</Paragraphs>
  <ScaleCrop>false</ScaleCrop>
  <Company/>
  <LinksUpToDate>false</LinksUpToDate>
  <CharactersWithSpaces>14228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明建 赵</dc:creator>
  <cp:keywords/>
  <dc:description/>
  <cp:lastModifiedBy>明建 赵</cp:lastModifiedBy>
  <cp:revision>4</cp:revision>
  <dcterms:created xsi:type="dcterms:W3CDTF">2026-03-19T06:28:00Z</dcterms:created>
  <dcterms:modified xsi:type="dcterms:W3CDTF">2026-03-19T07:41:00Z</dcterms:modified>
</cp:coreProperties>
</file>