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484B8" w14:textId="77777777" w:rsidR="00156632" w:rsidRPr="00120ED1" w:rsidRDefault="00156632" w:rsidP="00156632">
      <w:pPr>
        <w:spacing w:line="480" w:lineRule="auto"/>
        <w:jc w:val="both"/>
        <w:rPr>
          <w:rFonts w:cs="Times New Roman"/>
          <w:b/>
          <w:bCs/>
        </w:rPr>
      </w:pPr>
      <w:r w:rsidRPr="00120ED1">
        <w:rPr>
          <w:rFonts w:cs="Times New Roman"/>
          <w:b/>
          <w:bCs/>
        </w:rPr>
        <w:t>Supplementary Figure 1. Flowchart diagram of the screening and enrollment of study participants</w:t>
      </w:r>
      <w:r>
        <w:rPr>
          <w:rFonts w:cs="Times New Roman" w:hint="eastAsia"/>
          <w:b/>
          <w:bCs/>
        </w:rPr>
        <w:t xml:space="preserve"> in </w:t>
      </w:r>
      <w:r w:rsidRPr="00120ED1">
        <w:rPr>
          <w:rFonts w:cs="Times New Roman"/>
          <w:b/>
          <w:bCs/>
        </w:rPr>
        <w:t>the GBD database</w:t>
      </w:r>
      <w:r>
        <w:rPr>
          <w:rFonts w:cs="Times New Roman" w:hint="eastAsia"/>
          <w:b/>
          <w:bCs/>
        </w:rPr>
        <w:t xml:space="preserve"> and </w:t>
      </w:r>
      <w:r w:rsidRPr="00120ED1">
        <w:rPr>
          <w:rFonts w:cs="Times New Roman"/>
          <w:b/>
          <w:bCs/>
        </w:rPr>
        <w:t>the INSCOC cohort.</w:t>
      </w:r>
    </w:p>
    <w:p w14:paraId="46D462DB" w14:textId="77777777" w:rsidR="00156632" w:rsidRPr="009D6D3B" w:rsidRDefault="00156632" w:rsidP="00156632">
      <w:pPr>
        <w:jc w:val="both"/>
        <w:rPr>
          <w:rFonts w:cs="Times New Roman"/>
          <w:b/>
          <w:bCs/>
        </w:rPr>
      </w:pPr>
    </w:p>
    <w:p w14:paraId="5CE1477F" w14:textId="77777777" w:rsidR="00156632" w:rsidRPr="009D6D3B" w:rsidRDefault="00156632" w:rsidP="00156632">
      <w:pPr>
        <w:jc w:val="both"/>
        <w:rPr>
          <w:rFonts w:cs="Times New Roman"/>
          <w:b/>
          <w:bCs/>
        </w:rPr>
      </w:pPr>
      <w:r w:rsidRPr="009D6D3B">
        <w:rPr>
          <w:rFonts w:cs="Times New Roman"/>
          <w:b/>
          <w:bCs/>
        </w:rPr>
        <w:t xml:space="preserve">Supplementary Figure </w:t>
      </w:r>
      <w:r>
        <w:rPr>
          <w:rFonts w:cs="Times New Roman" w:hint="eastAsia"/>
          <w:b/>
          <w:bCs/>
        </w:rPr>
        <w:t>2</w:t>
      </w:r>
      <w:r w:rsidRPr="009D6D3B">
        <w:rPr>
          <w:rFonts w:cs="Times New Roman"/>
          <w:b/>
          <w:bCs/>
        </w:rPr>
        <w:t>. Dual-axis plots of case numbers and age-standardized incidence rates for early-onset gastrointestinal cancers in Chinese males and females from 1990 to 2021, based on data from the GBD database.</w:t>
      </w:r>
    </w:p>
    <w:p w14:paraId="4980A81B" w14:textId="77777777" w:rsidR="00156632" w:rsidRPr="009D6D3B" w:rsidRDefault="00156632" w:rsidP="00156632">
      <w:pPr>
        <w:jc w:val="both"/>
        <w:rPr>
          <w:rFonts w:cs="Times New Roman"/>
        </w:rPr>
      </w:pPr>
      <w:r w:rsidRPr="009D6D3B">
        <w:rPr>
          <w:rFonts w:cs="Times New Roman"/>
          <w:b/>
          <w:bCs/>
        </w:rPr>
        <w:t>(A-F)</w:t>
      </w:r>
      <w:r w:rsidRPr="009D6D3B">
        <w:rPr>
          <w:rFonts w:cs="Times New Roman"/>
        </w:rPr>
        <w:t> Dual-axis plots of case numbers and age-standardized incidence rates for early-onset esophageal cancer (A), gastric cancer (B), colorectal cancer (C), liver cancer (D), biliary tract cancer (E), and pancreatic cancer (F) in Chinese males and females from 1990 to 2021.</w:t>
      </w:r>
    </w:p>
    <w:p w14:paraId="67BDECE5" w14:textId="77777777" w:rsidR="00156632" w:rsidRPr="009D6D3B" w:rsidRDefault="00156632" w:rsidP="00156632">
      <w:pPr>
        <w:jc w:val="both"/>
        <w:rPr>
          <w:rFonts w:cs="Times New Roman"/>
        </w:rPr>
      </w:pPr>
    </w:p>
    <w:p w14:paraId="7C360C44" w14:textId="77777777" w:rsidR="00156632" w:rsidRPr="009D6D3B" w:rsidRDefault="00156632" w:rsidP="00156632">
      <w:pPr>
        <w:jc w:val="both"/>
        <w:rPr>
          <w:rFonts w:cs="Times New Roman"/>
          <w:b/>
          <w:bCs/>
        </w:rPr>
      </w:pPr>
      <w:r w:rsidRPr="009D6D3B">
        <w:rPr>
          <w:rFonts w:cs="Times New Roman"/>
          <w:b/>
          <w:bCs/>
        </w:rPr>
        <w:t xml:space="preserve">Supplementary Figure </w:t>
      </w:r>
      <w:r>
        <w:rPr>
          <w:rFonts w:cs="Times New Roman" w:hint="eastAsia"/>
          <w:b/>
          <w:bCs/>
        </w:rPr>
        <w:t>3</w:t>
      </w:r>
      <w:r w:rsidRPr="009D6D3B">
        <w:rPr>
          <w:rFonts w:cs="Times New Roman"/>
          <w:b/>
          <w:bCs/>
        </w:rPr>
        <w:t>. Dual-axis plots of death numbers and age-standardized mortality rates for early-onset gastrointestinal cancers in Chinese males and females from 1990 to 2021, based on data from the GBD database.</w:t>
      </w:r>
    </w:p>
    <w:p w14:paraId="40818F4E" w14:textId="77777777" w:rsidR="00156632" w:rsidRPr="009D6D3B" w:rsidRDefault="00156632" w:rsidP="00156632">
      <w:pPr>
        <w:jc w:val="both"/>
        <w:rPr>
          <w:rFonts w:cs="Times New Roman"/>
        </w:rPr>
      </w:pPr>
      <w:r w:rsidRPr="009D6D3B">
        <w:rPr>
          <w:rFonts w:cs="Times New Roman"/>
          <w:b/>
          <w:bCs/>
        </w:rPr>
        <w:t>(A-F)</w:t>
      </w:r>
      <w:r w:rsidRPr="009D6D3B">
        <w:rPr>
          <w:rFonts w:cs="Times New Roman"/>
        </w:rPr>
        <w:t> Dual-axis plots of death numbers and age-standardized mortality rates for early-onset esophageal cancer (A), gastric cancer (B), colorectal cancer (C), liver cancer (D), biliary tract cancer (E), and pancreatic cancer (F) in Chinese males and females from 1990 to 2021.</w:t>
      </w:r>
    </w:p>
    <w:p w14:paraId="45636DE4" w14:textId="77777777" w:rsidR="00156632" w:rsidRPr="009D6D3B" w:rsidRDefault="00156632" w:rsidP="00156632">
      <w:pPr>
        <w:jc w:val="both"/>
        <w:rPr>
          <w:rFonts w:cs="Times New Roman"/>
        </w:rPr>
      </w:pPr>
    </w:p>
    <w:p w14:paraId="127B9368" w14:textId="77777777" w:rsidR="00156632" w:rsidRPr="009D6D3B" w:rsidRDefault="00156632" w:rsidP="00156632">
      <w:pPr>
        <w:jc w:val="both"/>
        <w:rPr>
          <w:rFonts w:cs="Times New Roman"/>
          <w:b/>
          <w:bCs/>
        </w:rPr>
      </w:pPr>
      <w:r w:rsidRPr="009D6D3B">
        <w:rPr>
          <w:rFonts w:cs="Times New Roman"/>
          <w:b/>
          <w:bCs/>
        </w:rPr>
        <w:t xml:space="preserve">Supplementary Figure </w:t>
      </w:r>
      <w:r>
        <w:rPr>
          <w:rFonts w:cs="Times New Roman" w:hint="eastAsia"/>
          <w:b/>
          <w:bCs/>
        </w:rPr>
        <w:t>4</w:t>
      </w:r>
      <w:r w:rsidRPr="009D6D3B">
        <w:rPr>
          <w:rFonts w:cs="Times New Roman"/>
          <w:b/>
          <w:bCs/>
        </w:rPr>
        <w:t>. Dual-axis plots of DALY numbers and age-standardized DALY rates for early-onset gastrointestinal cancers in Chinese males and females from 1990 to 2021, based on data from the GBD database.</w:t>
      </w:r>
    </w:p>
    <w:p w14:paraId="29D2AC83" w14:textId="77777777" w:rsidR="00156632" w:rsidRPr="009D6D3B" w:rsidRDefault="00156632" w:rsidP="00156632">
      <w:pPr>
        <w:jc w:val="both"/>
        <w:rPr>
          <w:rFonts w:cs="Times New Roman"/>
        </w:rPr>
      </w:pPr>
      <w:r w:rsidRPr="009D6D3B">
        <w:rPr>
          <w:rFonts w:cs="Times New Roman"/>
          <w:b/>
          <w:bCs/>
        </w:rPr>
        <w:t>(A-F)</w:t>
      </w:r>
      <w:r w:rsidRPr="009D6D3B">
        <w:rPr>
          <w:rFonts w:cs="Times New Roman"/>
        </w:rPr>
        <w:t> Dual-axis plots of DALY numbers and age-standardized DALY rates for early-onset esophageal cancer (A), gastric cancer (B), colorectal cancer (C), liver cancer (D), biliary tract cancer (E), and pancreatic cancer (F) in Chinese males and females from 1990 to 2021.</w:t>
      </w:r>
    </w:p>
    <w:p w14:paraId="1230EC1E" w14:textId="77777777" w:rsidR="00156632" w:rsidRPr="009D6D3B" w:rsidRDefault="00156632" w:rsidP="00156632">
      <w:pPr>
        <w:jc w:val="both"/>
        <w:rPr>
          <w:rFonts w:cs="Times New Roman"/>
        </w:rPr>
      </w:pPr>
    </w:p>
    <w:p w14:paraId="79DEFC28" w14:textId="77777777" w:rsidR="00156632" w:rsidRPr="009D6D3B" w:rsidRDefault="00156632" w:rsidP="00156632">
      <w:pPr>
        <w:jc w:val="both"/>
        <w:rPr>
          <w:rFonts w:cs="Times New Roman"/>
          <w:b/>
          <w:bCs/>
        </w:rPr>
      </w:pPr>
      <w:r w:rsidRPr="009D6D3B">
        <w:rPr>
          <w:rFonts w:cs="Times New Roman"/>
          <w:b/>
          <w:bCs/>
        </w:rPr>
        <w:lastRenderedPageBreak/>
        <w:t xml:space="preserve">Supplementary Figure </w:t>
      </w:r>
      <w:r>
        <w:rPr>
          <w:rFonts w:cs="Times New Roman" w:hint="eastAsia"/>
          <w:b/>
          <w:bCs/>
        </w:rPr>
        <w:t>5</w:t>
      </w:r>
      <w:r w:rsidRPr="009D6D3B">
        <w:rPr>
          <w:rFonts w:cs="Times New Roman"/>
          <w:b/>
          <w:bCs/>
        </w:rPr>
        <w:t>. Survival curves for patient subgroups with different types of early-onset and later-onset gastrointestinal cancers in the INSCOC cohort.</w:t>
      </w:r>
    </w:p>
    <w:p w14:paraId="7A7C92BF" w14:textId="77777777" w:rsidR="00156632" w:rsidRPr="009D6D3B" w:rsidRDefault="00156632" w:rsidP="00156632">
      <w:pPr>
        <w:jc w:val="both"/>
        <w:rPr>
          <w:rFonts w:cs="Times New Roman"/>
        </w:rPr>
      </w:pPr>
      <w:r w:rsidRPr="009D6D3B">
        <w:rPr>
          <w:rFonts w:cs="Times New Roman"/>
          <w:b/>
          <w:bCs/>
        </w:rPr>
        <w:t>(A-D)</w:t>
      </w:r>
      <w:r w:rsidRPr="009D6D3B">
        <w:rPr>
          <w:rFonts w:cs="Times New Roman"/>
        </w:rPr>
        <w:t> Survival curves for patient subgroups with early-onset versus later-onset esophageal cancer (A), gastric cancer (B), colorectal cancer (C), and hepato-pancreato-biliary cancer (D).</w:t>
      </w:r>
    </w:p>
    <w:p w14:paraId="1816B249" w14:textId="77777777" w:rsidR="00156632" w:rsidRPr="009D6D3B" w:rsidRDefault="00156632" w:rsidP="00156632">
      <w:pPr>
        <w:jc w:val="both"/>
        <w:rPr>
          <w:rFonts w:cs="Times New Roman"/>
        </w:rPr>
      </w:pPr>
    </w:p>
    <w:p w14:paraId="39C2489A" w14:textId="77777777" w:rsidR="00156632" w:rsidRPr="009D6D3B" w:rsidRDefault="00156632" w:rsidP="00156632">
      <w:pPr>
        <w:jc w:val="both"/>
        <w:rPr>
          <w:rFonts w:cs="Times New Roman"/>
          <w:b/>
          <w:bCs/>
        </w:rPr>
      </w:pPr>
      <w:r w:rsidRPr="009D6D3B">
        <w:rPr>
          <w:rFonts w:cs="Times New Roman"/>
          <w:b/>
          <w:bCs/>
        </w:rPr>
        <w:t xml:space="preserve">Supplementary Figure </w:t>
      </w:r>
      <w:r>
        <w:rPr>
          <w:rFonts w:cs="Times New Roman" w:hint="eastAsia"/>
          <w:b/>
          <w:bCs/>
        </w:rPr>
        <w:t>6</w:t>
      </w:r>
      <w:r w:rsidRPr="009D6D3B">
        <w:rPr>
          <w:rFonts w:cs="Times New Roman"/>
          <w:b/>
          <w:bCs/>
        </w:rPr>
        <w:t>. Variable importance ranking plots from three different machine learning models for constructing prognostic prediction models in patients with early-onset gastrointestinal cancer using candidate variables from the INSCOC cohort.</w:t>
      </w:r>
    </w:p>
    <w:p w14:paraId="6D680A9E" w14:textId="77777777" w:rsidR="00156632" w:rsidRDefault="00156632" w:rsidP="00156632">
      <w:pPr>
        <w:jc w:val="both"/>
        <w:rPr>
          <w:rFonts w:cs="Times New Roman"/>
        </w:rPr>
      </w:pPr>
      <w:r w:rsidRPr="009D6D3B">
        <w:rPr>
          <w:rFonts w:cs="Times New Roman"/>
          <w:b/>
          <w:bCs/>
        </w:rPr>
        <w:t xml:space="preserve">(A) </w:t>
      </w:r>
      <w:r w:rsidRPr="009D6D3B">
        <w:rPr>
          <w:rFonts w:cs="Times New Roman"/>
        </w:rPr>
        <w:t xml:space="preserve">Random Survival Forest model; </w:t>
      </w:r>
      <w:r w:rsidRPr="009D6D3B">
        <w:rPr>
          <w:rFonts w:cs="Times New Roman"/>
          <w:b/>
          <w:bCs/>
        </w:rPr>
        <w:t xml:space="preserve">(B) </w:t>
      </w:r>
      <w:r w:rsidRPr="009D6D3B">
        <w:rPr>
          <w:rFonts w:cs="Times New Roman"/>
        </w:rPr>
        <w:t xml:space="preserve">Gradient Boosting Machine model; </w:t>
      </w:r>
      <w:r w:rsidRPr="009D6D3B">
        <w:rPr>
          <w:rFonts w:cs="Times New Roman"/>
          <w:b/>
          <w:bCs/>
        </w:rPr>
        <w:t xml:space="preserve">(C) </w:t>
      </w:r>
      <w:r w:rsidRPr="009D6D3B">
        <w:rPr>
          <w:rFonts w:cs="Times New Roman"/>
        </w:rPr>
        <w:t>Elastic Net regression model.</w:t>
      </w:r>
    </w:p>
    <w:p w14:paraId="6228A79E" w14:textId="77777777" w:rsidR="009542D6" w:rsidRDefault="009542D6"/>
    <w:sectPr w:rsidR="009542D6" w:rsidSect="00156632">
      <w:pgSz w:w="11906" w:h="16838"/>
      <w:pgMar w:top="1440" w:right="1797" w:bottom="1440" w:left="1797" w:header="851" w:footer="992" w:gutter="0"/>
      <w:lnNumType w:countBy="1" w:restart="continuous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632"/>
    <w:rsid w:val="00156632"/>
    <w:rsid w:val="00264C10"/>
    <w:rsid w:val="00470242"/>
    <w:rsid w:val="00471135"/>
    <w:rsid w:val="00726E03"/>
    <w:rsid w:val="009542D6"/>
    <w:rsid w:val="00C8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270B5"/>
  <w15:chartTrackingRefBased/>
  <w15:docId w15:val="{873BBB5C-DEC0-4EA1-8AA5-957D7AE24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632"/>
    <w:pPr>
      <w:spacing w:after="0" w:line="360" w:lineRule="auto"/>
    </w:pPr>
    <w:rPr>
      <w:rFonts w:ascii="Times New Roman" w:eastAsia="SimSun" w:hAnsi="Times New Roma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663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663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663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663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663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663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663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663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663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66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66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66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66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66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66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66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66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66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66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566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663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566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6632"/>
    <w:pPr>
      <w:spacing w:before="160" w:after="160" w:line="278" w:lineRule="auto"/>
      <w:jc w:val="center"/>
    </w:pPr>
    <w:rPr>
      <w:rFonts w:asciiTheme="minorHAnsi" w:eastAsiaTheme="minorEastAsia" w:hAnsiTheme="minorHAnsi"/>
      <w:i/>
      <w:iCs/>
      <w:color w:val="404040" w:themeColor="text1" w:themeTint="BF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566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6632"/>
    <w:pPr>
      <w:spacing w:after="160" w:line="278" w:lineRule="auto"/>
      <w:ind w:left="720"/>
      <w:contextualSpacing/>
    </w:pPr>
    <w:rPr>
      <w:rFonts w:asciiTheme="minorHAnsi" w:eastAsiaTheme="minorEastAsia" w:hAnsiTheme="minorHAnsi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566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66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/>
      <w:i/>
      <w:iCs/>
      <w:color w:val="0F4761" w:themeColor="accent1" w:themeShade="BF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66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6632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1566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346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2026-06-16T18:05:00Z</dcterms:created>
  <dcterms:modified xsi:type="dcterms:W3CDTF">2026-06-16T18:06:00Z</dcterms:modified>
</cp:coreProperties>
</file>