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32AA9" w14:textId="77777777" w:rsidR="00495EA6" w:rsidRDefault="00000000">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14:paraId="3EE539AD" w14:textId="77777777" w:rsidR="00495EA6" w:rsidRDefault="00495EA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495EA6" w14:paraId="68BC94E2" w14:textId="77777777">
        <w:tc>
          <w:tcPr>
            <w:tcW w:w="587" w:type="dxa"/>
            <w:tcBorders>
              <w:top w:val="single" w:sz="4" w:space="0" w:color="auto"/>
              <w:bottom w:val="single" w:sz="6" w:space="0" w:color="7F7F7F"/>
            </w:tcBorders>
          </w:tcPr>
          <w:p w14:paraId="00DEF8A5" w14:textId="77777777" w:rsidR="00495EA6" w:rsidRDefault="00000000">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sz="4" w:space="0" w:color="auto"/>
              <w:bottom w:val="single" w:sz="6" w:space="0" w:color="7F7F7F"/>
            </w:tcBorders>
          </w:tcPr>
          <w:p w14:paraId="04F587D2" w14:textId="77777777" w:rsidR="00495EA6" w:rsidRDefault="00000000">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sz="4" w:space="0" w:color="auto"/>
              <w:bottom w:val="single" w:sz="6" w:space="0" w:color="7F7F7F"/>
            </w:tcBorders>
          </w:tcPr>
          <w:p w14:paraId="5A682768" w14:textId="77777777" w:rsidR="00495EA6" w:rsidRDefault="00000000">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77777777" w:rsidR="00495EA6" w:rsidRDefault="00000000">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77777777" w:rsidR="00495EA6" w:rsidRDefault="00000000">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495EA6" w14:paraId="6D71F361" w14:textId="77777777">
        <w:tc>
          <w:tcPr>
            <w:tcW w:w="587" w:type="dxa"/>
            <w:tcBorders>
              <w:top w:val="single" w:sz="6" w:space="0" w:color="7F7F7F"/>
              <w:bottom w:val="single" w:sz="6" w:space="0" w:color="7F7F7F"/>
            </w:tcBorders>
            <w:shd w:val="clear" w:color="auto" w:fill="EEEEEE"/>
          </w:tcPr>
          <w:p w14:paraId="25A8835C"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036398E9" w14:textId="06EA3A54" w:rsidR="00495EA6" w:rsidRPr="00C105E7" w:rsidRDefault="00000000">
            <w:pPr>
              <w:rPr>
                <w:rFonts w:eastAsiaTheme="minorEastAsia"/>
                <w:lang w:eastAsia="zh-CN"/>
              </w:rPr>
            </w:pPr>
            <w:r>
              <w:t>1</w:t>
            </w:r>
            <w:r w:rsidR="00C105E7">
              <w:rPr>
                <w:rFonts w:eastAsiaTheme="minorEastAsia" w:hint="eastAsia"/>
                <w:lang w:eastAsia="zh-CN"/>
              </w:rPr>
              <w:t>-2</w:t>
            </w:r>
          </w:p>
        </w:tc>
        <w:tc>
          <w:tcPr>
            <w:tcW w:w="4320" w:type="dxa"/>
            <w:tcBorders>
              <w:top w:val="single" w:sz="6" w:space="0" w:color="7F7F7F"/>
              <w:bottom w:val="single" w:sz="6" w:space="0" w:color="7F7F7F"/>
            </w:tcBorders>
            <w:shd w:val="clear" w:color="auto" w:fill="EEEEEE"/>
          </w:tcPr>
          <w:p w14:paraId="35E162BF" w14:textId="77777777" w:rsidR="00495EA6" w:rsidRDefault="00000000">
            <w:r>
              <w:t>Causality of eosinophil cells and diabetic nephropathy: combined Single-cell RNA sequencing and Mendelian randomization analysis</w:t>
            </w:r>
            <w:r>
              <w:br/>
              <w:t>Eosinophils are correlated with severity of diabetic nephropathy (DN). This study aimed to investigate the causality and molecular mechanisms of eosinophils and DN using Mendelian Randomization (MR) combined with single-cell analysis.</w:t>
            </w:r>
          </w:p>
        </w:tc>
      </w:tr>
      <w:tr w:rsidR="00495EA6" w14:paraId="641E6A58" w14:textId="77777777">
        <w:tc>
          <w:tcPr>
            <w:tcW w:w="587" w:type="dxa"/>
            <w:tcBorders>
              <w:top w:val="single" w:sz="6" w:space="0" w:color="7F7F7F"/>
            </w:tcBorders>
          </w:tcPr>
          <w:p w14:paraId="4792BEFB" w14:textId="77777777" w:rsidR="00495EA6" w:rsidRDefault="00495EA6">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tcPr>
          <w:p w14:paraId="63B58F01"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sz="6" w:space="0" w:color="7F7F7F"/>
            </w:tcBorders>
          </w:tcPr>
          <w:p w14:paraId="473C01D0" w14:textId="77777777" w:rsidR="00495EA6" w:rsidRDefault="00495EA6">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495EA6" w:rsidRDefault="00495EA6">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7A6DC6E9" w14:textId="77777777" w:rsidR="00495EA6" w:rsidRDefault="00495EA6">
            <w:pPr>
              <w:spacing w:beforeLines="40" w:before="96" w:afterLines="40" w:after="96" w:line="24" w:lineRule="atLeast"/>
              <w:rPr>
                <w:rFonts w:eastAsia="Cambria"/>
                <w:sz w:val="18"/>
                <w:szCs w:val="18"/>
                <w:lang w:val="en-GB" w:eastAsia="en-US"/>
              </w:rPr>
            </w:pPr>
          </w:p>
        </w:tc>
      </w:tr>
      <w:tr w:rsidR="00495EA6" w14:paraId="7DB622D8" w14:textId="77777777">
        <w:tc>
          <w:tcPr>
            <w:tcW w:w="587" w:type="dxa"/>
            <w:shd w:val="clear" w:color="auto" w:fill="EEEEEE"/>
          </w:tcPr>
          <w:p w14:paraId="7DE28D61"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14:paraId="7756B327" w14:textId="77777777" w:rsidR="00495EA6" w:rsidRDefault="00000000">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14:paraId="5423D52E"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14:paraId="6D6FF246" w14:textId="5C1C1D38" w:rsidR="00495EA6" w:rsidRPr="008573E9" w:rsidRDefault="008573E9">
            <w:pPr>
              <w:rPr>
                <w:rFonts w:eastAsiaTheme="minorEastAsia"/>
                <w:lang w:eastAsia="zh-CN"/>
              </w:rPr>
            </w:pPr>
            <w:r>
              <w:rPr>
                <w:rFonts w:eastAsiaTheme="minorEastAsia" w:hint="eastAsia"/>
                <w:lang w:eastAsia="zh-CN"/>
              </w:rPr>
              <w:t>3-5</w:t>
            </w:r>
          </w:p>
        </w:tc>
        <w:tc>
          <w:tcPr>
            <w:tcW w:w="4320" w:type="dxa"/>
            <w:shd w:val="clear" w:color="auto" w:fill="EEEEEE"/>
          </w:tcPr>
          <w:p w14:paraId="59842ED3" w14:textId="20E21655" w:rsidR="00495EA6" w:rsidRDefault="00000000">
            <w:r>
              <w:t>Eosinophils, a type of blood leukocyte first described by Paul Ehrlich in the late 1800s, are relatively uncommon... One study demonstrated that, in 783 Japanese individuals with Type 2 Diabetes(T2D), a correlation was found between eosinophil counts and albumin excretion rates in men. In addition, a study indicated that the presence of both blood and renal infiltrated eosinophils in patients suffering from DN... One study showed that interstitial eosinophilic aggregates (IEA) are more common in DN than in other types of glomerulopathy. Mendelian randomization (MR) analysis revealed that eosinophil count plays an important role in the risk of developing DN.</w:t>
            </w:r>
            <w:r>
              <w:br/>
              <w:t xml:space="preserve">MR is a technique that utilizes genetic </w:t>
            </w:r>
            <w:r>
              <w:lastRenderedPageBreak/>
              <w:t>variation to investigate causal relationships. It is based on random inheritance of genes and can provide evidence for causal relationships in observational studies... Nevertheless, there is still no robust evidence to support a causal relationship between eosinophils and DN.</w:t>
            </w:r>
          </w:p>
        </w:tc>
      </w:tr>
      <w:tr w:rsidR="00495EA6" w14:paraId="7907A3D3" w14:textId="77777777">
        <w:tc>
          <w:tcPr>
            <w:tcW w:w="587" w:type="dxa"/>
            <w:tcBorders>
              <w:bottom w:val="single" w:sz="6" w:space="0" w:color="7F7F7F"/>
            </w:tcBorders>
          </w:tcPr>
          <w:p w14:paraId="4F63B034"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lastRenderedPageBreak/>
              <w:t>3</w:t>
            </w:r>
          </w:p>
        </w:tc>
        <w:tc>
          <w:tcPr>
            <w:tcW w:w="1822" w:type="dxa"/>
            <w:tcBorders>
              <w:bottom w:val="single" w:sz="6" w:space="0" w:color="7F7F7F"/>
            </w:tcBorders>
          </w:tcPr>
          <w:p w14:paraId="3E6B9EEC" w14:textId="77777777" w:rsidR="00495EA6" w:rsidRDefault="00000000">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sz="6" w:space="0" w:color="7F7F7F"/>
            </w:tcBorders>
          </w:tcPr>
          <w:p w14:paraId="41BC8A04"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1A91045A" w14:textId="2A31848C" w:rsidR="00495EA6" w:rsidRPr="008573E9" w:rsidRDefault="008573E9">
            <w:pPr>
              <w:rPr>
                <w:rFonts w:eastAsiaTheme="minorEastAsia"/>
                <w:lang w:eastAsia="zh-CN"/>
              </w:rPr>
            </w:pPr>
            <w:r>
              <w:rPr>
                <w:rFonts w:eastAsiaTheme="minorEastAsia" w:hint="eastAsia"/>
                <w:lang w:eastAsia="zh-CN"/>
              </w:rPr>
              <w:t>5</w:t>
            </w:r>
          </w:p>
        </w:tc>
        <w:tc>
          <w:tcPr>
            <w:tcW w:w="4320" w:type="dxa"/>
            <w:tcBorders>
              <w:bottom w:val="single" w:sz="6" w:space="0" w:color="7F7F7F"/>
            </w:tcBorders>
          </w:tcPr>
          <w:p w14:paraId="3F0F6514" w14:textId="77777777" w:rsidR="00495EA6" w:rsidRDefault="00000000">
            <w:r>
              <w:t xml:space="preserve">In this study, we used MR to assess whether the eosinophil count cells were casually associated with DN based on the relevant data of DN and eosinophil counts in public databases, and a sensitivity analysis was performed to evaluate the effect of the hypothesis based on the findings to assure the robustness of the results. In addition, </w:t>
            </w:r>
            <w:proofErr w:type="spellStart"/>
            <w:r>
              <w:t>scRNA</w:t>
            </w:r>
            <w:proofErr w:type="spellEnd"/>
            <w:r>
              <w:t>-seq of DN was performed in combination with MR to explore the centrality of single nucleotide polymorphisms (SNPs) in gene expression within a single-cell dataset.</w:t>
            </w:r>
          </w:p>
        </w:tc>
      </w:tr>
      <w:tr w:rsidR="00495EA6" w14:paraId="59599383" w14:textId="77777777">
        <w:tc>
          <w:tcPr>
            <w:tcW w:w="587" w:type="dxa"/>
            <w:tcBorders>
              <w:top w:val="single" w:sz="6" w:space="0" w:color="7F7F7F"/>
            </w:tcBorders>
            <w:shd w:val="clear" w:color="auto" w:fill="EEEEEE"/>
          </w:tcPr>
          <w:p w14:paraId="3524D6D4" w14:textId="77777777" w:rsidR="00495EA6" w:rsidRDefault="00495EA6">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495EA6" w:rsidRDefault="00000000">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495EA6" w:rsidRDefault="00495EA6">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495EA6" w:rsidRDefault="00495EA6">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495EA6" w:rsidRDefault="00495EA6">
            <w:pPr>
              <w:spacing w:beforeLines="40" w:before="96" w:afterLines="40" w:after="96" w:line="24" w:lineRule="atLeast"/>
              <w:rPr>
                <w:rFonts w:eastAsia="Cambria"/>
                <w:sz w:val="18"/>
                <w:szCs w:val="18"/>
                <w:lang w:val="en-GB" w:eastAsia="en-US"/>
              </w:rPr>
            </w:pPr>
          </w:p>
        </w:tc>
      </w:tr>
      <w:tr w:rsidR="00495EA6" w14:paraId="6440155E" w14:textId="77777777">
        <w:tc>
          <w:tcPr>
            <w:tcW w:w="587" w:type="dxa"/>
          </w:tcPr>
          <w:p w14:paraId="5C7CF349"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tcPr>
          <w:p w14:paraId="408E2A89"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tcPr>
          <w:p w14:paraId="29029CA4"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495EA6" w:rsidRDefault="00495EA6">
            <w:pPr>
              <w:spacing w:beforeLines="40" w:before="96" w:afterLines="40" w:after="96" w:line="24" w:lineRule="atLeast"/>
              <w:rPr>
                <w:rFonts w:eastAsia="Times New Roman"/>
                <w:sz w:val="18"/>
                <w:szCs w:val="18"/>
                <w:lang w:val="en-GB" w:eastAsia="en-GB"/>
              </w:rPr>
            </w:pPr>
          </w:p>
        </w:tc>
        <w:tc>
          <w:tcPr>
            <w:tcW w:w="4320" w:type="dxa"/>
          </w:tcPr>
          <w:p w14:paraId="23CE0AC6" w14:textId="77777777" w:rsidR="00495EA6" w:rsidRDefault="00495EA6">
            <w:pPr>
              <w:spacing w:beforeLines="40" w:before="96" w:afterLines="40" w:after="96" w:line="24" w:lineRule="atLeast"/>
              <w:rPr>
                <w:rFonts w:eastAsia="Times New Roman"/>
                <w:sz w:val="18"/>
                <w:szCs w:val="18"/>
                <w:lang w:val="en-GB" w:eastAsia="en-GB"/>
              </w:rPr>
            </w:pPr>
          </w:p>
        </w:tc>
      </w:tr>
      <w:tr w:rsidR="00495EA6" w14:paraId="47D5AE21" w14:textId="77777777">
        <w:tc>
          <w:tcPr>
            <w:tcW w:w="587" w:type="dxa"/>
            <w:shd w:val="clear" w:color="auto" w:fill="EEEEEE"/>
          </w:tcPr>
          <w:p w14:paraId="0980B688"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246167BE"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9E420E9" w14:textId="175367A6" w:rsidR="00495EA6" w:rsidRPr="00583457" w:rsidRDefault="00583457">
            <w:pPr>
              <w:rPr>
                <w:rFonts w:eastAsiaTheme="minorEastAsia"/>
                <w:lang w:eastAsia="zh-CN"/>
              </w:rPr>
            </w:pPr>
            <w:r>
              <w:rPr>
                <w:rFonts w:eastAsiaTheme="minorEastAsia" w:hint="eastAsia"/>
                <w:lang w:eastAsia="zh-CN"/>
              </w:rPr>
              <w:t>5</w:t>
            </w:r>
          </w:p>
        </w:tc>
        <w:tc>
          <w:tcPr>
            <w:tcW w:w="4320" w:type="dxa"/>
            <w:shd w:val="clear" w:color="auto" w:fill="EEEEEE"/>
          </w:tcPr>
          <w:p w14:paraId="6429AFE2" w14:textId="1516108B" w:rsidR="00495EA6" w:rsidRDefault="00000000">
            <w:r>
              <w:t xml:space="preserve">The </w:t>
            </w:r>
            <w:proofErr w:type="spellStart"/>
            <w:r>
              <w:t>finn</w:t>
            </w:r>
            <w:proofErr w:type="spellEnd"/>
            <w:r>
              <w:t xml:space="preserve">-b-DM_NEPHROPATHY for DN, containing 16,380,453 SNPs from 213,746 samples, and ieu-b-33 for eosinophil cell count, containing 26,776,111 SNPs from 563,946 samples, were downloaded from the GWAS Catalog and Integrative Epidemiology Unit (IEU) Open GWAS (https://gwas.mrcieu.ac.uk/) databases, </w:t>
            </w:r>
            <w:r>
              <w:lastRenderedPageBreak/>
              <w:t xml:space="preserve">respectively. GSE30122 (GPL571) and (GPL24676) were obtained from the Gene Expression Omnibus (GEO) database (https://www.ncbi.nlm.nih.gov/geo/). GSE30122 contained 9 DN and 26 control samples from the </w:t>
            </w:r>
            <w:proofErr w:type="gramStart"/>
            <w:r>
              <w:t>glomerulus(</w:t>
            </w:r>
            <w:proofErr w:type="gramEnd"/>
            <w:r>
              <w:t>18). The single-cell dataset GSE131882 contained three DN and three control kidney samples.</w:t>
            </w:r>
          </w:p>
        </w:tc>
      </w:tr>
      <w:tr w:rsidR="00495EA6" w14:paraId="376A6F82" w14:textId="77777777">
        <w:tc>
          <w:tcPr>
            <w:tcW w:w="587" w:type="dxa"/>
          </w:tcPr>
          <w:p w14:paraId="6B85F41D"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0CF2EB5C"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7041" w:type="dxa"/>
          </w:tcPr>
          <w:p w14:paraId="5E3BCE69" w14:textId="77777777" w:rsidR="00495EA6" w:rsidRDefault="00000000">
            <w:pPr>
              <w:spacing w:beforeLines="40" w:before="96" w:afterLines="40" w:after="96"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20" w:type="dxa"/>
          </w:tcPr>
          <w:p w14:paraId="45585159" w14:textId="4B1E0E51" w:rsidR="00495EA6" w:rsidRPr="00583457" w:rsidRDefault="00583457">
            <w:pPr>
              <w:rPr>
                <w:rFonts w:eastAsiaTheme="minorEastAsia"/>
                <w:lang w:eastAsia="zh-CN"/>
              </w:rPr>
            </w:pPr>
            <w:r>
              <w:rPr>
                <w:rFonts w:eastAsiaTheme="minorEastAsia" w:hint="eastAsia"/>
                <w:lang w:eastAsia="zh-CN"/>
              </w:rPr>
              <w:t>5</w:t>
            </w:r>
          </w:p>
        </w:tc>
        <w:tc>
          <w:tcPr>
            <w:tcW w:w="4320" w:type="dxa"/>
          </w:tcPr>
          <w:p w14:paraId="34757343" w14:textId="69AA0392" w:rsidR="00495EA6" w:rsidRDefault="00000000">
            <w:r>
              <w:t xml:space="preserve">The </w:t>
            </w:r>
            <w:proofErr w:type="spellStart"/>
            <w:r>
              <w:t>finn</w:t>
            </w:r>
            <w:proofErr w:type="spellEnd"/>
            <w:r>
              <w:t xml:space="preserve">-b-DM_NEPHROPATHY for DN, containing 16,380,453 SNPs from 213,746 samples, and ieu-b-33 for eosinophil cell count, containing 26,776,111 SNPs from 563,946 samples, were downloaded from the GWAS Catalog and Integrative Epidemiology Unit (IEU) Open GWAS (https://gwas.mrcieu.ac.uk/) databases, respectively. GSE30122 contained 9 DN and 26 control samples from the </w:t>
            </w:r>
            <w:proofErr w:type="gramStart"/>
            <w:r>
              <w:t>glomerulus(</w:t>
            </w:r>
            <w:proofErr w:type="gramEnd"/>
            <w:r>
              <w:t>18). The single-cell dataset GSE131882 contained three DN and three control kidney samples.</w:t>
            </w:r>
          </w:p>
        </w:tc>
      </w:tr>
      <w:tr w:rsidR="00495EA6" w14:paraId="04B065C7" w14:textId="77777777">
        <w:tc>
          <w:tcPr>
            <w:tcW w:w="587" w:type="dxa"/>
            <w:shd w:val="clear" w:color="auto" w:fill="EEEEEE"/>
          </w:tcPr>
          <w:p w14:paraId="09448E25"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7B54F10C"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20" w:type="dxa"/>
            <w:shd w:val="clear" w:color="auto" w:fill="EEEEEE"/>
          </w:tcPr>
          <w:p w14:paraId="54B60163" w14:textId="1A46FED1" w:rsidR="00495EA6" w:rsidRPr="00583457" w:rsidRDefault="00583457">
            <w:pPr>
              <w:rPr>
                <w:rFonts w:eastAsiaTheme="minorEastAsia"/>
                <w:lang w:eastAsia="zh-CN"/>
              </w:rPr>
            </w:pPr>
            <w:r>
              <w:rPr>
                <w:rFonts w:eastAsiaTheme="minorEastAsia" w:hint="eastAsia"/>
                <w:lang w:eastAsia="zh-CN"/>
              </w:rPr>
              <w:t>5-6</w:t>
            </w:r>
          </w:p>
        </w:tc>
        <w:tc>
          <w:tcPr>
            <w:tcW w:w="4320" w:type="dxa"/>
            <w:shd w:val="clear" w:color="auto" w:fill="EEEEEE"/>
          </w:tcPr>
          <w:p w14:paraId="334A516F" w14:textId="74F940C1" w:rsidR="00495EA6" w:rsidRDefault="00000000">
            <w:r>
              <w:t xml:space="preserve">Three basic premises underlie MR studies: (1) there is a robust and remarkable relationship between instrumental variables (IVs) and exposure, (2) IVs are not related to confounding factors, and (3) IVs can only influence outcomes through exposure and not through other channels. To meet these three core criteria, exposure factors were extracted, and IVs were filtered </w:t>
            </w:r>
            <w:r>
              <w:lastRenderedPageBreak/>
              <w:t xml:space="preserve">using the </w:t>
            </w:r>
            <w:proofErr w:type="spellStart"/>
            <w:r>
              <w:t>extractinstruments</w:t>
            </w:r>
            <w:proofErr w:type="spellEnd"/>
            <w:r>
              <w:t xml:space="preserve"> function of R package (v 0.5.6) with P &lt; 5×10-8. IVs with linkage disequilibrium (LD) were removed to ensure independence, with clump = TRUE, r2 = 0.001, and kb = 10000 in the MR analysis. Meanwhile, an F-statistic greater than 10 was considered a strong IVs for MR analysis.</w:t>
            </w:r>
          </w:p>
        </w:tc>
      </w:tr>
      <w:tr w:rsidR="00495EA6" w14:paraId="215DDE8E" w14:textId="77777777">
        <w:tc>
          <w:tcPr>
            <w:tcW w:w="587" w:type="dxa"/>
          </w:tcPr>
          <w:p w14:paraId="7E3D460D"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0FB55ADC"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d)</w:t>
            </w:r>
          </w:p>
        </w:tc>
        <w:tc>
          <w:tcPr>
            <w:tcW w:w="7041" w:type="dxa"/>
          </w:tcPr>
          <w:p w14:paraId="3B6B6065" w14:textId="77777777" w:rsidR="00495EA6" w:rsidRDefault="00000000">
            <w:pPr>
              <w:spacing w:beforeLines="40" w:before="96" w:afterLines="40" w:after="96"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CDAAC67" w14:textId="77777777" w:rsidR="00495EA6" w:rsidRDefault="00000000">
            <w:r>
              <w:t>NA</w:t>
            </w:r>
          </w:p>
        </w:tc>
        <w:tc>
          <w:tcPr>
            <w:tcW w:w="4320" w:type="dxa"/>
          </w:tcPr>
          <w:p w14:paraId="565492C2" w14:textId="77777777" w:rsidR="00495EA6" w:rsidRDefault="00495EA6"/>
        </w:tc>
      </w:tr>
      <w:tr w:rsidR="00495EA6" w14:paraId="69A6C8B1" w14:textId="77777777">
        <w:tc>
          <w:tcPr>
            <w:tcW w:w="587" w:type="dxa"/>
            <w:shd w:val="clear" w:color="auto" w:fill="EEEEEE"/>
          </w:tcPr>
          <w:p w14:paraId="292FBB97"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14:paraId="4E713FBB" w14:textId="77777777" w:rsidR="00495EA6" w:rsidRDefault="00000000">
            <w:pPr>
              <w:spacing w:beforeLines="40" w:before="96" w:afterLines="40" w:after="96"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6BCEF16A" w14:textId="3E49A4E7" w:rsidR="00495EA6" w:rsidRPr="00B35AF3" w:rsidRDefault="00B35AF3">
            <w:pPr>
              <w:rPr>
                <w:rFonts w:eastAsiaTheme="minorEastAsia"/>
                <w:lang w:eastAsia="zh-CN"/>
              </w:rPr>
            </w:pPr>
            <w:r>
              <w:rPr>
                <w:rFonts w:eastAsiaTheme="minorEastAsia" w:hint="eastAsia"/>
                <w:lang w:eastAsia="zh-CN"/>
              </w:rPr>
              <w:t>2</w:t>
            </w:r>
            <w:r w:rsidR="00683430">
              <w:rPr>
                <w:rFonts w:eastAsiaTheme="minorEastAsia" w:hint="eastAsia"/>
                <w:lang w:eastAsia="zh-CN"/>
              </w:rPr>
              <w:t>2</w:t>
            </w:r>
          </w:p>
        </w:tc>
        <w:tc>
          <w:tcPr>
            <w:tcW w:w="4320" w:type="dxa"/>
            <w:shd w:val="clear" w:color="auto" w:fill="EEEEEE"/>
          </w:tcPr>
          <w:p w14:paraId="548D01B3" w14:textId="77777777" w:rsidR="00495EA6" w:rsidRDefault="00000000">
            <w:r>
              <w:t>Not applicable.</w:t>
            </w:r>
          </w:p>
        </w:tc>
      </w:tr>
      <w:tr w:rsidR="00495EA6" w14:paraId="23EA53EC" w14:textId="77777777">
        <w:tc>
          <w:tcPr>
            <w:tcW w:w="587" w:type="dxa"/>
          </w:tcPr>
          <w:p w14:paraId="3E6E0D63"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tcPr>
          <w:p w14:paraId="1F0455B3"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Assumptions</w:t>
            </w:r>
          </w:p>
          <w:p w14:paraId="0458797D" w14:textId="77777777" w:rsidR="00495EA6" w:rsidRDefault="00495EA6">
            <w:pPr>
              <w:spacing w:beforeLines="40" w:before="96" w:afterLines="40" w:after="96" w:line="24" w:lineRule="atLeast"/>
              <w:jc w:val="center"/>
              <w:rPr>
                <w:rFonts w:eastAsia="Cambria"/>
                <w:sz w:val="18"/>
                <w:szCs w:val="18"/>
                <w:lang w:val="en-GB" w:eastAsia="en-US"/>
              </w:rPr>
            </w:pPr>
          </w:p>
        </w:tc>
        <w:tc>
          <w:tcPr>
            <w:tcW w:w="7041" w:type="dxa"/>
          </w:tcPr>
          <w:p w14:paraId="5139727F"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8307C8C" w14:textId="1BD99E90" w:rsidR="00495EA6" w:rsidRPr="008D1BF7" w:rsidRDefault="008D1BF7">
            <w:pPr>
              <w:rPr>
                <w:rFonts w:eastAsiaTheme="minorEastAsia"/>
                <w:lang w:eastAsia="zh-CN"/>
              </w:rPr>
            </w:pPr>
            <w:r>
              <w:rPr>
                <w:rFonts w:eastAsiaTheme="minorEastAsia" w:hint="eastAsia"/>
                <w:lang w:eastAsia="zh-CN"/>
              </w:rPr>
              <w:t>5</w:t>
            </w:r>
          </w:p>
        </w:tc>
        <w:tc>
          <w:tcPr>
            <w:tcW w:w="4320" w:type="dxa"/>
          </w:tcPr>
          <w:p w14:paraId="26B270E4" w14:textId="77777777" w:rsidR="00495EA6" w:rsidRDefault="00000000">
            <w:r>
              <w:t>Three basic premises underlie MR studies: (1) there is a robust and remarkable relationship between instrumental variables (IVs) and exposure, (2) IVs are not related to confounding factors, and (3) IVs can only influence outcomes through exposure and not through other channels.</w:t>
            </w:r>
          </w:p>
        </w:tc>
      </w:tr>
      <w:tr w:rsidR="00495EA6" w14:paraId="6209F8C8" w14:textId="77777777">
        <w:tc>
          <w:tcPr>
            <w:tcW w:w="587" w:type="dxa"/>
            <w:shd w:val="clear" w:color="auto" w:fill="EEEEEE"/>
          </w:tcPr>
          <w:p w14:paraId="6FA239C8"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14:paraId="3D8F9E93" w14:textId="77777777" w:rsidR="00495EA6" w:rsidRDefault="00000000">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14:paraId="49C33D0D"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20" w:type="dxa"/>
            <w:shd w:val="clear" w:color="auto" w:fill="EEEEEE"/>
          </w:tcPr>
          <w:p w14:paraId="0D1191BA" w14:textId="77777777" w:rsidR="00495EA6" w:rsidRDefault="00495EA6">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5DF0C4B" w14:textId="77777777" w:rsidR="00495EA6" w:rsidRDefault="00495EA6">
            <w:pPr>
              <w:spacing w:beforeLines="40" w:before="96" w:afterLines="40" w:after="96" w:line="24" w:lineRule="atLeast"/>
              <w:rPr>
                <w:rFonts w:eastAsia="Times New Roman"/>
                <w:sz w:val="18"/>
                <w:szCs w:val="18"/>
                <w:lang w:val="en-GB" w:eastAsia="en-GB"/>
              </w:rPr>
            </w:pPr>
          </w:p>
        </w:tc>
      </w:tr>
      <w:tr w:rsidR="00495EA6" w14:paraId="4346E621" w14:textId="77777777">
        <w:tc>
          <w:tcPr>
            <w:tcW w:w="587" w:type="dxa"/>
          </w:tcPr>
          <w:p w14:paraId="339A016D"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3635743C"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7041" w:type="dxa"/>
          </w:tcPr>
          <w:p w14:paraId="3BB90022"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20" w:type="dxa"/>
          </w:tcPr>
          <w:p w14:paraId="130588FA" w14:textId="07E6BFA0" w:rsidR="00495EA6" w:rsidRPr="00BC1192" w:rsidRDefault="00BC1192">
            <w:pPr>
              <w:rPr>
                <w:rFonts w:eastAsiaTheme="minorEastAsia"/>
                <w:lang w:eastAsia="zh-CN"/>
              </w:rPr>
            </w:pPr>
            <w:r>
              <w:rPr>
                <w:rFonts w:eastAsiaTheme="minorEastAsia" w:hint="eastAsia"/>
                <w:lang w:eastAsia="zh-CN"/>
              </w:rPr>
              <w:t>5-6</w:t>
            </w:r>
          </w:p>
        </w:tc>
        <w:tc>
          <w:tcPr>
            <w:tcW w:w="4320" w:type="dxa"/>
          </w:tcPr>
          <w:p w14:paraId="010DA8EE" w14:textId="66CF93EB" w:rsidR="00495EA6" w:rsidRDefault="00000000">
            <w:r>
              <w:t xml:space="preserve">IVs were filtered using the </w:t>
            </w:r>
            <w:proofErr w:type="spellStart"/>
            <w:r>
              <w:t>extractinstruments</w:t>
            </w:r>
            <w:proofErr w:type="spellEnd"/>
            <w:r>
              <w:t xml:space="preserve"> function of R package (v 0.5.6) with P &lt; 5×10-8. IVs with linkage disequilibrium (LD) were removed to ensure independence, with clump = TRUE, r2 = 0.001, and kb = 10000 in the MR analysis. Meanwhile, an F-statistic greater than 10 was considered a strong IVs for MR analysis. An odds Ratio (OR) &gt; 1 represented a risk factor, and an OR &lt; 1 was a safety factor.</w:t>
            </w:r>
          </w:p>
        </w:tc>
      </w:tr>
      <w:tr w:rsidR="00495EA6" w14:paraId="642A4D4B" w14:textId="77777777">
        <w:tc>
          <w:tcPr>
            <w:tcW w:w="587" w:type="dxa"/>
            <w:shd w:val="clear" w:color="auto" w:fill="EEEEEE"/>
          </w:tcPr>
          <w:p w14:paraId="11F7484C"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6B2ACDE9"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445D1F78" w14:textId="136B058E" w:rsidR="00495EA6" w:rsidRPr="0071349F" w:rsidRDefault="0071349F">
            <w:pPr>
              <w:rPr>
                <w:rFonts w:eastAsiaTheme="minorEastAsia"/>
                <w:lang w:eastAsia="zh-CN"/>
              </w:rPr>
            </w:pPr>
            <w:r>
              <w:rPr>
                <w:rFonts w:eastAsiaTheme="minorEastAsia" w:hint="eastAsia"/>
                <w:lang w:eastAsia="zh-CN"/>
              </w:rPr>
              <w:t>6</w:t>
            </w:r>
          </w:p>
        </w:tc>
        <w:tc>
          <w:tcPr>
            <w:tcW w:w="4320" w:type="dxa"/>
            <w:shd w:val="clear" w:color="auto" w:fill="EEEEEE"/>
          </w:tcPr>
          <w:p w14:paraId="0DA0E4CD" w14:textId="003B2820" w:rsidR="00495EA6" w:rsidRDefault="00000000">
            <w:r>
              <w:t>The effect of eosinophil cell counts on DN analysis was obtained after filtering the IVs. The MR Egger test, weighted median, inverse variance-weighted (IVW) simple median, and maximum likelihood</w:t>
            </w:r>
            <w:r w:rsidR="003F4E7F">
              <w:rPr>
                <w:rFonts w:eastAsiaTheme="minorEastAsia" w:hint="eastAsia"/>
                <w:lang w:eastAsia="zh-CN"/>
              </w:rPr>
              <w:t xml:space="preserve"> </w:t>
            </w:r>
            <w:r>
              <w:t>were used to conduct the UVMR study. The most important method is IVW because of its better performance in detecting causation.</w:t>
            </w:r>
          </w:p>
        </w:tc>
      </w:tr>
      <w:tr w:rsidR="00495EA6" w14:paraId="70378831" w14:textId="77777777">
        <w:tc>
          <w:tcPr>
            <w:tcW w:w="587" w:type="dxa"/>
          </w:tcPr>
          <w:p w14:paraId="45E41495"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59F665E7"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7041" w:type="dxa"/>
          </w:tcPr>
          <w:p w14:paraId="5CB03D96"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4A6B351E" w14:textId="2A4D47AA" w:rsidR="00495EA6" w:rsidRPr="003F4E7F" w:rsidRDefault="003F4E7F">
            <w:pPr>
              <w:rPr>
                <w:rFonts w:eastAsiaTheme="minorEastAsia"/>
                <w:lang w:eastAsia="zh-CN"/>
              </w:rPr>
            </w:pPr>
            <w:r>
              <w:rPr>
                <w:rFonts w:eastAsiaTheme="minorEastAsia" w:hint="eastAsia"/>
                <w:lang w:eastAsia="zh-CN"/>
              </w:rPr>
              <w:t>6</w:t>
            </w:r>
          </w:p>
        </w:tc>
        <w:tc>
          <w:tcPr>
            <w:tcW w:w="4320" w:type="dxa"/>
          </w:tcPr>
          <w:p w14:paraId="624DCE5A" w14:textId="6ACD6DAB" w:rsidR="00495EA6" w:rsidRDefault="00000000">
            <w:r>
              <w:t>The effect of eosinophil cell counts on DN analysis was obtained after filtering the IVs. The MR Egger test, weighted median, inverse variance-weighted (IVW), simple median, and maximum likelihood were used to conduct the UVMR study. The most important method is IVW because of its better performance in detecting causation. The results are demonstrated using scatter, forest, and funnel plots.</w:t>
            </w:r>
          </w:p>
        </w:tc>
      </w:tr>
      <w:tr w:rsidR="00495EA6" w14:paraId="0D8F3A7E" w14:textId="77777777">
        <w:tc>
          <w:tcPr>
            <w:tcW w:w="587" w:type="dxa"/>
            <w:shd w:val="clear" w:color="auto" w:fill="EEEEEE"/>
          </w:tcPr>
          <w:p w14:paraId="1D70C4CD"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14:paraId="08786389"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20" w:type="dxa"/>
            <w:shd w:val="clear" w:color="auto" w:fill="EEEEEE"/>
          </w:tcPr>
          <w:p w14:paraId="602E9012" w14:textId="77777777" w:rsidR="00495EA6" w:rsidRDefault="00000000">
            <w:r>
              <w:t>NA</w:t>
            </w:r>
          </w:p>
        </w:tc>
        <w:tc>
          <w:tcPr>
            <w:tcW w:w="4320" w:type="dxa"/>
            <w:shd w:val="clear" w:color="auto" w:fill="EEEEEE"/>
          </w:tcPr>
          <w:p w14:paraId="232351BD" w14:textId="77777777" w:rsidR="00495EA6" w:rsidRDefault="00495EA6"/>
        </w:tc>
      </w:tr>
      <w:tr w:rsidR="00495EA6" w14:paraId="77F037B8" w14:textId="77777777">
        <w:tc>
          <w:tcPr>
            <w:tcW w:w="587" w:type="dxa"/>
          </w:tcPr>
          <w:p w14:paraId="4AC39E55"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4D9E0350"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e)</w:t>
            </w:r>
          </w:p>
        </w:tc>
        <w:tc>
          <w:tcPr>
            <w:tcW w:w="7041" w:type="dxa"/>
          </w:tcPr>
          <w:p w14:paraId="41F1E523"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20" w:type="dxa"/>
          </w:tcPr>
          <w:p w14:paraId="1C40C757" w14:textId="77777777" w:rsidR="00495EA6" w:rsidRDefault="00000000">
            <w:r>
              <w:t>NA</w:t>
            </w:r>
          </w:p>
        </w:tc>
        <w:tc>
          <w:tcPr>
            <w:tcW w:w="4320" w:type="dxa"/>
          </w:tcPr>
          <w:p w14:paraId="3F8C9221" w14:textId="77777777" w:rsidR="00495EA6" w:rsidRDefault="00000000">
            <w:r>
              <w:t>NA</w:t>
            </w:r>
          </w:p>
        </w:tc>
      </w:tr>
      <w:tr w:rsidR="00495EA6" w14:paraId="585043CE" w14:textId="77777777">
        <w:tc>
          <w:tcPr>
            <w:tcW w:w="587" w:type="dxa"/>
            <w:shd w:val="clear" w:color="auto" w:fill="EEEEEE"/>
          </w:tcPr>
          <w:p w14:paraId="55967D09"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14:paraId="0947B164" w14:textId="77777777" w:rsidR="00495EA6" w:rsidRDefault="00000000">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14:paraId="1E6D0B1E" w14:textId="77777777" w:rsidR="00495EA6" w:rsidRDefault="00000000">
            <w:pPr>
              <w:tabs>
                <w:tab w:val="left" w:pos="1620"/>
              </w:tabs>
              <w:spacing w:beforeLines="40" w:before="96" w:afterLines="40" w:after="96"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20" w:type="dxa"/>
            <w:shd w:val="clear" w:color="auto" w:fill="EEEEEE"/>
          </w:tcPr>
          <w:p w14:paraId="0FB01058" w14:textId="7B2CE2C5" w:rsidR="00495EA6" w:rsidRPr="00343BF8" w:rsidRDefault="00343BF8">
            <w:pPr>
              <w:rPr>
                <w:rFonts w:eastAsiaTheme="minorEastAsia"/>
                <w:lang w:eastAsia="zh-CN"/>
              </w:rPr>
            </w:pPr>
            <w:r>
              <w:rPr>
                <w:rFonts w:eastAsiaTheme="minorEastAsia" w:hint="eastAsia"/>
                <w:lang w:eastAsia="zh-CN"/>
              </w:rPr>
              <w:t>5-6</w:t>
            </w:r>
          </w:p>
        </w:tc>
        <w:tc>
          <w:tcPr>
            <w:tcW w:w="4320" w:type="dxa"/>
            <w:shd w:val="clear" w:color="auto" w:fill="EEEEEE"/>
          </w:tcPr>
          <w:p w14:paraId="27209787" w14:textId="77777777" w:rsidR="00495EA6" w:rsidRDefault="00000000">
            <w:r>
              <w:t xml:space="preserve">To appraise the credibility of the UVMR analysis results, sensitivity analysis was performed. First, the heterogeneity test was conducted using Cochran’s Q test. A P &gt; 0.05 indicates no heterogeneity, in which case the fixed-effects IVW method was adopted for analysis. If the P &lt; 0.05 suggests the presence of heterogeneity, the random-effects IVW method was employed instead. Second, the horizontal pleiotropy test was performed using the </w:t>
            </w:r>
            <w:r>
              <w:lastRenderedPageBreak/>
              <w:t xml:space="preserve">two-sample MR function </w:t>
            </w:r>
            <w:proofErr w:type="spellStart"/>
            <w:r>
              <w:t>mr_pleiotropy_test</w:t>
            </w:r>
            <w:proofErr w:type="spellEnd"/>
            <w:r>
              <w:t xml:space="preserve"> in R and P &gt; 0.05, indicating no horizontal pleiotropy, indicating that there were no confounding factors in the study. Finally, the leave-one-out (LOO) method was conducted by gradually eliminating each SNP... Furthermore, Steiger directionality analysis was implemented using </w:t>
            </w:r>
            <w:proofErr w:type="spellStart"/>
            <w:r>
              <w:t>TwoSampleMR</w:t>
            </w:r>
            <w:proofErr w:type="spellEnd"/>
            <w:r>
              <w:t xml:space="preserve"> to determine whether the direction was TRUE (P &lt; 0.05).</w:t>
            </w:r>
          </w:p>
        </w:tc>
      </w:tr>
      <w:tr w:rsidR="00495EA6" w14:paraId="383932D9" w14:textId="77777777">
        <w:tc>
          <w:tcPr>
            <w:tcW w:w="587" w:type="dxa"/>
          </w:tcPr>
          <w:p w14:paraId="1A4621BC"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lastRenderedPageBreak/>
              <w:t>8</w:t>
            </w:r>
          </w:p>
        </w:tc>
        <w:tc>
          <w:tcPr>
            <w:tcW w:w="1822" w:type="dxa"/>
          </w:tcPr>
          <w:p w14:paraId="0F88F25B" w14:textId="77777777" w:rsidR="00495EA6" w:rsidRDefault="00000000">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tcPr>
          <w:p w14:paraId="13C6445C"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24CCB357" w14:textId="5327E5FF" w:rsidR="00495EA6" w:rsidRPr="00B6441C" w:rsidRDefault="00B6441C">
            <w:pPr>
              <w:rPr>
                <w:rFonts w:eastAsiaTheme="minorEastAsia"/>
                <w:lang w:eastAsia="zh-CN"/>
              </w:rPr>
            </w:pPr>
            <w:r>
              <w:rPr>
                <w:rFonts w:eastAsiaTheme="minorEastAsia" w:hint="eastAsia"/>
                <w:lang w:eastAsia="zh-CN"/>
              </w:rPr>
              <w:t>5-6</w:t>
            </w:r>
          </w:p>
        </w:tc>
        <w:tc>
          <w:tcPr>
            <w:tcW w:w="4320" w:type="dxa"/>
          </w:tcPr>
          <w:p w14:paraId="74A0A911" w14:textId="77777777" w:rsidR="00495EA6" w:rsidRDefault="00000000">
            <w:r>
              <w:t xml:space="preserve">To appraise the credibility of the UVMR analysis results, sensitivity analysis was performed. First, the heterogeneity test was conducted using Cochran’s Q test... Second, the horizontal pleiotropy test was performed using the two-sample MR function </w:t>
            </w:r>
            <w:proofErr w:type="spellStart"/>
            <w:r>
              <w:t>mr_pleiotropy_test</w:t>
            </w:r>
            <w:proofErr w:type="spellEnd"/>
            <w:r>
              <w:t xml:space="preserve"> in R... Finally, the leave-one-out (LOO) method was conducted... Furthermore, Steiger directionality analysis was implemented using </w:t>
            </w:r>
            <w:proofErr w:type="spellStart"/>
            <w:r>
              <w:t>TwoSampleMR</w:t>
            </w:r>
            <w:proofErr w:type="spellEnd"/>
            <w:r>
              <w:t xml:space="preserve"> to determine whether the direction was TRUE (P &lt; 0.05).</w:t>
            </w:r>
          </w:p>
        </w:tc>
      </w:tr>
      <w:tr w:rsidR="00495EA6" w14:paraId="55C7A410" w14:textId="77777777">
        <w:tc>
          <w:tcPr>
            <w:tcW w:w="587" w:type="dxa"/>
            <w:shd w:val="clear" w:color="auto" w:fill="EEEEEE"/>
          </w:tcPr>
          <w:p w14:paraId="056075DE"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14:paraId="6096809E" w14:textId="77777777" w:rsidR="00495EA6" w:rsidRDefault="00000000">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14:paraId="08D1055E" w14:textId="77777777" w:rsidR="00495EA6" w:rsidRDefault="00495EA6">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495EA6" w:rsidRDefault="00495EA6">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495EA6" w:rsidRDefault="00495EA6">
            <w:pPr>
              <w:spacing w:beforeLines="40" w:before="96" w:afterLines="40" w:after="96" w:line="24" w:lineRule="atLeast"/>
              <w:rPr>
                <w:rFonts w:eastAsia="Cambria"/>
                <w:sz w:val="18"/>
                <w:szCs w:val="18"/>
                <w:lang w:val="en-GB" w:eastAsia="en-US"/>
              </w:rPr>
            </w:pPr>
          </w:p>
        </w:tc>
      </w:tr>
      <w:tr w:rsidR="00495EA6" w14:paraId="5EA9EBD1" w14:textId="77777777">
        <w:tc>
          <w:tcPr>
            <w:tcW w:w="587" w:type="dxa"/>
          </w:tcPr>
          <w:p w14:paraId="66EDED80"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50BD32B9"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7041" w:type="dxa"/>
          </w:tcPr>
          <w:p w14:paraId="054FBA47"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20" w:type="dxa"/>
          </w:tcPr>
          <w:p w14:paraId="45E8F5B3" w14:textId="44062E84" w:rsidR="00495EA6" w:rsidRPr="005B597A" w:rsidRDefault="005B597A">
            <w:pPr>
              <w:rPr>
                <w:rFonts w:eastAsiaTheme="minorEastAsia"/>
                <w:lang w:eastAsia="zh-CN"/>
              </w:rPr>
            </w:pPr>
            <w:r>
              <w:rPr>
                <w:rFonts w:eastAsiaTheme="minorEastAsia" w:hint="eastAsia"/>
                <w:lang w:eastAsia="zh-CN"/>
              </w:rPr>
              <w:t>5-9</w:t>
            </w:r>
          </w:p>
        </w:tc>
        <w:tc>
          <w:tcPr>
            <w:tcW w:w="4320" w:type="dxa"/>
          </w:tcPr>
          <w:p w14:paraId="124636F1" w14:textId="6C0C4693" w:rsidR="00495EA6" w:rsidRDefault="00000000">
            <w:r>
              <w:t xml:space="preserve">exposure factors were extracted, and IVs were filtered using the </w:t>
            </w:r>
            <w:proofErr w:type="spellStart"/>
            <w:r>
              <w:t>extractinstruments</w:t>
            </w:r>
            <w:proofErr w:type="spellEnd"/>
            <w:r>
              <w:t xml:space="preserve"> function of R </w:t>
            </w:r>
            <w:proofErr w:type="gramStart"/>
            <w:r>
              <w:t>package(</w:t>
            </w:r>
            <w:proofErr w:type="gramEnd"/>
            <w:r>
              <w:t xml:space="preserve">v </w:t>
            </w:r>
            <w:proofErr w:type="gramStart"/>
            <w:r>
              <w:t>0.5.6)...</w:t>
            </w:r>
            <w:proofErr w:type="gramEnd"/>
            <w:r>
              <w:t xml:space="preserve"> To investigate the role of exposure factor-related genes in GSE131882, single-cell analysis was performed using the Seurat package (v </w:t>
            </w:r>
            <w:proofErr w:type="gramStart"/>
            <w:r>
              <w:t>3.1.5)...</w:t>
            </w:r>
            <w:proofErr w:type="gramEnd"/>
            <w:r>
              <w:t xml:space="preserve"> The </w:t>
            </w:r>
            <w:proofErr w:type="spellStart"/>
            <w:r>
              <w:t>sc</w:t>
            </w:r>
            <w:proofErr w:type="spellEnd"/>
            <w:r>
              <w:t xml:space="preserve">-DEGs of eosinophil cells between DN and control </w:t>
            </w:r>
            <w:r>
              <w:lastRenderedPageBreak/>
              <w:t xml:space="preserve">samples in GSE131882 were selected using the DESeq2 </w:t>
            </w:r>
            <w:proofErr w:type="gramStart"/>
            <w:r>
              <w:t>package(</w:t>
            </w:r>
            <w:proofErr w:type="gramEnd"/>
            <w:r>
              <w:t xml:space="preserve">32) (v </w:t>
            </w:r>
            <w:proofErr w:type="gramStart"/>
            <w:r>
              <w:t>1.30.1)...</w:t>
            </w:r>
            <w:proofErr w:type="gramEnd"/>
            <w:r>
              <w:t xml:space="preserve"> All statistical analyses were performed using R software (v 4.2.2), and P &lt; 0.05.</w:t>
            </w:r>
          </w:p>
        </w:tc>
      </w:tr>
      <w:tr w:rsidR="00495EA6" w14:paraId="6A631D93" w14:textId="77777777">
        <w:tc>
          <w:tcPr>
            <w:tcW w:w="587" w:type="dxa"/>
            <w:tcBorders>
              <w:bottom w:val="single" w:sz="6" w:space="0" w:color="7F7F7F"/>
            </w:tcBorders>
            <w:shd w:val="clear" w:color="auto" w:fill="EEEEEE"/>
          </w:tcPr>
          <w:p w14:paraId="37C88958"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4D29D587" w14:textId="77777777" w:rsidR="00495EA6" w:rsidRDefault="00000000">
            <w:r>
              <w:t>NA</w:t>
            </w:r>
          </w:p>
        </w:tc>
        <w:tc>
          <w:tcPr>
            <w:tcW w:w="4320" w:type="dxa"/>
            <w:tcBorders>
              <w:bottom w:val="single" w:sz="6" w:space="0" w:color="7F7F7F"/>
            </w:tcBorders>
            <w:shd w:val="clear" w:color="auto" w:fill="EEEEEE"/>
          </w:tcPr>
          <w:p w14:paraId="52793D71" w14:textId="77777777" w:rsidR="00495EA6" w:rsidRDefault="00495EA6"/>
        </w:tc>
      </w:tr>
      <w:tr w:rsidR="00495EA6" w14:paraId="040F15E5" w14:textId="77777777">
        <w:tc>
          <w:tcPr>
            <w:tcW w:w="587" w:type="dxa"/>
            <w:tcBorders>
              <w:top w:val="single" w:sz="6" w:space="0" w:color="7F7F7F"/>
            </w:tcBorders>
          </w:tcPr>
          <w:p w14:paraId="777278B3" w14:textId="77777777" w:rsidR="00495EA6" w:rsidRDefault="00495EA6">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tcPr>
          <w:p w14:paraId="7D8D653B"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sz="6" w:space="0" w:color="7F7F7F"/>
            </w:tcBorders>
          </w:tcPr>
          <w:p w14:paraId="34719287" w14:textId="77777777" w:rsidR="00495EA6" w:rsidRDefault="00495EA6">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495EA6" w:rsidRDefault="00495EA6">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495EA6" w:rsidRDefault="00495EA6">
            <w:pPr>
              <w:spacing w:beforeLines="40" w:before="96" w:afterLines="40" w:after="96" w:line="24" w:lineRule="atLeast"/>
              <w:rPr>
                <w:rFonts w:eastAsia="Cambria"/>
                <w:sz w:val="18"/>
                <w:szCs w:val="18"/>
                <w:lang w:val="en-GB" w:eastAsia="en-US"/>
              </w:rPr>
            </w:pPr>
          </w:p>
        </w:tc>
      </w:tr>
      <w:tr w:rsidR="00495EA6" w14:paraId="67F47EED" w14:textId="77777777">
        <w:tc>
          <w:tcPr>
            <w:tcW w:w="587" w:type="dxa"/>
            <w:shd w:val="clear" w:color="auto" w:fill="EEEEEE"/>
          </w:tcPr>
          <w:p w14:paraId="51C7A54B"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14:paraId="731D0370"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14:paraId="3B19CDAF" w14:textId="77777777" w:rsidR="00495EA6" w:rsidRDefault="00495EA6">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495EA6" w:rsidRDefault="00495EA6">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495EA6" w:rsidRDefault="00495EA6">
            <w:pPr>
              <w:spacing w:beforeLines="40" w:before="96" w:afterLines="40" w:after="96" w:line="24" w:lineRule="atLeast"/>
              <w:rPr>
                <w:rFonts w:eastAsia="Cambria"/>
                <w:sz w:val="18"/>
                <w:szCs w:val="18"/>
                <w:lang w:val="en-GB" w:eastAsia="en-US"/>
              </w:rPr>
            </w:pPr>
          </w:p>
        </w:tc>
      </w:tr>
      <w:tr w:rsidR="00495EA6" w14:paraId="6CA228D1" w14:textId="77777777">
        <w:tc>
          <w:tcPr>
            <w:tcW w:w="587" w:type="dxa"/>
          </w:tcPr>
          <w:p w14:paraId="29B62776"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4C1499C8"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7041" w:type="dxa"/>
          </w:tcPr>
          <w:p w14:paraId="4D5C652C"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20" w:type="dxa"/>
          </w:tcPr>
          <w:p w14:paraId="476A2E8C" w14:textId="7332472F" w:rsidR="00495EA6" w:rsidRPr="005B597A" w:rsidRDefault="005B597A">
            <w:pPr>
              <w:rPr>
                <w:rFonts w:eastAsiaTheme="minorEastAsia"/>
                <w:lang w:eastAsia="zh-CN"/>
              </w:rPr>
            </w:pPr>
            <w:r>
              <w:rPr>
                <w:rFonts w:eastAsiaTheme="minorEastAsia" w:hint="eastAsia"/>
                <w:lang w:eastAsia="zh-CN"/>
              </w:rPr>
              <w:t>5</w:t>
            </w:r>
            <w:r>
              <w:t xml:space="preserve">, </w:t>
            </w:r>
            <w:r>
              <w:rPr>
                <w:rFonts w:eastAsiaTheme="minorEastAsia" w:hint="eastAsia"/>
                <w:lang w:eastAsia="zh-CN"/>
              </w:rPr>
              <w:t>9</w:t>
            </w:r>
          </w:p>
        </w:tc>
        <w:tc>
          <w:tcPr>
            <w:tcW w:w="4320" w:type="dxa"/>
          </w:tcPr>
          <w:p w14:paraId="195AFC59" w14:textId="69C4A4E3" w:rsidR="00495EA6" w:rsidRDefault="00000000">
            <w:r>
              <w:t xml:space="preserve">The </w:t>
            </w:r>
            <w:proofErr w:type="spellStart"/>
            <w:r>
              <w:t>finn</w:t>
            </w:r>
            <w:proofErr w:type="spellEnd"/>
            <w:r>
              <w:t xml:space="preserve">-b-DM_NEPHROPATHY for DN, containing 16,380,453 SNPs from 213,746 samples, and ieu-b-33 for eosinophil cell count, containing 26,776,111 SNPs from 563,946 samples... GSE30122 contained 9 DN and 26 control samples from the </w:t>
            </w:r>
            <w:proofErr w:type="gramStart"/>
            <w:r>
              <w:t>glomerulus(</w:t>
            </w:r>
            <w:proofErr w:type="gramEnd"/>
            <w:r>
              <w:t>18). The single-cell dataset GSE131882 contained three DN and three control kidney samples. First, 440 SNPs of eosinophil cell counts were obtained as IVs (Supplementary Table 1).</w:t>
            </w:r>
          </w:p>
        </w:tc>
      </w:tr>
      <w:tr w:rsidR="00495EA6" w14:paraId="0765C344" w14:textId="77777777">
        <w:tc>
          <w:tcPr>
            <w:tcW w:w="587" w:type="dxa"/>
            <w:shd w:val="clear" w:color="auto" w:fill="EEEEEE"/>
          </w:tcPr>
          <w:p w14:paraId="2404BFFB"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405491AF"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14:paraId="5735AF6D" w14:textId="3AD7B17D" w:rsidR="00495EA6" w:rsidRPr="005B597A" w:rsidRDefault="005B597A">
            <w:pPr>
              <w:rPr>
                <w:rFonts w:eastAsiaTheme="minorEastAsia"/>
                <w:lang w:eastAsia="zh-CN"/>
              </w:rPr>
            </w:pPr>
            <w:r>
              <w:rPr>
                <w:rFonts w:eastAsiaTheme="minorEastAsia" w:hint="eastAsia"/>
                <w:lang w:eastAsia="zh-CN"/>
              </w:rPr>
              <w:t>9</w:t>
            </w:r>
          </w:p>
        </w:tc>
        <w:tc>
          <w:tcPr>
            <w:tcW w:w="4320" w:type="dxa"/>
            <w:shd w:val="clear" w:color="auto" w:fill="EEEEEE"/>
          </w:tcPr>
          <w:p w14:paraId="39D5E09E" w14:textId="77777777" w:rsidR="00495EA6" w:rsidRDefault="00000000">
            <w:r>
              <w:t>The IVW results showed that eosinophil count was causally associated with DN and was a risk factor (P =0.025, OR = 1.153, 95% confidence interval (CI) = 1.018-1.306) (Table 1, Figure 1A).</w:t>
            </w:r>
          </w:p>
        </w:tc>
      </w:tr>
      <w:tr w:rsidR="00495EA6" w14:paraId="48F10342" w14:textId="77777777">
        <w:tc>
          <w:tcPr>
            <w:tcW w:w="587" w:type="dxa"/>
          </w:tcPr>
          <w:p w14:paraId="6600AF43"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435099F2"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7041" w:type="dxa"/>
          </w:tcPr>
          <w:p w14:paraId="062EB561"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4D373145" w14:textId="77777777" w:rsidR="00495EA6" w:rsidRDefault="00000000">
            <w:r>
              <w:t>NA</w:t>
            </w:r>
          </w:p>
        </w:tc>
        <w:tc>
          <w:tcPr>
            <w:tcW w:w="4320" w:type="dxa"/>
          </w:tcPr>
          <w:p w14:paraId="0F55833B" w14:textId="77777777" w:rsidR="00495EA6" w:rsidRDefault="00495EA6"/>
        </w:tc>
      </w:tr>
      <w:tr w:rsidR="00495EA6" w14:paraId="51930A8C" w14:textId="77777777">
        <w:tc>
          <w:tcPr>
            <w:tcW w:w="587" w:type="dxa"/>
            <w:shd w:val="clear" w:color="auto" w:fill="EEEEEE"/>
          </w:tcPr>
          <w:p w14:paraId="6116DD95"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14:paraId="2EFD572E"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14:paraId="48065368"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   </w:t>
            </w:r>
            <w:proofErr w:type="spellStart"/>
            <w:r>
              <w:rPr>
                <w:rFonts w:eastAsia="Times New Roman"/>
                <w:sz w:val="18"/>
                <w:szCs w:val="18"/>
                <w:lang w:val="en-GB" w:eastAsia="en-GB"/>
              </w:rPr>
              <w:t>i</w:t>
            </w:r>
            <w:proofErr w:type="spellEnd"/>
            <w:r>
              <w:rPr>
                <w:rFonts w:eastAsia="Times New Roman"/>
                <w:sz w:val="18"/>
                <w:szCs w:val="18"/>
                <w:lang w:val="en-GB" w:eastAsia="en-GB"/>
              </w:rPr>
              <w:t>.  Provide justification of the similarity of the genetic variant-exposure associations between the exposure and outcome samples</w:t>
            </w:r>
          </w:p>
          <w:p w14:paraId="35BA9280"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14:paraId="374194D9" w14:textId="77777777" w:rsidR="00495EA6" w:rsidRDefault="00000000">
            <w:r>
              <w:t>NA</w:t>
            </w:r>
          </w:p>
        </w:tc>
        <w:tc>
          <w:tcPr>
            <w:tcW w:w="4320" w:type="dxa"/>
            <w:shd w:val="clear" w:color="auto" w:fill="EEEEEE"/>
          </w:tcPr>
          <w:p w14:paraId="29D93854" w14:textId="77777777" w:rsidR="00495EA6" w:rsidRDefault="00495EA6"/>
        </w:tc>
      </w:tr>
      <w:tr w:rsidR="00495EA6" w14:paraId="52CFCA59" w14:textId="77777777">
        <w:tc>
          <w:tcPr>
            <w:tcW w:w="587" w:type="dxa"/>
          </w:tcPr>
          <w:p w14:paraId="110872BB"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lastRenderedPageBreak/>
              <w:t>11</w:t>
            </w:r>
          </w:p>
        </w:tc>
        <w:tc>
          <w:tcPr>
            <w:tcW w:w="1822" w:type="dxa"/>
          </w:tcPr>
          <w:p w14:paraId="0C26298F" w14:textId="77777777" w:rsidR="00495EA6" w:rsidRDefault="00000000">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tcPr>
          <w:p w14:paraId="2F14FA37" w14:textId="77777777" w:rsidR="00495EA6" w:rsidRDefault="00495EA6">
            <w:pPr>
              <w:spacing w:beforeLines="40" w:before="96" w:afterLines="40" w:after="96" w:line="24" w:lineRule="atLeast"/>
              <w:rPr>
                <w:rFonts w:eastAsia="Cambria"/>
                <w:sz w:val="18"/>
                <w:szCs w:val="18"/>
                <w:lang w:val="en-GB" w:eastAsia="en-US"/>
              </w:rPr>
            </w:pPr>
          </w:p>
        </w:tc>
        <w:tc>
          <w:tcPr>
            <w:tcW w:w="720" w:type="dxa"/>
          </w:tcPr>
          <w:p w14:paraId="035B3367" w14:textId="77777777" w:rsidR="00495EA6" w:rsidRDefault="00495EA6">
            <w:pPr>
              <w:spacing w:beforeLines="40" w:before="96" w:afterLines="40" w:after="96" w:line="24" w:lineRule="atLeast"/>
              <w:rPr>
                <w:rFonts w:eastAsia="Cambria"/>
                <w:sz w:val="18"/>
                <w:szCs w:val="18"/>
                <w:lang w:val="en-GB" w:eastAsia="en-US"/>
              </w:rPr>
            </w:pPr>
          </w:p>
        </w:tc>
        <w:tc>
          <w:tcPr>
            <w:tcW w:w="4320" w:type="dxa"/>
          </w:tcPr>
          <w:p w14:paraId="0AFA0083" w14:textId="77777777" w:rsidR="00495EA6" w:rsidRDefault="00495EA6">
            <w:pPr>
              <w:spacing w:beforeLines="40" w:before="96" w:afterLines="40" w:after="96" w:line="24" w:lineRule="atLeast"/>
              <w:rPr>
                <w:rFonts w:eastAsia="Cambria"/>
                <w:sz w:val="18"/>
                <w:szCs w:val="18"/>
                <w:lang w:val="en-GB" w:eastAsia="en-US"/>
              </w:rPr>
            </w:pPr>
          </w:p>
        </w:tc>
      </w:tr>
      <w:tr w:rsidR="00495EA6" w14:paraId="56845A2A" w14:textId="77777777">
        <w:tc>
          <w:tcPr>
            <w:tcW w:w="587" w:type="dxa"/>
            <w:shd w:val="clear" w:color="auto" w:fill="EEEEEE"/>
          </w:tcPr>
          <w:p w14:paraId="0892A548"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09CB478B"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28FE0D63" w14:textId="2410D5CE" w:rsidR="00495EA6" w:rsidRPr="005B597A" w:rsidRDefault="005B597A">
            <w:pPr>
              <w:rPr>
                <w:rFonts w:eastAsiaTheme="minorEastAsia"/>
                <w:lang w:eastAsia="zh-CN"/>
              </w:rPr>
            </w:pPr>
            <w:r>
              <w:rPr>
                <w:rFonts w:eastAsiaTheme="minorEastAsia" w:hint="eastAsia"/>
                <w:lang w:eastAsia="zh-CN"/>
              </w:rPr>
              <w:t>9</w:t>
            </w:r>
          </w:p>
        </w:tc>
        <w:tc>
          <w:tcPr>
            <w:tcW w:w="4320" w:type="dxa"/>
            <w:shd w:val="clear" w:color="auto" w:fill="EEEEEE"/>
          </w:tcPr>
          <w:p w14:paraId="7A713F9A" w14:textId="77777777" w:rsidR="00495EA6" w:rsidRDefault="00000000">
            <w:r>
              <w:t>First, 440 SNPs of eosinophil cell counts were obtained as IVs (Supplementary Table 1). The effect of eosinophil cell count on DN was analyzed using UVMR analysis, in which the exposure factor was eosinophil cell count and the outcome was DN.</w:t>
            </w:r>
          </w:p>
        </w:tc>
      </w:tr>
      <w:tr w:rsidR="00495EA6" w14:paraId="2FAEFE68" w14:textId="77777777">
        <w:tc>
          <w:tcPr>
            <w:tcW w:w="587" w:type="dxa"/>
          </w:tcPr>
          <w:p w14:paraId="2E83DFB7"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142A3CE2"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7041" w:type="dxa"/>
          </w:tcPr>
          <w:p w14:paraId="336E75EE"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14:paraId="135F192A" w14:textId="1EEDE940" w:rsidR="00495EA6" w:rsidRPr="005B597A" w:rsidRDefault="005B597A">
            <w:pPr>
              <w:rPr>
                <w:rFonts w:eastAsiaTheme="minorEastAsia"/>
                <w:lang w:eastAsia="zh-CN"/>
              </w:rPr>
            </w:pPr>
            <w:r>
              <w:rPr>
                <w:rFonts w:eastAsiaTheme="minorEastAsia" w:hint="eastAsia"/>
                <w:lang w:eastAsia="zh-CN"/>
              </w:rPr>
              <w:t>9</w:t>
            </w:r>
          </w:p>
        </w:tc>
        <w:tc>
          <w:tcPr>
            <w:tcW w:w="4320" w:type="dxa"/>
          </w:tcPr>
          <w:p w14:paraId="04CAD889" w14:textId="77777777" w:rsidR="00495EA6" w:rsidRDefault="00000000">
            <w:r>
              <w:t>The IVW results showed that eosinophil count was causally associated with DN and was a risk factor (P =0.025, OR = 1.153, 95% confidence interval (CI) = 1.018-1.306) (Table 1, Figure 1A).</w:t>
            </w:r>
          </w:p>
        </w:tc>
      </w:tr>
      <w:tr w:rsidR="00495EA6" w14:paraId="1FAC379E" w14:textId="77777777">
        <w:tc>
          <w:tcPr>
            <w:tcW w:w="587" w:type="dxa"/>
            <w:shd w:val="clear" w:color="auto" w:fill="EEEEEE"/>
          </w:tcPr>
          <w:p w14:paraId="6762B88A"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4BC6AB73"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467AF0B1" w14:textId="77777777" w:rsidR="00495EA6" w:rsidRDefault="00000000">
            <w:r>
              <w:t>NA</w:t>
            </w:r>
          </w:p>
        </w:tc>
        <w:tc>
          <w:tcPr>
            <w:tcW w:w="4320" w:type="dxa"/>
            <w:shd w:val="clear" w:color="auto" w:fill="EEEEEE"/>
          </w:tcPr>
          <w:p w14:paraId="53FC5818" w14:textId="77777777" w:rsidR="00495EA6" w:rsidRDefault="00495EA6"/>
        </w:tc>
      </w:tr>
      <w:tr w:rsidR="00495EA6" w14:paraId="00F87C74" w14:textId="77777777">
        <w:tc>
          <w:tcPr>
            <w:tcW w:w="587" w:type="dxa"/>
          </w:tcPr>
          <w:p w14:paraId="2CDE5DE6"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69C50E8E"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d)</w:t>
            </w:r>
          </w:p>
        </w:tc>
        <w:tc>
          <w:tcPr>
            <w:tcW w:w="7041" w:type="dxa"/>
          </w:tcPr>
          <w:p w14:paraId="47CC3ACC"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496434FC" w14:textId="515C4183" w:rsidR="00495EA6" w:rsidRPr="005B597A" w:rsidRDefault="005B597A">
            <w:pPr>
              <w:rPr>
                <w:rFonts w:eastAsiaTheme="minorEastAsia"/>
                <w:lang w:eastAsia="zh-CN"/>
              </w:rPr>
            </w:pPr>
            <w:r>
              <w:rPr>
                <w:rFonts w:eastAsiaTheme="minorEastAsia" w:hint="eastAsia"/>
                <w:lang w:eastAsia="zh-CN"/>
              </w:rPr>
              <w:t>9-10</w:t>
            </w:r>
          </w:p>
        </w:tc>
        <w:tc>
          <w:tcPr>
            <w:tcW w:w="4320" w:type="dxa"/>
          </w:tcPr>
          <w:p w14:paraId="7661F781" w14:textId="77777777" w:rsidR="00495EA6" w:rsidRDefault="00000000">
            <w:r>
              <w:t>The results are demonstrated using scatter, forest, and funnel plots. The scatter plot showed that the intercept of the IVW was quite small, indicating that confounders had little effect and did not affect the reliability of the results (Figure 1B). Meanwhile, the samples were symmetrically distributed along both sides of the IVW line in the funnel plot, suggesting that UVMR followed Mendel’s second law of random grouping (Figure 1C).</w:t>
            </w:r>
          </w:p>
        </w:tc>
      </w:tr>
      <w:tr w:rsidR="00495EA6" w14:paraId="62E6DFEA" w14:textId="77777777">
        <w:tc>
          <w:tcPr>
            <w:tcW w:w="587" w:type="dxa"/>
            <w:shd w:val="clear" w:color="auto" w:fill="EEEEEE"/>
          </w:tcPr>
          <w:p w14:paraId="57CB2789"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14:paraId="27B891DB" w14:textId="77777777" w:rsidR="00495EA6" w:rsidRDefault="00000000">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14:paraId="6EC050C1" w14:textId="77777777" w:rsidR="00495EA6" w:rsidRDefault="00495EA6">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495EA6" w:rsidRDefault="00495EA6">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495EA6" w:rsidRDefault="00495EA6">
            <w:pPr>
              <w:spacing w:beforeLines="40" w:before="96" w:afterLines="40" w:after="96" w:line="24" w:lineRule="atLeast"/>
              <w:rPr>
                <w:rFonts w:eastAsia="Cambria"/>
                <w:sz w:val="18"/>
                <w:szCs w:val="18"/>
                <w:lang w:val="en-GB" w:eastAsia="en-US"/>
              </w:rPr>
            </w:pPr>
          </w:p>
        </w:tc>
      </w:tr>
      <w:tr w:rsidR="00495EA6" w14:paraId="48EE0AFA" w14:textId="77777777">
        <w:tc>
          <w:tcPr>
            <w:tcW w:w="587" w:type="dxa"/>
          </w:tcPr>
          <w:p w14:paraId="4E29121D"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18A8B0EA"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7041" w:type="dxa"/>
          </w:tcPr>
          <w:p w14:paraId="1A97B456"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20" w:type="dxa"/>
          </w:tcPr>
          <w:p w14:paraId="6315A97F" w14:textId="50406B6F" w:rsidR="00495EA6" w:rsidRPr="005B597A" w:rsidRDefault="005B597A">
            <w:pPr>
              <w:rPr>
                <w:rFonts w:eastAsiaTheme="minorEastAsia"/>
                <w:lang w:eastAsia="zh-CN"/>
              </w:rPr>
            </w:pPr>
            <w:r>
              <w:rPr>
                <w:rFonts w:eastAsiaTheme="minorEastAsia" w:hint="eastAsia"/>
                <w:lang w:eastAsia="zh-CN"/>
              </w:rPr>
              <w:t>10</w:t>
            </w:r>
          </w:p>
        </w:tc>
        <w:tc>
          <w:tcPr>
            <w:tcW w:w="4320" w:type="dxa"/>
          </w:tcPr>
          <w:p w14:paraId="0A07A091" w14:textId="77777777" w:rsidR="00495EA6" w:rsidRDefault="00000000">
            <w:r>
              <w:t xml:space="preserve">Sensitivity analysis was performed to determine the reliability of the UVMR results. First, there was heterogeneity (P = 0.0004); thus, the random-effects IVW </w:t>
            </w:r>
            <w:r>
              <w:lastRenderedPageBreak/>
              <w:t>method was used to estimate the effect of eosinophil cell count on DN (Table 2). Horizontal pleiotropy test results showed no horizontal pleiotropic effect (P = 0.7385) between eosinophil cell count and DN (Table 3). In addition, there were no severely biased SNPs in LOO, indicating that the analysis results were reliable (Supplementary Figure 1). Moreover, Steiger directionality analysis indicated the correct direction, and the result was TRUE (Table 4).</w:t>
            </w:r>
          </w:p>
        </w:tc>
      </w:tr>
      <w:tr w:rsidR="00495EA6" w14:paraId="7BDA55CD" w14:textId="77777777">
        <w:tc>
          <w:tcPr>
            <w:tcW w:w="587" w:type="dxa"/>
            <w:shd w:val="clear" w:color="auto" w:fill="EEEEEE"/>
          </w:tcPr>
          <w:p w14:paraId="6F27FA73"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400ADD58"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20" w:type="dxa"/>
            <w:shd w:val="clear" w:color="auto" w:fill="EEEEEE"/>
          </w:tcPr>
          <w:p w14:paraId="31EADA48" w14:textId="1DF629AF" w:rsidR="00495EA6" w:rsidRPr="005B597A" w:rsidRDefault="005B597A">
            <w:pPr>
              <w:rPr>
                <w:rFonts w:eastAsiaTheme="minorEastAsia"/>
                <w:lang w:eastAsia="zh-CN"/>
              </w:rPr>
            </w:pPr>
            <w:r>
              <w:rPr>
                <w:rFonts w:eastAsiaTheme="minorEastAsia" w:hint="eastAsia"/>
                <w:lang w:eastAsia="zh-CN"/>
              </w:rPr>
              <w:t>10</w:t>
            </w:r>
          </w:p>
        </w:tc>
        <w:tc>
          <w:tcPr>
            <w:tcW w:w="4320" w:type="dxa"/>
            <w:shd w:val="clear" w:color="auto" w:fill="EEEEEE"/>
          </w:tcPr>
          <w:p w14:paraId="1381734F" w14:textId="77777777" w:rsidR="00495EA6" w:rsidRDefault="00000000">
            <w:r>
              <w:t>First, there was heterogeneity (P = 0.0004); thus, the random-effects IVW method was used to estimate the effect of eosinophil cell count on DN (Table 2). Horizontal pleiotropy test results showed no horizontal pleiotropic effect (P = 0.7385) between eosinophil cell count and DN (Table 3).</w:t>
            </w:r>
          </w:p>
        </w:tc>
      </w:tr>
      <w:tr w:rsidR="00495EA6" w14:paraId="23F1C43D" w14:textId="77777777">
        <w:tc>
          <w:tcPr>
            <w:tcW w:w="587" w:type="dxa"/>
          </w:tcPr>
          <w:p w14:paraId="021A9BB4"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tcPr>
          <w:p w14:paraId="51D3F02D"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tcPr>
          <w:p w14:paraId="4AB1D97F" w14:textId="77777777" w:rsidR="00495EA6" w:rsidRDefault="00495EA6">
            <w:pPr>
              <w:spacing w:beforeLines="40" w:before="96" w:afterLines="40" w:after="96" w:line="24" w:lineRule="atLeast"/>
              <w:rPr>
                <w:rFonts w:eastAsia="Cambria"/>
                <w:sz w:val="18"/>
                <w:szCs w:val="18"/>
                <w:lang w:val="en-GB" w:eastAsia="en-US"/>
              </w:rPr>
            </w:pPr>
          </w:p>
        </w:tc>
        <w:tc>
          <w:tcPr>
            <w:tcW w:w="720" w:type="dxa"/>
          </w:tcPr>
          <w:p w14:paraId="50481D19" w14:textId="77777777" w:rsidR="00495EA6" w:rsidRDefault="00495EA6">
            <w:pPr>
              <w:spacing w:beforeLines="40" w:before="96" w:afterLines="40" w:after="96" w:line="24" w:lineRule="atLeast"/>
              <w:rPr>
                <w:rFonts w:eastAsia="Cambria"/>
                <w:sz w:val="18"/>
                <w:szCs w:val="18"/>
                <w:lang w:val="en-GB" w:eastAsia="en-US"/>
              </w:rPr>
            </w:pPr>
          </w:p>
        </w:tc>
        <w:tc>
          <w:tcPr>
            <w:tcW w:w="4320" w:type="dxa"/>
          </w:tcPr>
          <w:p w14:paraId="0F2C43F0" w14:textId="77777777" w:rsidR="00495EA6" w:rsidRDefault="00495EA6">
            <w:pPr>
              <w:spacing w:beforeLines="40" w:before="96" w:afterLines="40" w:after="96" w:line="24" w:lineRule="atLeast"/>
              <w:rPr>
                <w:rFonts w:eastAsia="Cambria"/>
                <w:sz w:val="18"/>
                <w:szCs w:val="18"/>
                <w:lang w:val="en-GB" w:eastAsia="en-US"/>
              </w:rPr>
            </w:pPr>
          </w:p>
        </w:tc>
      </w:tr>
      <w:tr w:rsidR="00495EA6" w14:paraId="1ABE2F1D" w14:textId="77777777">
        <w:tc>
          <w:tcPr>
            <w:tcW w:w="587" w:type="dxa"/>
            <w:shd w:val="clear" w:color="auto" w:fill="EEEEEE"/>
          </w:tcPr>
          <w:p w14:paraId="0D022F9B"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14:paraId="30AA9260"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116CB09D" w14:textId="033FD114" w:rsidR="00495EA6" w:rsidRPr="005B597A" w:rsidRDefault="005B597A">
            <w:pPr>
              <w:rPr>
                <w:rFonts w:eastAsiaTheme="minorEastAsia"/>
                <w:lang w:eastAsia="zh-CN"/>
              </w:rPr>
            </w:pPr>
            <w:r>
              <w:rPr>
                <w:rFonts w:eastAsiaTheme="minorEastAsia" w:hint="eastAsia"/>
                <w:lang w:eastAsia="zh-CN"/>
              </w:rPr>
              <w:t>10</w:t>
            </w:r>
          </w:p>
        </w:tc>
        <w:tc>
          <w:tcPr>
            <w:tcW w:w="4320" w:type="dxa"/>
            <w:shd w:val="clear" w:color="auto" w:fill="EEEEEE"/>
          </w:tcPr>
          <w:p w14:paraId="32D322EA" w14:textId="77777777" w:rsidR="00495EA6" w:rsidRDefault="00000000">
            <w:r>
              <w:t xml:space="preserve">Sensitivity analysis was performed to determine the reliability of the UVMR results. First, there was heterogeneity (P = 0.0004); thus, the random-effects IVW method was used to estimate the effect of eosinophil cell count on DN (Table 2). Horizontal pleiotropy test results showed no horizontal pleiotropic effect (P = 0.7385) between eosinophil cell count and DN (Table 3). In addition, there were </w:t>
            </w:r>
            <w:r>
              <w:lastRenderedPageBreak/>
              <w:t>no severely biased SNPs in LOO, indicating that the analysis results were reliable (Supplementary Figure 1).</w:t>
            </w:r>
          </w:p>
        </w:tc>
      </w:tr>
      <w:tr w:rsidR="00495EA6" w14:paraId="3696A9F1" w14:textId="77777777">
        <w:tc>
          <w:tcPr>
            <w:tcW w:w="587" w:type="dxa"/>
          </w:tcPr>
          <w:p w14:paraId="0D2234E5"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7453E1FF"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7041" w:type="dxa"/>
          </w:tcPr>
          <w:p w14:paraId="5111E54D"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20" w:type="dxa"/>
          </w:tcPr>
          <w:p w14:paraId="64D357AD" w14:textId="63846925" w:rsidR="00495EA6" w:rsidRPr="005B597A" w:rsidRDefault="005B597A">
            <w:pPr>
              <w:rPr>
                <w:rFonts w:eastAsiaTheme="minorEastAsia"/>
                <w:lang w:eastAsia="zh-CN"/>
              </w:rPr>
            </w:pPr>
            <w:r>
              <w:rPr>
                <w:rFonts w:eastAsiaTheme="minorEastAsia" w:hint="eastAsia"/>
                <w:lang w:eastAsia="zh-CN"/>
              </w:rPr>
              <w:t>10</w:t>
            </w:r>
          </w:p>
        </w:tc>
        <w:tc>
          <w:tcPr>
            <w:tcW w:w="4320" w:type="dxa"/>
          </w:tcPr>
          <w:p w14:paraId="40E37BEF" w14:textId="77777777" w:rsidR="00495EA6" w:rsidRDefault="00000000">
            <w:r>
              <w:t>Moreover, Steiger directionality analysis indicated the correct direction, and the result was TRUE (Table 4).</w:t>
            </w:r>
          </w:p>
        </w:tc>
      </w:tr>
      <w:tr w:rsidR="00495EA6" w14:paraId="1650BAB8" w14:textId="77777777">
        <w:tc>
          <w:tcPr>
            <w:tcW w:w="587" w:type="dxa"/>
            <w:shd w:val="clear" w:color="auto" w:fill="EEEEEE"/>
          </w:tcPr>
          <w:p w14:paraId="4D025CC4"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14:paraId="14E0FCD9"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20" w:type="dxa"/>
            <w:shd w:val="clear" w:color="auto" w:fill="EEEEEE"/>
          </w:tcPr>
          <w:p w14:paraId="4C704A31" w14:textId="3A45E46E" w:rsidR="00495EA6" w:rsidRPr="005B597A" w:rsidRDefault="005B597A">
            <w:pPr>
              <w:rPr>
                <w:rFonts w:eastAsiaTheme="minorEastAsia"/>
                <w:lang w:eastAsia="zh-CN"/>
              </w:rPr>
            </w:pPr>
            <w:r>
              <w:rPr>
                <w:rFonts w:eastAsiaTheme="minorEastAsia" w:hint="eastAsia"/>
                <w:lang w:eastAsia="zh-CN"/>
              </w:rPr>
              <w:t>10</w:t>
            </w:r>
          </w:p>
        </w:tc>
        <w:tc>
          <w:tcPr>
            <w:tcW w:w="4320" w:type="dxa"/>
            <w:shd w:val="clear" w:color="auto" w:fill="EEEEEE"/>
          </w:tcPr>
          <w:p w14:paraId="3CE7B9F4" w14:textId="77777777" w:rsidR="00495EA6" w:rsidRDefault="00000000">
            <w:r>
              <w:t>Moreover, Steiger directionality analysis indicated the correct direction, and the result was TRUE (Table 4).</w:t>
            </w:r>
          </w:p>
        </w:tc>
      </w:tr>
      <w:tr w:rsidR="00495EA6" w14:paraId="2034ACF7" w14:textId="77777777">
        <w:tc>
          <w:tcPr>
            <w:tcW w:w="587" w:type="dxa"/>
          </w:tcPr>
          <w:p w14:paraId="3217ECED"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5AE90FE5"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d)</w:t>
            </w:r>
          </w:p>
        </w:tc>
        <w:tc>
          <w:tcPr>
            <w:tcW w:w="7041" w:type="dxa"/>
          </w:tcPr>
          <w:p w14:paraId="3A13AF31"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20" w:type="dxa"/>
          </w:tcPr>
          <w:p w14:paraId="0DD30118" w14:textId="2AD23B82" w:rsidR="00495EA6" w:rsidRPr="00756415" w:rsidRDefault="00756415">
            <w:pPr>
              <w:rPr>
                <w:rFonts w:eastAsiaTheme="minorEastAsia"/>
                <w:lang w:eastAsia="zh-CN"/>
              </w:rPr>
            </w:pPr>
            <w:r>
              <w:rPr>
                <w:rFonts w:eastAsiaTheme="minorEastAsia" w:hint="eastAsia"/>
                <w:lang w:eastAsia="zh-CN"/>
              </w:rPr>
              <w:t>14</w:t>
            </w:r>
          </w:p>
        </w:tc>
        <w:tc>
          <w:tcPr>
            <w:tcW w:w="4320" w:type="dxa"/>
          </w:tcPr>
          <w:p w14:paraId="69887EA9" w14:textId="7EB06766" w:rsidR="00495EA6" w:rsidRDefault="00000000">
            <w:r>
              <w:t>The immune infiltration analysis results demonstrated that the immune infiltration of 11 immune cells was significantly different between the DN and control groups, and eosinophil cells were higher in DN infiltration than in controls, which is consistent with the results of literature</w:t>
            </w:r>
            <w:r w:rsidR="003D13DE">
              <w:rPr>
                <w:rFonts w:eastAsiaTheme="minorEastAsia" w:hint="eastAsia"/>
                <w:lang w:eastAsia="zh-CN"/>
              </w:rPr>
              <w:t xml:space="preserve"> </w:t>
            </w:r>
            <w:r>
              <w:t>and MR analysis.</w:t>
            </w:r>
          </w:p>
        </w:tc>
      </w:tr>
      <w:tr w:rsidR="00495EA6" w14:paraId="3E7CFBFC" w14:textId="77777777">
        <w:tc>
          <w:tcPr>
            <w:tcW w:w="587" w:type="dxa"/>
            <w:tcBorders>
              <w:bottom w:val="single" w:sz="6" w:space="0" w:color="7F7F7F"/>
            </w:tcBorders>
            <w:shd w:val="clear" w:color="auto" w:fill="EEEEEE"/>
          </w:tcPr>
          <w:p w14:paraId="1FDC421F"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6640F2DB" w14:textId="0E93D1AB" w:rsidR="00495EA6" w:rsidRPr="00E56B38" w:rsidRDefault="00E56B38">
            <w:pPr>
              <w:rPr>
                <w:rFonts w:eastAsiaTheme="minorEastAsia"/>
                <w:lang w:eastAsia="zh-CN"/>
              </w:rPr>
            </w:pPr>
            <w:r>
              <w:rPr>
                <w:rFonts w:eastAsiaTheme="minorEastAsia" w:hint="eastAsia"/>
                <w:lang w:eastAsia="zh-CN"/>
              </w:rPr>
              <w:t>10</w:t>
            </w:r>
          </w:p>
        </w:tc>
        <w:tc>
          <w:tcPr>
            <w:tcW w:w="4320" w:type="dxa"/>
            <w:tcBorders>
              <w:bottom w:val="single" w:sz="6" w:space="0" w:color="7F7F7F"/>
            </w:tcBorders>
            <w:shd w:val="clear" w:color="auto" w:fill="EEEEEE"/>
          </w:tcPr>
          <w:p w14:paraId="73F65CB7" w14:textId="77777777" w:rsidR="00495EA6" w:rsidRDefault="00000000">
            <w:r>
              <w:t>In addition, there were no severely biased SNPs in LOO, indicating that the analysis results were reliable (Supplementary Figure 1).</w:t>
            </w:r>
          </w:p>
        </w:tc>
      </w:tr>
      <w:tr w:rsidR="00495EA6" w14:paraId="5B7D2773" w14:textId="77777777">
        <w:tc>
          <w:tcPr>
            <w:tcW w:w="587" w:type="dxa"/>
            <w:tcBorders>
              <w:top w:val="single" w:sz="6" w:space="0" w:color="7F7F7F"/>
            </w:tcBorders>
          </w:tcPr>
          <w:p w14:paraId="5BDBDA65" w14:textId="77777777" w:rsidR="00495EA6" w:rsidRDefault="00495EA6">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tcPr>
          <w:p w14:paraId="1C564B75" w14:textId="77777777" w:rsidR="00495EA6" w:rsidRDefault="00000000">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sz="6" w:space="0" w:color="7F7F7F"/>
            </w:tcBorders>
          </w:tcPr>
          <w:p w14:paraId="35997729" w14:textId="77777777" w:rsidR="00495EA6" w:rsidRDefault="00495EA6">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495EA6" w:rsidRDefault="00495EA6">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495EA6" w:rsidRDefault="00495EA6">
            <w:pPr>
              <w:spacing w:beforeLines="40" w:before="96" w:afterLines="40" w:after="96" w:line="24" w:lineRule="atLeast"/>
              <w:rPr>
                <w:rFonts w:eastAsia="Cambria"/>
                <w:sz w:val="18"/>
                <w:szCs w:val="18"/>
                <w:lang w:val="en-GB" w:eastAsia="en-US"/>
              </w:rPr>
            </w:pPr>
          </w:p>
        </w:tc>
      </w:tr>
      <w:tr w:rsidR="00495EA6" w14:paraId="1800AF05" w14:textId="77777777">
        <w:tc>
          <w:tcPr>
            <w:tcW w:w="587" w:type="dxa"/>
            <w:shd w:val="clear" w:color="auto" w:fill="EEEEEE"/>
          </w:tcPr>
          <w:p w14:paraId="6B5F5286"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14:paraId="42EDC029"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14:paraId="35F1CADF"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720" w:type="dxa"/>
            <w:shd w:val="clear" w:color="auto" w:fill="EEEEEE"/>
          </w:tcPr>
          <w:p w14:paraId="17FD0A11" w14:textId="317D11FF" w:rsidR="00495EA6" w:rsidRPr="0067370B" w:rsidRDefault="0067370B">
            <w:pPr>
              <w:rPr>
                <w:rFonts w:eastAsiaTheme="minorEastAsia"/>
                <w:lang w:eastAsia="zh-CN"/>
              </w:rPr>
            </w:pPr>
            <w:r>
              <w:rPr>
                <w:rFonts w:eastAsiaTheme="minorEastAsia" w:hint="eastAsia"/>
                <w:lang w:eastAsia="zh-CN"/>
              </w:rPr>
              <w:t>13</w:t>
            </w:r>
            <w:r>
              <w:t>, 1</w:t>
            </w:r>
            <w:r>
              <w:rPr>
                <w:rFonts w:eastAsiaTheme="minorEastAsia" w:hint="eastAsia"/>
                <w:lang w:eastAsia="zh-CN"/>
              </w:rPr>
              <w:t>8</w:t>
            </w:r>
          </w:p>
        </w:tc>
        <w:tc>
          <w:tcPr>
            <w:tcW w:w="4320" w:type="dxa"/>
            <w:shd w:val="clear" w:color="auto" w:fill="EEEEEE"/>
          </w:tcPr>
          <w:p w14:paraId="7040B6CC" w14:textId="77777777" w:rsidR="00495EA6" w:rsidRDefault="00000000">
            <w:r>
              <w:t xml:space="preserve">This study investigated the causal link between eosinophils and DN by combining magnetic MR analysis with </w:t>
            </w:r>
            <w:proofErr w:type="spellStart"/>
            <w:r>
              <w:t>scRNA</w:t>
            </w:r>
            <w:proofErr w:type="spellEnd"/>
            <w:r>
              <w:t xml:space="preserve">-seq. Additionally, IL7R, CD53, BPTF, FNBP4 and ANKRD36B were identified as the key DN genes. These findings provide a new perspective for an enhanced understanding of the essentiality of eosinophils in DN pathogenesis and contribute to the emergence of new diagnostic and </w:t>
            </w:r>
            <w:r>
              <w:lastRenderedPageBreak/>
              <w:t>therapeutic strategies.</w:t>
            </w:r>
            <w:r>
              <w:br/>
              <w:t>This study provides new evidence at the cellular level for a causal link between eosinophils and DN using MR and single-cell RNA sequencing data, suggesting that eosinophils may be a potential risk factor for DN progression.</w:t>
            </w:r>
          </w:p>
        </w:tc>
      </w:tr>
      <w:tr w:rsidR="00495EA6" w14:paraId="06BFAFA4" w14:textId="77777777">
        <w:tc>
          <w:tcPr>
            <w:tcW w:w="587" w:type="dxa"/>
          </w:tcPr>
          <w:p w14:paraId="6D471CC5"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lastRenderedPageBreak/>
              <w:t>15</w:t>
            </w:r>
          </w:p>
        </w:tc>
        <w:tc>
          <w:tcPr>
            <w:tcW w:w="1822" w:type="dxa"/>
          </w:tcPr>
          <w:p w14:paraId="5C27961E"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tcPr>
          <w:p w14:paraId="75B6F41B"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720" w:type="dxa"/>
          </w:tcPr>
          <w:p w14:paraId="0AE88CA2" w14:textId="5934A168" w:rsidR="00495EA6" w:rsidRPr="009670B5" w:rsidRDefault="009670B5">
            <w:pPr>
              <w:rPr>
                <w:rFonts w:eastAsiaTheme="minorEastAsia"/>
                <w:lang w:eastAsia="zh-CN"/>
              </w:rPr>
            </w:pPr>
            <w:r>
              <w:rPr>
                <w:rFonts w:eastAsiaTheme="minorEastAsia" w:hint="eastAsia"/>
                <w:lang w:eastAsia="zh-CN"/>
              </w:rPr>
              <w:t>18</w:t>
            </w:r>
          </w:p>
        </w:tc>
        <w:tc>
          <w:tcPr>
            <w:tcW w:w="4320" w:type="dxa"/>
          </w:tcPr>
          <w:p w14:paraId="3AA264E9" w14:textId="77777777" w:rsidR="00495EA6" w:rsidRDefault="00000000">
            <w:r>
              <w:t>Our study revealed the causal relationship between eosinophils and DN at the cellular level. This study had some limitations. Prospective cohort studies are needed to examine the potential of these genes to predict DN progression. More experiments are necessary to gain a deeper understanding of the mechanisms underlying these key genes. Further research will help clarify the underlying processes. Moreover, the statistical approach of genetic aggregation limits the scope of analysis while accounting for interindividual differences. Therefore, additional studies are required to validate these findings.</w:t>
            </w:r>
          </w:p>
        </w:tc>
      </w:tr>
      <w:tr w:rsidR="00495EA6" w14:paraId="71F8B8B5" w14:textId="77777777">
        <w:tc>
          <w:tcPr>
            <w:tcW w:w="587" w:type="dxa"/>
            <w:shd w:val="clear" w:color="auto" w:fill="EEEEEE"/>
          </w:tcPr>
          <w:p w14:paraId="02C1D590"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14:paraId="612AA484"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14:paraId="3BF6466E" w14:textId="77777777" w:rsidR="00495EA6" w:rsidRDefault="00495EA6">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495EA6" w:rsidRDefault="00495EA6">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495EA6" w:rsidRDefault="00495EA6">
            <w:pPr>
              <w:spacing w:beforeLines="40" w:before="96" w:afterLines="40" w:after="96" w:line="24" w:lineRule="atLeast"/>
              <w:rPr>
                <w:rFonts w:eastAsia="Cambria"/>
                <w:sz w:val="18"/>
                <w:szCs w:val="18"/>
                <w:lang w:val="en-GB" w:eastAsia="en-US"/>
              </w:rPr>
            </w:pPr>
          </w:p>
        </w:tc>
      </w:tr>
      <w:tr w:rsidR="00495EA6" w14:paraId="62E6D51A" w14:textId="77777777">
        <w:tc>
          <w:tcPr>
            <w:tcW w:w="587" w:type="dxa"/>
          </w:tcPr>
          <w:p w14:paraId="6DD2F448"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50F26A29"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a)</w:t>
            </w:r>
          </w:p>
        </w:tc>
        <w:tc>
          <w:tcPr>
            <w:tcW w:w="7041" w:type="dxa"/>
          </w:tcPr>
          <w:p w14:paraId="7EDF9868"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 xml:space="preserve">Meaning: Give a cautious overall interpretation of results in the context of their limitations </w:t>
            </w:r>
            <w:proofErr w:type="gramStart"/>
            <w:r>
              <w:rPr>
                <w:rFonts w:eastAsia="Times New Roman"/>
                <w:sz w:val="18"/>
                <w:szCs w:val="18"/>
                <w:lang w:val="en-GB" w:eastAsia="en-GB"/>
              </w:rPr>
              <w:t xml:space="preserve">and in comparison </w:t>
            </w:r>
            <w:proofErr w:type="gramEnd"/>
            <w:r>
              <w:rPr>
                <w:rFonts w:eastAsia="Times New Roman"/>
                <w:sz w:val="18"/>
                <w:szCs w:val="18"/>
                <w:lang w:val="en-GB" w:eastAsia="en-GB"/>
              </w:rPr>
              <w:t>with other studies</w:t>
            </w:r>
          </w:p>
        </w:tc>
        <w:tc>
          <w:tcPr>
            <w:tcW w:w="720" w:type="dxa"/>
          </w:tcPr>
          <w:p w14:paraId="40E7EB1F" w14:textId="1E3B47BA" w:rsidR="00495EA6" w:rsidRPr="00B41A40" w:rsidRDefault="00B41A40">
            <w:pPr>
              <w:rPr>
                <w:rFonts w:eastAsiaTheme="minorEastAsia"/>
                <w:lang w:eastAsia="zh-CN"/>
              </w:rPr>
            </w:pPr>
            <w:r>
              <w:rPr>
                <w:rFonts w:eastAsiaTheme="minorEastAsia" w:hint="eastAsia"/>
                <w:lang w:eastAsia="zh-CN"/>
              </w:rPr>
              <w:t>13-18</w:t>
            </w:r>
          </w:p>
        </w:tc>
        <w:tc>
          <w:tcPr>
            <w:tcW w:w="4320" w:type="dxa"/>
          </w:tcPr>
          <w:p w14:paraId="4B55EFA8" w14:textId="77777777" w:rsidR="00495EA6" w:rsidRDefault="00000000">
            <w:r>
              <w:t xml:space="preserve">DN is a common and serious complication of diabetes mellitus and has become one of the major causes of end-stage renal </w:t>
            </w:r>
            <w:proofErr w:type="gramStart"/>
            <w:r>
              <w:t>disease(</w:t>
            </w:r>
            <w:proofErr w:type="gramEnd"/>
            <w:r>
              <w:t xml:space="preserve">ESRD) and mortality </w:t>
            </w:r>
            <w:proofErr w:type="gramStart"/>
            <w:r>
              <w:t>globally(</w:t>
            </w:r>
            <w:proofErr w:type="gramEnd"/>
            <w:r>
              <w:t xml:space="preserve">35). This study investigated the causal link between eosinophils and DN by combining magnetic MR analysis with </w:t>
            </w:r>
            <w:proofErr w:type="spellStart"/>
            <w:r>
              <w:t>scRNA</w:t>
            </w:r>
            <w:proofErr w:type="spellEnd"/>
            <w:r>
              <w:t>-seq. Additionally, IL7R, CD53, BPTF, FNBP4 and ANKRD36B were identified as the key DN genes.</w:t>
            </w:r>
            <w:r>
              <w:br/>
            </w:r>
            <w:r>
              <w:lastRenderedPageBreak/>
              <w:t>This study provides new evidence at the cellular level for a causal link between eosinophils and DN using MR and single-cell RNA sequencing data, suggesting that eosinophils may be a potential risk factor for DN progression... However, it should be noted that the current conclusions are mainly based on bioinformatics analysis and association verification, and prospective cohort studies and functional experiments are still needed to confirm this link.</w:t>
            </w:r>
          </w:p>
        </w:tc>
      </w:tr>
      <w:tr w:rsidR="00495EA6" w14:paraId="156B69E5" w14:textId="77777777">
        <w:tc>
          <w:tcPr>
            <w:tcW w:w="587" w:type="dxa"/>
            <w:shd w:val="clear" w:color="auto" w:fill="EEEEEE"/>
          </w:tcPr>
          <w:p w14:paraId="4C8A2215"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14:paraId="422EB891"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14:paraId="5F4561AC" w14:textId="3AFB882E" w:rsidR="00495EA6" w:rsidRPr="00AA573F" w:rsidRDefault="00AA573F">
            <w:pPr>
              <w:rPr>
                <w:rFonts w:eastAsiaTheme="minorEastAsia"/>
                <w:lang w:eastAsia="zh-CN"/>
              </w:rPr>
            </w:pPr>
            <w:r>
              <w:rPr>
                <w:rFonts w:eastAsiaTheme="minorEastAsia" w:hint="eastAsia"/>
                <w:lang w:eastAsia="zh-CN"/>
              </w:rPr>
              <w:t>15-18</w:t>
            </w:r>
          </w:p>
        </w:tc>
        <w:tc>
          <w:tcPr>
            <w:tcW w:w="4320" w:type="dxa"/>
            <w:shd w:val="clear" w:color="auto" w:fill="EEEEEE"/>
          </w:tcPr>
          <w:p w14:paraId="4F52B910" w14:textId="77777777" w:rsidR="00495EA6" w:rsidRDefault="00000000">
            <w:r>
              <w:t>In summary, the five key genes identified in this study may construct a "gene-eosinophil-kidney injury" regulatory axis by regulating eosinophil proliferation, activation, adhesion, migration, chemokine signal transduction, and oxidative phosphorylation, jointly participating in the immunopathological process of DN. This provides new candidate targets for in-depth analysis of the pathogenesis of DN and the development of targeted therapy strategies; however, their specific functions still require further investigation.</w:t>
            </w:r>
          </w:p>
        </w:tc>
      </w:tr>
      <w:tr w:rsidR="00495EA6" w14:paraId="203390A0" w14:textId="77777777">
        <w:tc>
          <w:tcPr>
            <w:tcW w:w="587" w:type="dxa"/>
          </w:tcPr>
          <w:p w14:paraId="54CA3A27" w14:textId="77777777" w:rsidR="00495EA6" w:rsidRDefault="00495EA6">
            <w:pPr>
              <w:spacing w:beforeLines="40" w:before="96" w:afterLines="40" w:after="96" w:line="24" w:lineRule="atLeast"/>
              <w:jc w:val="right"/>
              <w:rPr>
                <w:rFonts w:eastAsia="Cambria"/>
                <w:b/>
                <w:bCs/>
                <w:sz w:val="18"/>
                <w:szCs w:val="18"/>
                <w:lang w:val="en-GB" w:eastAsia="en-US"/>
              </w:rPr>
            </w:pPr>
          </w:p>
        </w:tc>
        <w:tc>
          <w:tcPr>
            <w:tcW w:w="1822" w:type="dxa"/>
          </w:tcPr>
          <w:p w14:paraId="6D25BA57" w14:textId="77777777" w:rsidR="00495EA6" w:rsidRDefault="00000000">
            <w:pPr>
              <w:spacing w:beforeLines="40" w:before="96" w:afterLines="40" w:after="96" w:line="24" w:lineRule="atLeast"/>
              <w:jc w:val="right"/>
              <w:rPr>
                <w:rFonts w:eastAsia="Cambria"/>
                <w:sz w:val="18"/>
                <w:szCs w:val="18"/>
                <w:lang w:val="en-GB" w:eastAsia="en-US"/>
              </w:rPr>
            </w:pPr>
            <w:r>
              <w:rPr>
                <w:rFonts w:eastAsia="Cambria"/>
                <w:sz w:val="18"/>
                <w:szCs w:val="18"/>
                <w:lang w:val="en-GB" w:eastAsia="en-US"/>
              </w:rPr>
              <w:t>c)</w:t>
            </w:r>
          </w:p>
        </w:tc>
        <w:tc>
          <w:tcPr>
            <w:tcW w:w="7041" w:type="dxa"/>
          </w:tcPr>
          <w:p w14:paraId="5B6A8315" w14:textId="77777777" w:rsidR="00495EA6" w:rsidRDefault="00000000">
            <w:pPr>
              <w:tabs>
                <w:tab w:val="left" w:pos="1350"/>
              </w:tabs>
              <w:spacing w:beforeLines="40" w:before="96" w:afterLines="40" w:after="96"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20" w:type="dxa"/>
          </w:tcPr>
          <w:p w14:paraId="22D0E132" w14:textId="793721D9" w:rsidR="00495EA6" w:rsidRPr="00BD731A" w:rsidRDefault="00000000">
            <w:pPr>
              <w:rPr>
                <w:rFonts w:eastAsiaTheme="minorEastAsia"/>
                <w:lang w:eastAsia="zh-CN"/>
              </w:rPr>
            </w:pPr>
            <w:r>
              <w:t>1</w:t>
            </w:r>
            <w:r w:rsidR="00BD731A">
              <w:rPr>
                <w:rFonts w:eastAsiaTheme="minorEastAsia" w:hint="eastAsia"/>
                <w:lang w:eastAsia="zh-CN"/>
              </w:rPr>
              <w:t>8</w:t>
            </w:r>
          </w:p>
        </w:tc>
        <w:tc>
          <w:tcPr>
            <w:tcW w:w="4320" w:type="dxa"/>
          </w:tcPr>
          <w:p w14:paraId="0CB8A0A8" w14:textId="77777777" w:rsidR="00495EA6" w:rsidRDefault="00000000">
            <w:r>
              <w:t>Conclusion: This study showed a causal relationship between eosinophils and DN, and IL7R, CD53, BPTF, FNBP4 and ANKRD36B were identified as five key genes for DN, which may be useful in diagnosis and treatment of DN.</w:t>
            </w:r>
            <w:r>
              <w:br/>
              <w:t xml:space="preserve">These findings provide a new perspective for an enhanced understanding of the </w:t>
            </w:r>
            <w:r>
              <w:lastRenderedPageBreak/>
              <w:t>essentiality of eosinophils in DN pathogenesis and contribute to the emergence of new diagnostic and therapeutic strategies.</w:t>
            </w:r>
          </w:p>
        </w:tc>
      </w:tr>
      <w:tr w:rsidR="00495EA6" w14:paraId="71FDAFC1" w14:textId="77777777">
        <w:tc>
          <w:tcPr>
            <w:tcW w:w="587" w:type="dxa"/>
            <w:tcBorders>
              <w:bottom w:val="single" w:sz="6" w:space="0" w:color="7F7F7F"/>
            </w:tcBorders>
            <w:shd w:val="clear" w:color="auto" w:fill="EEEEEE"/>
          </w:tcPr>
          <w:p w14:paraId="7540155A"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lastRenderedPageBreak/>
              <w:t>17</w:t>
            </w:r>
          </w:p>
        </w:tc>
        <w:tc>
          <w:tcPr>
            <w:tcW w:w="1822" w:type="dxa"/>
            <w:tcBorders>
              <w:bottom w:val="single" w:sz="6" w:space="0" w:color="7F7F7F"/>
            </w:tcBorders>
            <w:shd w:val="clear" w:color="auto" w:fill="EEEEEE"/>
          </w:tcPr>
          <w:p w14:paraId="3680059F"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495EA6" w:rsidRDefault="00000000">
            <w:pPr>
              <w:spacing w:beforeLines="40" w:before="96" w:afterLines="40" w:after="96"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03C42F7A" w14:textId="77777777" w:rsidR="00495EA6" w:rsidRDefault="00000000">
            <w:r>
              <w:t>NA</w:t>
            </w:r>
          </w:p>
        </w:tc>
        <w:tc>
          <w:tcPr>
            <w:tcW w:w="4320" w:type="dxa"/>
            <w:tcBorders>
              <w:bottom w:val="single" w:sz="6" w:space="0" w:color="7F7F7F"/>
            </w:tcBorders>
            <w:shd w:val="clear" w:color="auto" w:fill="EEEEEE"/>
          </w:tcPr>
          <w:p w14:paraId="779032D7" w14:textId="77777777" w:rsidR="00495EA6" w:rsidRDefault="00495EA6"/>
        </w:tc>
      </w:tr>
      <w:tr w:rsidR="00495EA6" w14:paraId="57884E75" w14:textId="77777777">
        <w:tc>
          <w:tcPr>
            <w:tcW w:w="587" w:type="dxa"/>
            <w:tcBorders>
              <w:top w:val="single" w:sz="6" w:space="0" w:color="7F7F7F"/>
            </w:tcBorders>
          </w:tcPr>
          <w:p w14:paraId="2C4C694A" w14:textId="77777777" w:rsidR="00495EA6" w:rsidRDefault="00495EA6">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tcPr>
          <w:p w14:paraId="0A6FFE33"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sz="6" w:space="0" w:color="7F7F7F"/>
            </w:tcBorders>
          </w:tcPr>
          <w:p w14:paraId="0577947E" w14:textId="77777777" w:rsidR="00495EA6" w:rsidRDefault="00495EA6">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495EA6" w:rsidRDefault="00495EA6">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495EA6" w:rsidRDefault="00495EA6">
            <w:pPr>
              <w:spacing w:beforeLines="40" w:before="96" w:afterLines="40" w:after="96" w:line="24" w:lineRule="atLeast"/>
              <w:rPr>
                <w:rFonts w:eastAsia="Cambria"/>
                <w:sz w:val="18"/>
                <w:szCs w:val="18"/>
                <w:lang w:val="en-GB" w:eastAsia="en-US"/>
              </w:rPr>
            </w:pPr>
          </w:p>
        </w:tc>
      </w:tr>
      <w:tr w:rsidR="00495EA6" w14:paraId="0014C6D1" w14:textId="77777777">
        <w:tc>
          <w:tcPr>
            <w:tcW w:w="587" w:type="dxa"/>
            <w:shd w:val="clear" w:color="auto" w:fill="EEEEEE"/>
          </w:tcPr>
          <w:p w14:paraId="2336D08C"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14:paraId="08EB4FDF" w14:textId="77777777" w:rsidR="00495EA6" w:rsidRDefault="00000000">
            <w:pPr>
              <w:spacing w:beforeLines="40" w:before="96" w:afterLines="40" w:after="96"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14:paraId="4663DCA7"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0ACD3EB9" w14:textId="15B5495F" w:rsidR="00495EA6" w:rsidRPr="00675C02" w:rsidRDefault="00675C02">
            <w:pPr>
              <w:rPr>
                <w:rFonts w:eastAsiaTheme="minorEastAsia"/>
                <w:lang w:eastAsia="zh-CN"/>
              </w:rPr>
            </w:pPr>
            <w:r>
              <w:rPr>
                <w:rFonts w:eastAsiaTheme="minorEastAsia" w:hint="eastAsia"/>
                <w:lang w:eastAsia="zh-CN"/>
              </w:rPr>
              <w:t>21</w:t>
            </w:r>
          </w:p>
        </w:tc>
        <w:tc>
          <w:tcPr>
            <w:tcW w:w="4320" w:type="dxa"/>
            <w:shd w:val="clear" w:color="auto" w:fill="EEEEEE"/>
          </w:tcPr>
          <w:p w14:paraId="2BABE530" w14:textId="61CEC2F2" w:rsidR="00495EA6" w:rsidRDefault="00BE0D51">
            <w:r w:rsidRPr="00BE0D51">
              <w:t>This research received no specific grant from funding agencies in the public, commercial, or not-for-profit sectors.</w:t>
            </w:r>
          </w:p>
        </w:tc>
      </w:tr>
      <w:tr w:rsidR="00495EA6" w14:paraId="1B22CB41" w14:textId="77777777">
        <w:tc>
          <w:tcPr>
            <w:tcW w:w="587" w:type="dxa"/>
          </w:tcPr>
          <w:p w14:paraId="381BF2BA"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tcPr>
          <w:p w14:paraId="233BA942"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tcPr>
          <w:p w14:paraId="42D9085E"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14:paraId="7321CAA6" w14:textId="351A8F78" w:rsidR="00495EA6" w:rsidRPr="00675C02" w:rsidRDefault="00675C02">
            <w:pPr>
              <w:rPr>
                <w:rFonts w:eastAsiaTheme="minorEastAsia"/>
                <w:lang w:val="en-US" w:eastAsia="zh-CN"/>
              </w:rPr>
            </w:pPr>
            <w:r>
              <w:rPr>
                <w:rFonts w:eastAsiaTheme="minorEastAsia" w:hint="eastAsia"/>
                <w:lang w:eastAsia="zh-CN"/>
              </w:rPr>
              <w:t>21</w:t>
            </w:r>
          </w:p>
        </w:tc>
        <w:tc>
          <w:tcPr>
            <w:tcW w:w="4320" w:type="dxa"/>
          </w:tcPr>
          <w:p w14:paraId="591CECE8" w14:textId="77777777" w:rsidR="00495EA6" w:rsidRDefault="00000000">
            <w:r>
              <w:t xml:space="preserve">The datasets generated during the current study are available in the [GEO (GSE30122 and GSE30122) and Integrative Epidemiology Unit (IEU) Open GWAS] repository [https://www.ncbi. </w:t>
            </w:r>
            <w:proofErr w:type="spellStart"/>
            <w:r>
              <w:t>nlm.nih</w:t>
            </w:r>
            <w:proofErr w:type="spellEnd"/>
            <w:r>
              <w:t>. gov/gds, https://gwas.mrcieu.ac.uk/].</w:t>
            </w:r>
          </w:p>
        </w:tc>
      </w:tr>
      <w:tr w:rsidR="00495EA6" w14:paraId="1BFE6A86" w14:textId="77777777">
        <w:tc>
          <w:tcPr>
            <w:tcW w:w="587" w:type="dxa"/>
            <w:tcBorders>
              <w:bottom w:val="single" w:sz="6" w:space="0" w:color="7F7F7F"/>
            </w:tcBorders>
            <w:shd w:val="clear" w:color="auto" w:fill="EEEEEE"/>
          </w:tcPr>
          <w:p w14:paraId="20DC2C92" w14:textId="77777777" w:rsidR="00495EA6" w:rsidRDefault="00000000">
            <w:pPr>
              <w:spacing w:beforeLines="40" w:before="96" w:afterLines="40" w:after="96"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495EA6" w:rsidRDefault="00000000">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4975875A" w14:textId="3421AF13" w:rsidR="00495EA6" w:rsidRPr="008941A1" w:rsidRDefault="008941A1">
            <w:pPr>
              <w:rPr>
                <w:rFonts w:eastAsiaTheme="minorEastAsia"/>
                <w:lang w:eastAsia="zh-CN"/>
              </w:rPr>
            </w:pPr>
            <w:r>
              <w:rPr>
                <w:rFonts w:eastAsiaTheme="minorEastAsia" w:hint="eastAsia"/>
                <w:lang w:eastAsia="zh-CN"/>
              </w:rPr>
              <w:t>21</w:t>
            </w:r>
          </w:p>
        </w:tc>
        <w:tc>
          <w:tcPr>
            <w:tcW w:w="4320" w:type="dxa"/>
            <w:tcBorders>
              <w:bottom w:val="single" w:sz="6" w:space="0" w:color="7F7F7F"/>
            </w:tcBorders>
            <w:shd w:val="clear" w:color="auto" w:fill="EEEEEE"/>
          </w:tcPr>
          <w:p w14:paraId="58084C13" w14:textId="77777777" w:rsidR="00495EA6" w:rsidRDefault="00000000">
            <w:r>
              <w:t>The authors declare that the research was conducted in the absence of any commercial or financial relationships that could be construed as a potential conflict of interest.</w:t>
            </w:r>
          </w:p>
        </w:tc>
      </w:tr>
    </w:tbl>
    <w:p w14:paraId="386115B2" w14:textId="77777777" w:rsidR="00495EA6" w:rsidRDefault="00000000">
      <w:pPr>
        <w:spacing w:before="240" w:after="240"/>
        <w:rPr>
          <w:sz w:val="19"/>
          <w:szCs w:val="19"/>
        </w:rPr>
      </w:pPr>
      <w:r>
        <w:rPr>
          <w:sz w:val="19"/>
          <w:szCs w:val="19"/>
        </w:rPr>
        <w:t xml:space="preserve">This checklist is copyrighted by the Equator Network under the Creative Commons Attribution 3.0 </w:t>
      </w:r>
      <w:proofErr w:type="spellStart"/>
      <w:r>
        <w:rPr>
          <w:sz w:val="19"/>
          <w:szCs w:val="19"/>
        </w:rPr>
        <w:t>Unported</w:t>
      </w:r>
      <w:proofErr w:type="spellEnd"/>
      <w:r>
        <w:rPr>
          <w:sz w:val="19"/>
          <w:szCs w:val="19"/>
        </w:rPr>
        <w:t xml:space="preserve"> (CC BY 3.0) license.</w:t>
      </w:r>
    </w:p>
    <w:p w14:paraId="5DDF8A06" w14:textId="77777777" w:rsidR="00495EA6" w:rsidRDefault="00000000">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495EA6" w:rsidRDefault="00000000">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77777777" w:rsidR="00495EA6" w:rsidRDefault="00000000">
      <w:pPr>
        <w:spacing w:before="240" w:after="240"/>
      </w:pPr>
      <w:r>
        <w:rPr>
          <w:sz w:val="19"/>
          <w:szCs w:val="19"/>
        </w:rPr>
        <w:fldChar w:fldCharType="end"/>
      </w:r>
    </w:p>
    <w:sectPr w:rsidR="00495EA6">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407B1" w14:textId="77777777" w:rsidR="00A279B8" w:rsidRDefault="00A279B8">
      <w:pPr>
        <w:spacing w:line="240" w:lineRule="auto"/>
      </w:pPr>
      <w:r>
        <w:separator/>
      </w:r>
    </w:p>
  </w:endnote>
  <w:endnote w:type="continuationSeparator" w:id="0">
    <w:p w14:paraId="1115A537" w14:textId="77777777" w:rsidR="00A279B8" w:rsidRDefault="00A27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A166" w14:textId="77777777" w:rsidR="00495EA6" w:rsidRDefault="00495EA6">
    <w:pPr>
      <w:pStyle w:val="a5"/>
      <w:framePr w:wrap="auto" w:vAnchor="text" w:hAnchor="margin" w:xAlign="right" w:y="1"/>
      <w:rPr>
        <w:rStyle w:val="a7"/>
      </w:rPr>
    </w:pPr>
  </w:p>
  <w:p w14:paraId="40A0897E" w14:textId="77777777" w:rsidR="00495EA6" w:rsidRDefault="00495EA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7B5E" w14:textId="77777777" w:rsidR="00495EA6" w:rsidRDefault="00000000">
    <w:pPr>
      <w:pStyle w:val="a5"/>
      <w:jc w:val="right"/>
    </w:pPr>
    <w:r>
      <w:fldChar w:fldCharType="begin"/>
    </w:r>
    <w:r>
      <w:instrText xml:space="preserve"> PAGE   \* MERGEFORMAT </w:instrText>
    </w:r>
    <w:r>
      <w:fldChar w:fldCharType="separate"/>
    </w:r>
    <w:r>
      <w:t>1</w:t>
    </w:r>
    <w:r>
      <w:fldChar w:fldCharType="end"/>
    </w:r>
  </w:p>
  <w:p w14:paraId="41D89672" w14:textId="77777777" w:rsidR="00495EA6" w:rsidRDefault="00495EA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A77DF" w14:textId="77777777" w:rsidR="00A279B8" w:rsidRDefault="00A279B8">
      <w:r>
        <w:separator/>
      </w:r>
    </w:p>
  </w:footnote>
  <w:footnote w:type="continuationSeparator" w:id="0">
    <w:p w14:paraId="7B88A1EF" w14:textId="77777777" w:rsidR="00A279B8" w:rsidRDefault="00A279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A4CE8"/>
    <w:rsid w:val="002663E6"/>
    <w:rsid w:val="00343BF8"/>
    <w:rsid w:val="003D13DE"/>
    <w:rsid w:val="003D447D"/>
    <w:rsid w:val="003D47DD"/>
    <w:rsid w:val="003F4E7F"/>
    <w:rsid w:val="00495EA6"/>
    <w:rsid w:val="004B5CBB"/>
    <w:rsid w:val="004E11D4"/>
    <w:rsid w:val="00514462"/>
    <w:rsid w:val="005520ED"/>
    <w:rsid w:val="00552800"/>
    <w:rsid w:val="00583457"/>
    <w:rsid w:val="005A0D0D"/>
    <w:rsid w:val="005B597A"/>
    <w:rsid w:val="0067370B"/>
    <w:rsid w:val="00675C02"/>
    <w:rsid w:val="00683430"/>
    <w:rsid w:val="00685D31"/>
    <w:rsid w:val="006912BF"/>
    <w:rsid w:val="006A41D0"/>
    <w:rsid w:val="006B08D5"/>
    <w:rsid w:val="0071349F"/>
    <w:rsid w:val="00756415"/>
    <w:rsid w:val="00804498"/>
    <w:rsid w:val="008573E9"/>
    <w:rsid w:val="008941A1"/>
    <w:rsid w:val="008D1BF7"/>
    <w:rsid w:val="00914C56"/>
    <w:rsid w:val="00950729"/>
    <w:rsid w:val="009670B5"/>
    <w:rsid w:val="009854A9"/>
    <w:rsid w:val="009E033F"/>
    <w:rsid w:val="00A279B8"/>
    <w:rsid w:val="00AA573F"/>
    <w:rsid w:val="00AF5160"/>
    <w:rsid w:val="00B35AF3"/>
    <w:rsid w:val="00B41A40"/>
    <w:rsid w:val="00B6441C"/>
    <w:rsid w:val="00BB6328"/>
    <w:rsid w:val="00BC1192"/>
    <w:rsid w:val="00BD731A"/>
    <w:rsid w:val="00BE0D51"/>
    <w:rsid w:val="00BF061D"/>
    <w:rsid w:val="00C073B3"/>
    <w:rsid w:val="00C105E7"/>
    <w:rsid w:val="00D65199"/>
    <w:rsid w:val="00D8098C"/>
    <w:rsid w:val="00E1231D"/>
    <w:rsid w:val="00E56B38"/>
    <w:rsid w:val="00ED48A3"/>
    <w:rsid w:val="00EF4B94"/>
    <w:rsid w:val="021612D0"/>
    <w:rsid w:val="08744BDF"/>
    <w:rsid w:val="1075540A"/>
    <w:rsid w:val="15997A33"/>
    <w:rsid w:val="1AB20815"/>
    <w:rsid w:val="1BD712B5"/>
    <w:rsid w:val="20692CE5"/>
    <w:rsid w:val="224E7F2C"/>
    <w:rsid w:val="232A43C0"/>
    <w:rsid w:val="27271343"/>
    <w:rsid w:val="28A64076"/>
    <w:rsid w:val="2D7F48D8"/>
    <w:rsid w:val="30B667C6"/>
    <w:rsid w:val="37735EDE"/>
    <w:rsid w:val="415C35DB"/>
    <w:rsid w:val="472C6D16"/>
    <w:rsid w:val="47C75E16"/>
    <w:rsid w:val="50D83358"/>
    <w:rsid w:val="5A1B6236"/>
    <w:rsid w:val="5EC4414D"/>
    <w:rsid w:val="5FA8056B"/>
    <w:rsid w:val="61CB0541"/>
    <w:rsid w:val="63DC1C35"/>
    <w:rsid w:val="6A497BD0"/>
    <w:rsid w:val="75616D9B"/>
    <w:rsid w:val="770464BB"/>
    <w:rsid w:val="77291B3A"/>
    <w:rsid w:val="78E267B6"/>
    <w:rsid w:val="7C091F3A"/>
    <w:rsid w:val="7CA0464C"/>
    <w:rsid w:val="7E561773"/>
    <w:rsid w:val="7F2C2C0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68EBD"/>
  <w15:docId w15:val="{0603A364-465F-4872-BF1B-5E0DC00E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rPr>
      <w:rFonts w:ascii="Arial" w:eastAsia="Arial" w:hAnsi="Arial" w:cs="Arial"/>
      <w:sz w:val="22"/>
      <w:szCs w:val="22"/>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footer"/>
    <w:basedOn w:val="a"/>
    <w:link w:val="a6"/>
    <w:uiPriority w:val="99"/>
    <w:unhideWhenUsed/>
    <w:qFormat/>
    <w:pPr>
      <w:tabs>
        <w:tab w:val="center" w:pos="4680"/>
        <w:tab w:val="right" w:pos="9360"/>
      </w:tabs>
      <w:spacing w:line="240" w:lineRule="auto"/>
    </w:pPr>
  </w:style>
  <w:style w:type="character" w:styleId="a7">
    <w:name w:val="page number"/>
    <w:basedOn w:val="a0"/>
    <w:uiPriority w:val="99"/>
    <w:semiHidden/>
    <w:unhideWhenUsed/>
    <w:qFormat/>
  </w:style>
  <w:style w:type="character" w:styleId="a8">
    <w:name w:val="line number"/>
    <w:basedOn w:val="a0"/>
    <w:uiPriority w:val="99"/>
    <w:semiHidden/>
    <w:unhideWhenUsed/>
    <w:qFormat/>
  </w:style>
  <w:style w:type="character" w:customStyle="1" w:styleId="a6">
    <w:name w:val="页脚 字符"/>
    <w:basedOn w:val="a0"/>
    <w:link w:val="a5"/>
    <w:uiPriority w:val="99"/>
    <w:qFormat/>
    <w:rPr>
      <w:rFonts w:ascii="Arial" w:eastAsia="Arial" w:hAnsi="Arial" w:cs="Arial"/>
      <w:lang w:val="en" w:eastAsia="de-CH"/>
    </w:rPr>
  </w:style>
  <w:style w:type="character" w:styleId="a9">
    <w:name w:val="annotation reference"/>
    <w:basedOn w:val="a0"/>
    <w:uiPriority w:val="99"/>
    <w:semiHidden/>
    <w:unhideWhenUsed/>
    <w:rPr>
      <w:sz w:val="21"/>
      <w:szCs w:val="21"/>
    </w:rPr>
  </w:style>
  <w:style w:type="paragraph" w:styleId="aa">
    <w:name w:val="header"/>
    <w:basedOn w:val="a"/>
    <w:link w:val="ab"/>
    <w:uiPriority w:val="99"/>
    <w:unhideWhenUsed/>
    <w:rsid w:val="00BE0D51"/>
    <w:pPr>
      <w:tabs>
        <w:tab w:val="center" w:pos="4153"/>
        <w:tab w:val="right" w:pos="8306"/>
      </w:tabs>
      <w:snapToGrid w:val="0"/>
      <w:spacing w:line="240" w:lineRule="auto"/>
      <w:jc w:val="center"/>
    </w:pPr>
    <w:rPr>
      <w:sz w:val="18"/>
      <w:szCs w:val="18"/>
    </w:rPr>
  </w:style>
  <w:style w:type="character" w:customStyle="1" w:styleId="ab">
    <w:name w:val="页眉 字符"/>
    <w:basedOn w:val="a0"/>
    <w:link w:val="aa"/>
    <w:uiPriority w:val="99"/>
    <w:rsid w:val="00BE0D51"/>
    <w:rPr>
      <w:rFonts w:ascii="Arial" w:eastAsia="Arial" w:hAnsi="Arial" w:cs="Arial"/>
      <w:sz w:val="18"/>
      <w:szCs w:val="18"/>
      <w:lang w:val="en" w:eastAsia="de-CH"/>
    </w:rPr>
  </w:style>
  <w:style w:type="paragraph" w:styleId="ac">
    <w:name w:val="annotation subject"/>
    <w:basedOn w:val="a3"/>
    <w:next w:val="a3"/>
    <w:link w:val="ad"/>
    <w:uiPriority w:val="99"/>
    <w:semiHidden/>
    <w:unhideWhenUsed/>
    <w:rsid w:val="00BE0D51"/>
    <w:rPr>
      <w:b/>
      <w:bCs/>
    </w:rPr>
  </w:style>
  <w:style w:type="character" w:customStyle="1" w:styleId="a4">
    <w:name w:val="批注文字 字符"/>
    <w:basedOn w:val="a0"/>
    <w:link w:val="a3"/>
    <w:rsid w:val="00BE0D51"/>
    <w:rPr>
      <w:rFonts w:ascii="Arial" w:eastAsia="Arial" w:hAnsi="Arial" w:cs="Arial"/>
      <w:sz w:val="22"/>
      <w:szCs w:val="22"/>
      <w:lang w:val="en" w:eastAsia="de-CH"/>
    </w:rPr>
  </w:style>
  <w:style w:type="character" w:customStyle="1" w:styleId="ad">
    <w:name w:val="批注主题 字符"/>
    <w:basedOn w:val="a4"/>
    <w:link w:val="ac"/>
    <w:uiPriority w:val="99"/>
    <w:semiHidden/>
    <w:rsid w:val="00BE0D51"/>
    <w:rPr>
      <w:rFonts w:ascii="Arial" w:eastAsia="Arial" w:hAnsi="Arial" w:cs="Arial"/>
      <w:b/>
      <w:bCs/>
      <w:sz w:val="22"/>
      <w:szCs w:val="22"/>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3.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F20111-77FD-4F18-8E31-D737874646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3853</Words>
  <Characters>23273</Characters>
  <Application>Microsoft Office Word</Application>
  <DocSecurity>0</DocSecurity>
  <Lines>484</Lines>
  <Paragraphs>168</Paragraphs>
  <ScaleCrop>false</ScaleCrop>
  <Company>University of Bern</Company>
  <LinksUpToDate>false</LinksUpToDate>
  <CharactersWithSpaces>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Whitesell, Veronika (ISPM)</dc:creator>
  <cp:lastModifiedBy>Yu Chen</cp:lastModifiedBy>
  <cp:revision>26</cp:revision>
  <cp:lastPrinted>2021-09-28T07:08:00Z</cp:lastPrinted>
  <dcterms:created xsi:type="dcterms:W3CDTF">2022-04-07T08:09:00Z</dcterms:created>
  <dcterms:modified xsi:type="dcterms:W3CDTF">2026-06-15T03:27:00Z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2052-12.1.0.20305</vt:lpwstr>
  </property>
  <property fmtid="{D5CDD505-2E9C-101B-9397-08002B2CF9AE}" pid="27" name="ICV">
    <vt:lpwstr>FA3D7377FDEF430D8EDE43F7B62125B2_13</vt:lpwstr>
  </property>
  <property fmtid="{D5CDD505-2E9C-101B-9397-08002B2CF9AE}" pid="28" name="KSOTemplateDocerSaveRecord">
    <vt:lpwstr>eyJoZGlkIjoiMDhhMGRlNTUwZmFiOGEzYjkyOTMyYzk1OTVjOWZlMWUiLCJ1c2VySWQiOiIxNzk5OTcxNjYzIn0=</vt:lpwstr>
  </property>
</Properties>
</file>