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C1E6" w14:textId="0164C0F0" w:rsidR="002947CA" w:rsidRPr="002947CA" w:rsidRDefault="002947CA">
      <w:pPr>
        <w:rPr>
          <w:rFonts w:ascii="Times New Roman" w:hAnsi="Times New Roman" w:cs="Times New Roman"/>
        </w:rPr>
      </w:pPr>
      <w:r w:rsidRPr="00C05142">
        <w:rPr>
          <w:rFonts w:ascii="Times New Roman" w:hAnsi="Times New Roman" w:cs="Times New Roman"/>
        </w:rPr>
        <w:t>Table 1. Integrated IMPRESS curriculum and hypothesized mechanisms.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947CA" w:rsidRPr="00C05142" w14:paraId="31708C40" w14:textId="77777777" w:rsidTr="00732AFD">
        <w:trPr>
          <w:tblHeader/>
          <w:jc w:val="center"/>
        </w:trPr>
        <w:tc>
          <w:tcPr>
            <w:tcW w:w="3120" w:type="dxa"/>
            <w:shd w:val="clear" w:color="auto" w:fill="D9EAF7"/>
            <w:vAlign w:val="center"/>
          </w:tcPr>
          <w:p w14:paraId="4FF1D913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sz w:val="24"/>
                <w:szCs w:val="24"/>
              </w:rPr>
              <w:t>Program domain</w:t>
            </w:r>
          </w:p>
        </w:tc>
        <w:tc>
          <w:tcPr>
            <w:tcW w:w="3120" w:type="dxa"/>
            <w:shd w:val="clear" w:color="auto" w:fill="D9EAF7"/>
            <w:vAlign w:val="center"/>
          </w:tcPr>
          <w:p w14:paraId="0C2194A2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sz w:val="24"/>
                <w:szCs w:val="24"/>
              </w:rPr>
              <w:t>Core activities</w:t>
            </w:r>
          </w:p>
        </w:tc>
        <w:tc>
          <w:tcPr>
            <w:tcW w:w="3120" w:type="dxa"/>
            <w:shd w:val="clear" w:color="auto" w:fill="D9EAF7"/>
            <w:vAlign w:val="center"/>
          </w:tcPr>
          <w:p w14:paraId="7F4FBF73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sz w:val="24"/>
                <w:szCs w:val="24"/>
              </w:rPr>
              <w:t>Intended impact</w:t>
            </w:r>
          </w:p>
        </w:tc>
      </w:tr>
      <w:tr w:rsidR="002947CA" w:rsidRPr="00C05142" w14:paraId="3C571492" w14:textId="77777777" w:rsidTr="00732AFD">
        <w:trPr>
          <w:jc w:val="center"/>
        </w:trPr>
        <w:tc>
          <w:tcPr>
            <w:tcW w:w="3120" w:type="dxa"/>
            <w:vAlign w:val="center"/>
          </w:tcPr>
          <w:p w14:paraId="45C13543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Clinical immersion</w:t>
            </w:r>
          </w:p>
        </w:tc>
        <w:tc>
          <w:tcPr>
            <w:tcW w:w="3120" w:type="dxa"/>
            <w:vAlign w:val="center"/>
          </w:tcPr>
          <w:p w14:paraId="20252628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Structured specialty rotations; active integration into clinical teams</w:t>
            </w:r>
          </w:p>
        </w:tc>
        <w:tc>
          <w:tcPr>
            <w:tcW w:w="3120" w:type="dxa"/>
            <w:vAlign w:val="center"/>
          </w:tcPr>
          <w:p w14:paraId="4C3585B3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Normalize participation in medicine and provide immersive learning</w:t>
            </w:r>
          </w:p>
        </w:tc>
      </w:tr>
      <w:tr w:rsidR="002947CA" w:rsidRPr="00C05142" w14:paraId="369CCBBF" w14:textId="77777777" w:rsidTr="00732AFD">
        <w:trPr>
          <w:jc w:val="center"/>
        </w:trPr>
        <w:tc>
          <w:tcPr>
            <w:tcW w:w="3120" w:type="dxa"/>
            <w:vAlign w:val="center"/>
          </w:tcPr>
          <w:p w14:paraId="73BCF822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Simulation and skills</w:t>
            </w:r>
          </w:p>
        </w:tc>
        <w:tc>
          <w:tcPr>
            <w:tcW w:w="3120" w:type="dxa"/>
            <w:vAlign w:val="center"/>
          </w:tcPr>
          <w:p w14:paraId="33881B0D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Suturing, knot tying, FLS tasks, robotic simulation, ultrasound</w:t>
            </w:r>
          </w:p>
        </w:tc>
        <w:tc>
          <w:tcPr>
            <w:tcW w:w="3120" w:type="dxa"/>
            <w:vAlign w:val="center"/>
          </w:tcPr>
          <w:p w14:paraId="07828E61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Create early hands-on experiences and concrete evidence of capability</w:t>
            </w:r>
          </w:p>
        </w:tc>
      </w:tr>
      <w:tr w:rsidR="002947CA" w:rsidRPr="00C05142" w14:paraId="4115B9C9" w14:textId="77777777" w:rsidTr="00732AFD">
        <w:trPr>
          <w:jc w:val="center"/>
        </w:trPr>
        <w:tc>
          <w:tcPr>
            <w:tcW w:w="3120" w:type="dxa"/>
            <w:vAlign w:val="center"/>
          </w:tcPr>
          <w:p w14:paraId="3841342E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3120" w:type="dxa"/>
            <w:vAlign w:val="center"/>
          </w:tcPr>
          <w:p w14:paraId="387BA1BA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Mentored research proposal development, literature review, podium presentation</w:t>
            </w:r>
          </w:p>
        </w:tc>
        <w:tc>
          <w:tcPr>
            <w:tcW w:w="3120" w:type="dxa"/>
            <w:vAlign w:val="center"/>
          </w:tcPr>
          <w:p w14:paraId="79F82E50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Build academic curiosity, team communication, and scholarly output </w:t>
            </w:r>
          </w:p>
        </w:tc>
      </w:tr>
      <w:tr w:rsidR="002947CA" w:rsidRPr="00C05142" w14:paraId="2FF39677" w14:textId="77777777" w:rsidTr="00732AFD">
        <w:trPr>
          <w:jc w:val="center"/>
        </w:trPr>
        <w:tc>
          <w:tcPr>
            <w:tcW w:w="3120" w:type="dxa"/>
            <w:vAlign w:val="center"/>
          </w:tcPr>
          <w:p w14:paraId="79851E45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Professional preparation</w:t>
            </w:r>
          </w:p>
        </w:tc>
        <w:tc>
          <w:tcPr>
            <w:tcW w:w="3120" w:type="dxa"/>
            <w:vAlign w:val="center"/>
          </w:tcPr>
          <w:p w14:paraId="02E73D7F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MCAT strategy, CV and personal statement workshops, mock interviews, financial advising</w:t>
            </w:r>
          </w:p>
        </w:tc>
        <w:tc>
          <w:tcPr>
            <w:tcW w:w="3120" w:type="dxa"/>
            <w:vAlign w:val="center"/>
          </w:tcPr>
          <w:p w14:paraId="7C2EF17F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Provide practical tools and reduce hidden-curriculum barriers</w:t>
            </w:r>
          </w:p>
        </w:tc>
      </w:tr>
      <w:tr w:rsidR="002947CA" w:rsidRPr="00C05142" w14:paraId="20E458B7" w14:textId="77777777" w:rsidTr="00732AFD">
        <w:trPr>
          <w:jc w:val="center"/>
        </w:trPr>
        <w:tc>
          <w:tcPr>
            <w:tcW w:w="3120" w:type="dxa"/>
            <w:vAlign w:val="center"/>
          </w:tcPr>
          <w:p w14:paraId="2EE0316B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Mentorship and community</w:t>
            </w:r>
          </w:p>
        </w:tc>
        <w:tc>
          <w:tcPr>
            <w:tcW w:w="3120" w:type="dxa"/>
            <w:vAlign w:val="center"/>
          </w:tcPr>
          <w:p w14:paraId="69D495B5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Longitudinal career mentors, near-peer educators, cohort activities, follow-up meetings</w:t>
            </w:r>
          </w:p>
        </w:tc>
        <w:tc>
          <w:tcPr>
            <w:tcW w:w="3120" w:type="dxa"/>
            <w:vAlign w:val="center"/>
          </w:tcPr>
          <w:p w14:paraId="1B8037AB" w14:textId="77777777" w:rsidR="002947CA" w:rsidRPr="00C05142" w:rsidRDefault="002947CA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Create trust, accountability, shared experience, and sustained belonging</w:t>
            </w:r>
          </w:p>
        </w:tc>
      </w:tr>
    </w:tbl>
    <w:p w14:paraId="304486BD" w14:textId="77777777" w:rsidR="002947CA" w:rsidRDefault="002947CA"/>
    <w:sectPr w:rsidR="0029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CA"/>
    <w:rsid w:val="002947CA"/>
    <w:rsid w:val="008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D5975"/>
  <w15:chartTrackingRefBased/>
  <w15:docId w15:val="{DA094C56-A106-4C56-9BB5-D519C5D5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7CA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7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7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7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7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7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7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7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7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7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4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7C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4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7CA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4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7CA"/>
    <w:pPr>
      <w:spacing w:after="160"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4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7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947CA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Luo</dc:creator>
  <cp:keywords/>
  <dc:description/>
  <cp:lastModifiedBy>Cathy Luo</cp:lastModifiedBy>
  <cp:revision>1</cp:revision>
  <dcterms:created xsi:type="dcterms:W3CDTF">2026-06-15T04:56:00Z</dcterms:created>
  <dcterms:modified xsi:type="dcterms:W3CDTF">2026-06-15T04:57:00Z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59eab7df-2553-49d7-a641-cca610621b41</vt:lpwstr>
  </property>
</Properties>
</file>