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06D48B">
      <w:pPr>
        <w:jc w:val="center"/>
      </w:pPr>
      <w:r>
        <w:rPr>
          <w:b/>
          <w:sz w:val="28"/>
        </w:rPr>
        <w:t>CLAIM 2024 Checklist</w:t>
      </w:r>
    </w:p>
    <w:p w14:paraId="11957A51">
      <w:pPr>
        <w:jc w:val="center"/>
      </w:pPr>
      <w:r>
        <w:rPr>
          <w:i/>
          <w:sz w:val="20"/>
        </w:rPr>
        <w:t>Multimodal B-Mode and Contrast-Enhanced Ultrasound Radiomics With Two-Stage Supervised Contrastive Representation Learning for Differentiating Benign and Malignant Breast Lesions</w:t>
      </w:r>
    </w:p>
    <w:p w14:paraId="7EE41665">
      <w:pPr>
        <w:spacing w:after="60"/>
      </w:pPr>
      <w:r>
        <w:t>Prepared for Academic Radiology submission. Checklist items are based on the CLAIM 2024 Update. Page locations refer to the final manuscript PDF and the generated supplementary file.</w:t>
      </w:r>
    </w:p>
    <w:p w14:paraId="770F66DF">
      <w:pPr>
        <w:spacing w:after="60"/>
      </w:pPr>
      <w:r>
        <w:t>Note: CLAIM 2024 includes Yes/No/NA response options. This completed checklist uses page numbers rather than line numbers because the submitted PDF was provided without line numbering.</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24"/>
        <w:gridCol w:w="2424"/>
        <w:gridCol w:w="2424"/>
        <w:gridCol w:w="2424"/>
        <w:gridCol w:w="2424"/>
        <w:gridCol w:w="2424"/>
      </w:tblGrid>
      <w:tr w14:paraId="25C9C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24" w:type="dxa"/>
            <w:shd w:val="clear" w:color="auto" w:fill="1F4E79"/>
            <w:vAlign w:val="top"/>
          </w:tcPr>
          <w:p w14:paraId="1DF3F066">
            <w:pPr>
              <w:spacing w:after="0" w:line="240" w:lineRule="auto"/>
            </w:pPr>
            <w:r>
              <w:rPr>
                <w:b/>
                <w:color w:val="FFFFFF"/>
                <w:sz w:val="16"/>
              </w:rPr>
              <w:t>Section / Topic</w:t>
            </w:r>
          </w:p>
        </w:tc>
        <w:tc>
          <w:tcPr>
            <w:tcW w:w="2424" w:type="dxa"/>
            <w:shd w:val="clear" w:color="auto" w:fill="1F4E79"/>
            <w:vAlign w:val="top"/>
          </w:tcPr>
          <w:p w14:paraId="6B5B318A">
            <w:pPr>
              <w:spacing w:after="0" w:line="240" w:lineRule="auto"/>
            </w:pPr>
            <w:r>
              <w:rPr>
                <w:b/>
                <w:color w:val="FFFFFF"/>
                <w:sz w:val="16"/>
              </w:rPr>
              <w:t>Item</w:t>
            </w:r>
          </w:p>
        </w:tc>
        <w:tc>
          <w:tcPr>
            <w:tcW w:w="2424" w:type="dxa"/>
            <w:shd w:val="clear" w:color="auto" w:fill="1F4E79"/>
            <w:vAlign w:val="top"/>
          </w:tcPr>
          <w:p w14:paraId="0DFFB071">
            <w:pPr>
              <w:spacing w:after="0" w:line="240" w:lineRule="auto"/>
            </w:pPr>
            <w:r>
              <w:rPr>
                <w:b/>
                <w:color w:val="FFFFFF"/>
                <w:sz w:val="16"/>
              </w:rPr>
              <w:t>CLAIM 2024 item</w:t>
            </w:r>
          </w:p>
        </w:tc>
        <w:tc>
          <w:tcPr>
            <w:tcW w:w="2424" w:type="dxa"/>
            <w:shd w:val="clear" w:color="auto" w:fill="1F4E79"/>
            <w:vAlign w:val="top"/>
          </w:tcPr>
          <w:p w14:paraId="125E73A7">
            <w:pPr>
              <w:spacing w:after="0" w:line="240" w:lineRule="auto"/>
            </w:pPr>
            <w:r>
              <w:rPr>
                <w:b/>
                <w:color w:val="FFFFFF"/>
                <w:sz w:val="16"/>
              </w:rPr>
              <w:t>Response</w:t>
            </w:r>
          </w:p>
        </w:tc>
        <w:tc>
          <w:tcPr>
            <w:tcW w:w="2424" w:type="dxa"/>
            <w:shd w:val="clear" w:color="auto" w:fill="1F4E79"/>
            <w:vAlign w:val="top"/>
          </w:tcPr>
          <w:p w14:paraId="4E1F6C0E">
            <w:pPr>
              <w:spacing w:after="0" w:line="240" w:lineRule="auto"/>
            </w:pPr>
            <w:r>
              <w:rPr>
                <w:b/>
                <w:color w:val="FFFFFF"/>
                <w:sz w:val="16"/>
              </w:rPr>
              <w:t>Location</w:t>
            </w:r>
          </w:p>
        </w:tc>
        <w:tc>
          <w:tcPr>
            <w:tcW w:w="2424" w:type="dxa"/>
            <w:shd w:val="clear" w:color="auto" w:fill="1F4E79"/>
            <w:vAlign w:val="top"/>
          </w:tcPr>
          <w:p w14:paraId="6685374D">
            <w:pPr>
              <w:spacing w:after="0" w:line="240" w:lineRule="auto"/>
            </w:pPr>
            <w:r>
              <w:rPr>
                <w:b/>
                <w:color w:val="FFFFFF"/>
                <w:sz w:val="16"/>
              </w:rPr>
              <w:t>Explanation / action</w:t>
            </w:r>
          </w:p>
        </w:tc>
      </w:tr>
      <w:tr w14:paraId="25664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24" w:type="dxa"/>
            <w:vAlign w:val="top"/>
          </w:tcPr>
          <w:p w14:paraId="7FDB0A75">
            <w:pPr>
              <w:spacing w:after="0" w:line="240" w:lineRule="auto"/>
            </w:pPr>
            <w:r>
              <w:rPr>
                <w:b w:val="0"/>
                <w:sz w:val="14"/>
              </w:rPr>
              <w:t>TITLE/ABSTRACT</w:t>
            </w:r>
          </w:p>
        </w:tc>
        <w:tc>
          <w:tcPr>
            <w:tcW w:w="2424" w:type="dxa"/>
            <w:vAlign w:val="top"/>
          </w:tcPr>
          <w:p w14:paraId="5DD254DC">
            <w:pPr>
              <w:spacing w:after="0" w:line="240" w:lineRule="auto"/>
            </w:pPr>
            <w:r>
              <w:rPr>
                <w:b w:val="0"/>
                <w:sz w:val="14"/>
              </w:rPr>
              <w:t>1</w:t>
            </w:r>
          </w:p>
        </w:tc>
        <w:tc>
          <w:tcPr>
            <w:tcW w:w="2424" w:type="dxa"/>
            <w:vAlign w:val="top"/>
          </w:tcPr>
          <w:p w14:paraId="3C1FDC84">
            <w:pPr>
              <w:spacing w:after="0" w:line="240" w:lineRule="auto"/>
            </w:pPr>
            <w:r>
              <w:rPr>
                <w:b w:val="0"/>
                <w:sz w:val="14"/>
              </w:rPr>
              <w:t>Identification as a study of AI methodology, specifying the category of technology used (eg, deep learning)</w:t>
            </w:r>
          </w:p>
        </w:tc>
        <w:tc>
          <w:tcPr>
            <w:tcW w:w="2424" w:type="dxa"/>
            <w:shd w:val="clear" w:color="auto" w:fill="E2F0D9"/>
            <w:vAlign w:val="top"/>
          </w:tcPr>
          <w:p w14:paraId="37FD17E0">
            <w:pPr>
              <w:spacing w:after="0" w:line="240" w:lineRule="auto"/>
            </w:pPr>
            <w:r>
              <w:rPr>
                <w:b w:val="0"/>
                <w:sz w:val="14"/>
              </w:rPr>
              <w:t>Yes</w:t>
            </w:r>
          </w:p>
        </w:tc>
        <w:tc>
          <w:tcPr>
            <w:tcW w:w="2424" w:type="dxa"/>
            <w:vAlign w:val="top"/>
          </w:tcPr>
          <w:p w14:paraId="4D87FDDD">
            <w:pPr>
              <w:spacing w:after="0" w:line="240" w:lineRule="auto"/>
            </w:pPr>
            <w:r>
              <w:rPr>
                <w:b w:val="0"/>
                <w:sz w:val="14"/>
              </w:rPr>
              <w:t>Title/Abstract, p. 1</w:t>
            </w:r>
          </w:p>
        </w:tc>
        <w:tc>
          <w:tcPr>
            <w:tcW w:w="2424" w:type="dxa"/>
            <w:vAlign w:val="top"/>
          </w:tcPr>
          <w:p w14:paraId="3991126B">
            <w:pPr>
              <w:spacing w:after="0" w:line="240" w:lineRule="auto"/>
            </w:pPr>
            <w:r>
              <w:rPr>
                <w:b w:val="0"/>
                <w:sz w:val="14"/>
              </w:rPr>
              <w:t>Title and abstract identify radiomics-based TSMCR, MLP, SVM, and ResNet18-TSMCR. The study is primarily radiomics plus AI representation learning.</w:t>
            </w:r>
          </w:p>
        </w:tc>
      </w:tr>
      <w:tr w14:paraId="1662C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24" w:type="dxa"/>
            <w:vAlign w:val="top"/>
          </w:tcPr>
          <w:p w14:paraId="67DB7A4F">
            <w:pPr>
              <w:spacing w:after="0" w:line="240" w:lineRule="auto"/>
            </w:pPr>
            <w:r>
              <w:rPr>
                <w:b w:val="0"/>
                <w:sz w:val="14"/>
              </w:rPr>
              <w:t>ABSTRACT</w:t>
            </w:r>
          </w:p>
        </w:tc>
        <w:tc>
          <w:tcPr>
            <w:tcW w:w="2424" w:type="dxa"/>
            <w:vAlign w:val="top"/>
          </w:tcPr>
          <w:p w14:paraId="6D68057A">
            <w:pPr>
              <w:spacing w:after="0" w:line="240" w:lineRule="auto"/>
            </w:pPr>
            <w:r>
              <w:rPr>
                <w:b w:val="0"/>
                <w:sz w:val="14"/>
              </w:rPr>
              <w:t>2</w:t>
            </w:r>
          </w:p>
        </w:tc>
        <w:tc>
          <w:tcPr>
            <w:tcW w:w="2424" w:type="dxa"/>
            <w:vAlign w:val="top"/>
          </w:tcPr>
          <w:p w14:paraId="5ECCAEEB">
            <w:pPr>
              <w:spacing w:after="0" w:line="240" w:lineRule="auto"/>
            </w:pPr>
            <w:r>
              <w:rPr>
                <w:b w:val="0"/>
                <w:sz w:val="14"/>
              </w:rPr>
              <w:t>Summary of study design, methods, results, and conclusions</w:t>
            </w:r>
          </w:p>
        </w:tc>
        <w:tc>
          <w:tcPr>
            <w:tcW w:w="2424" w:type="dxa"/>
            <w:shd w:val="clear" w:color="auto" w:fill="E2F0D9"/>
            <w:vAlign w:val="top"/>
          </w:tcPr>
          <w:p w14:paraId="13848234">
            <w:pPr>
              <w:spacing w:after="0" w:line="240" w:lineRule="auto"/>
            </w:pPr>
            <w:r>
              <w:rPr>
                <w:b w:val="0"/>
                <w:sz w:val="14"/>
              </w:rPr>
              <w:t>Yes</w:t>
            </w:r>
          </w:p>
        </w:tc>
        <w:tc>
          <w:tcPr>
            <w:tcW w:w="2424" w:type="dxa"/>
            <w:vAlign w:val="top"/>
          </w:tcPr>
          <w:p w14:paraId="42ACA76A">
            <w:pPr>
              <w:spacing w:after="0" w:line="240" w:lineRule="auto"/>
            </w:pPr>
            <w:r>
              <w:rPr>
                <w:b w:val="0"/>
                <w:sz w:val="14"/>
              </w:rPr>
              <w:t>Abstract, pp. 1–2</w:t>
            </w:r>
          </w:p>
        </w:tc>
        <w:tc>
          <w:tcPr>
            <w:tcW w:w="2424" w:type="dxa"/>
            <w:vAlign w:val="top"/>
          </w:tcPr>
          <w:p w14:paraId="7AAB95AE">
            <w:pPr>
              <w:spacing w:after="0" w:line="240" w:lineRule="auto"/>
            </w:pPr>
            <w:r>
              <w:rPr>
                <w:b w:val="0"/>
                <w:sz w:val="14"/>
              </w:rPr>
              <w:t>Structured abstract reports retrospective single-center design, sample size, models, metrics, key AUCs, recalibration findings, and conclusion. Availability details are provided in the declarations rather than the abstract.</w:t>
            </w:r>
          </w:p>
        </w:tc>
      </w:tr>
      <w:tr w14:paraId="1B538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24" w:type="dxa"/>
            <w:vAlign w:val="top"/>
          </w:tcPr>
          <w:p w14:paraId="5379780D">
            <w:pPr>
              <w:spacing w:after="0" w:line="240" w:lineRule="auto"/>
            </w:pPr>
            <w:r>
              <w:rPr>
                <w:b w:val="0"/>
                <w:sz w:val="14"/>
              </w:rPr>
              <w:t>INTRODUCTION</w:t>
            </w:r>
          </w:p>
        </w:tc>
        <w:tc>
          <w:tcPr>
            <w:tcW w:w="2424" w:type="dxa"/>
            <w:vAlign w:val="top"/>
          </w:tcPr>
          <w:p w14:paraId="7BC42EAF">
            <w:pPr>
              <w:spacing w:after="0" w:line="240" w:lineRule="auto"/>
            </w:pPr>
            <w:r>
              <w:rPr>
                <w:b w:val="0"/>
                <w:sz w:val="14"/>
              </w:rPr>
              <w:t>3</w:t>
            </w:r>
          </w:p>
        </w:tc>
        <w:tc>
          <w:tcPr>
            <w:tcW w:w="2424" w:type="dxa"/>
            <w:vAlign w:val="top"/>
          </w:tcPr>
          <w:p w14:paraId="2CBB24B9">
            <w:pPr>
              <w:spacing w:after="0" w:line="240" w:lineRule="auto"/>
            </w:pPr>
            <w:r>
              <w:rPr>
                <w:b w:val="0"/>
                <w:sz w:val="14"/>
              </w:rPr>
              <w:t>Scientific and/or clinical background, including the intended use and role of the AI approach</w:t>
            </w:r>
          </w:p>
        </w:tc>
        <w:tc>
          <w:tcPr>
            <w:tcW w:w="2424" w:type="dxa"/>
            <w:shd w:val="clear" w:color="auto" w:fill="E2F0D9"/>
            <w:vAlign w:val="top"/>
          </w:tcPr>
          <w:p w14:paraId="1281EAAA">
            <w:pPr>
              <w:spacing w:after="0" w:line="240" w:lineRule="auto"/>
            </w:pPr>
            <w:r>
              <w:rPr>
                <w:b w:val="0"/>
                <w:sz w:val="14"/>
              </w:rPr>
              <w:t>Yes</w:t>
            </w:r>
          </w:p>
        </w:tc>
        <w:tc>
          <w:tcPr>
            <w:tcW w:w="2424" w:type="dxa"/>
            <w:vAlign w:val="top"/>
          </w:tcPr>
          <w:p w14:paraId="28C3170C">
            <w:pPr>
              <w:spacing w:after="0" w:line="240" w:lineRule="auto"/>
            </w:pPr>
            <w:r>
              <w:rPr>
                <w:b w:val="0"/>
                <w:sz w:val="14"/>
              </w:rPr>
              <w:t>Introduction, pp. 2–3</w:t>
            </w:r>
          </w:p>
        </w:tc>
        <w:tc>
          <w:tcPr>
            <w:tcW w:w="2424" w:type="dxa"/>
            <w:vAlign w:val="top"/>
          </w:tcPr>
          <w:p w14:paraId="0D44C69E">
            <w:pPr>
              <w:spacing w:after="0" w:line="240" w:lineRule="auto"/>
            </w:pPr>
            <w:r>
              <w:rPr>
                <w:b w:val="0"/>
                <w:sz w:val="14"/>
              </w:rPr>
              <w:t>Clinical need, BUS and CEUS complementarity, radiomics rationale, and TSMCR rationale are reported.</w:t>
            </w:r>
          </w:p>
        </w:tc>
      </w:tr>
      <w:tr w14:paraId="0778C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24" w:type="dxa"/>
            <w:vAlign w:val="top"/>
          </w:tcPr>
          <w:p w14:paraId="2340681A">
            <w:pPr>
              <w:spacing w:after="0" w:line="240" w:lineRule="auto"/>
            </w:pPr>
            <w:r>
              <w:rPr>
                <w:b w:val="0"/>
                <w:sz w:val="14"/>
              </w:rPr>
              <w:t>INTRODUCTION</w:t>
            </w:r>
          </w:p>
        </w:tc>
        <w:tc>
          <w:tcPr>
            <w:tcW w:w="2424" w:type="dxa"/>
            <w:vAlign w:val="top"/>
          </w:tcPr>
          <w:p w14:paraId="528C6AD1">
            <w:pPr>
              <w:spacing w:after="0" w:line="240" w:lineRule="auto"/>
            </w:pPr>
            <w:r>
              <w:rPr>
                <w:b w:val="0"/>
                <w:sz w:val="14"/>
              </w:rPr>
              <w:t>4</w:t>
            </w:r>
          </w:p>
        </w:tc>
        <w:tc>
          <w:tcPr>
            <w:tcW w:w="2424" w:type="dxa"/>
            <w:vAlign w:val="top"/>
          </w:tcPr>
          <w:p w14:paraId="48EE2457">
            <w:pPr>
              <w:spacing w:after="0" w:line="240" w:lineRule="auto"/>
            </w:pPr>
            <w:r>
              <w:rPr>
                <w:b w:val="0"/>
                <w:sz w:val="14"/>
              </w:rPr>
              <w:t>Study aims, objectives, and hypotheses</w:t>
            </w:r>
          </w:p>
        </w:tc>
        <w:tc>
          <w:tcPr>
            <w:tcW w:w="2424" w:type="dxa"/>
            <w:shd w:val="clear" w:color="auto" w:fill="E2F0D9"/>
            <w:vAlign w:val="top"/>
          </w:tcPr>
          <w:p w14:paraId="658F503D">
            <w:pPr>
              <w:spacing w:after="0" w:line="240" w:lineRule="auto"/>
            </w:pPr>
            <w:r>
              <w:rPr>
                <w:b w:val="0"/>
                <w:sz w:val="14"/>
              </w:rPr>
              <w:t>Yes</w:t>
            </w:r>
          </w:p>
        </w:tc>
        <w:tc>
          <w:tcPr>
            <w:tcW w:w="2424" w:type="dxa"/>
            <w:vAlign w:val="top"/>
          </w:tcPr>
          <w:p w14:paraId="2E20E28D">
            <w:pPr>
              <w:spacing w:after="0" w:line="240" w:lineRule="auto"/>
            </w:pPr>
            <w:r>
              <w:rPr>
                <w:b w:val="0"/>
                <w:sz w:val="14"/>
              </w:rPr>
              <w:t>End of Introduction, p. 3</w:t>
            </w:r>
          </w:p>
        </w:tc>
        <w:tc>
          <w:tcPr>
            <w:tcW w:w="2424" w:type="dxa"/>
            <w:vAlign w:val="top"/>
          </w:tcPr>
          <w:p w14:paraId="0319D386">
            <w:pPr>
              <w:spacing w:after="0" w:line="240" w:lineRule="auto"/>
            </w:pPr>
            <w:r>
              <w:rPr>
                <w:b w:val="0"/>
                <w:sz w:val="14"/>
              </w:rPr>
              <w:t>Objective is stated: adapt TSMCR to paired BUS and CEUS radiomics for benign–malignant differentiation.</w:t>
            </w:r>
          </w:p>
        </w:tc>
      </w:tr>
      <w:tr w14:paraId="23204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24" w:type="dxa"/>
            <w:vAlign w:val="top"/>
          </w:tcPr>
          <w:p w14:paraId="276EFA48">
            <w:pPr>
              <w:spacing w:after="0" w:line="240" w:lineRule="auto"/>
            </w:pPr>
            <w:r>
              <w:rPr>
                <w:b w:val="0"/>
                <w:sz w:val="14"/>
              </w:rPr>
              <w:t>METHODS: Study Design</w:t>
            </w:r>
          </w:p>
        </w:tc>
        <w:tc>
          <w:tcPr>
            <w:tcW w:w="2424" w:type="dxa"/>
            <w:vAlign w:val="top"/>
          </w:tcPr>
          <w:p w14:paraId="03EE4D11">
            <w:pPr>
              <w:spacing w:after="0" w:line="240" w:lineRule="auto"/>
            </w:pPr>
            <w:r>
              <w:rPr>
                <w:b w:val="0"/>
                <w:sz w:val="14"/>
              </w:rPr>
              <w:t>5</w:t>
            </w:r>
          </w:p>
        </w:tc>
        <w:tc>
          <w:tcPr>
            <w:tcW w:w="2424" w:type="dxa"/>
            <w:vAlign w:val="top"/>
          </w:tcPr>
          <w:p w14:paraId="6D02130B">
            <w:pPr>
              <w:spacing w:after="0" w:line="240" w:lineRule="auto"/>
            </w:pPr>
            <w:r>
              <w:rPr>
                <w:b w:val="0"/>
                <w:sz w:val="14"/>
              </w:rPr>
              <w:t>Prospective or retrospective study</w:t>
            </w:r>
          </w:p>
        </w:tc>
        <w:tc>
          <w:tcPr>
            <w:tcW w:w="2424" w:type="dxa"/>
            <w:shd w:val="clear" w:color="auto" w:fill="E2F0D9"/>
            <w:vAlign w:val="top"/>
          </w:tcPr>
          <w:p w14:paraId="5F6AAC03">
            <w:pPr>
              <w:spacing w:after="0" w:line="240" w:lineRule="auto"/>
            </w:pPr>
            <w:r>
              <w:rPr>
                <w:b w:val="0"/>
                <w:sz w:val="14"/>
              </w:rPr>
              <w:t>Yes</w:t>
            </w:r>
          </w:p>
        </w:tc>
        <w:tc>
          <w:tcPr>
            <w:tcW w:w="2424" w:type="dxa"/>
            <w:vAlign w:val="top"/>
          </w:tcPr>
          <w:p w14:paraId="4DF823C8">
            <w:pPr>
              <w:spacing w:after="0" w:line="240" w:lineRule="auto"/>
            </w:pPr>
            <w:r>
              <w:rPr>
                <w:b w:val="0"/>
                <w:sz w:val="14"/>
              </w:rPr>
              <w:t>Study Population, p. 3</w:t>
            </w:r>
          </w:p>
        </w:tc>
        <w:tc>
          <w:tcPr>
            <w:tcW w:w="2424" w:type="dxa"/>
            <w:vAlign w:val="top"/>
          </w:tcPr>
          <w:p w14:paraId="70B0FAC5">
            <w:pPr>
              <w:spacing w:after="0" w:line="240" w:lineRule="auto"/>
            </w:pPr>
            <w:r>
              <w:rPr>
                <w:b w:val="0"/>
                <w:sz w:val="14"/>
              </w:rPr>
              <w:t>Retrospective single-center design is explicitly stated.</w:t>
            </w:r>
          </w:p>
        </w:tc>
      </w:tr>
      <w:tr w14:paraId="110DB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24" w:type="dxa"/>
            <w:vAlign w:val="top"/>
          </w:tcPr>
          <w:p w14:paraId="0B7DD5DF">
            <w:pPr>
              <w:spacing w:after="0" w:line="240" w:lineRule="auto"/>
            </w:pPr>
            <w:r>
              <w:rPr>
                <w:b w:val="0"/>
                <w:sz w:val="14"/>
              </w:rPr>
              <w:t>METHODS: Study Design</w:t>
            </w:r>
          </w:p>
        </w:tc>
        <w:tc>
          <w:tcPr>
            <w:tcW w:w="2424" w:type="dxa"/>
            <w:vAlign w:val="top"/>
          </w:tcPr>
          <w:p w14:paraId="2DD05A3A">
            <w:pPr>
              <w:spacing w:after="0" w:line="240" w:lineRule="auto"/>
            </w:pPr>
            <w:r>
              <w:rPr>
                <w:b w:val="0"/>
                <w:sz w:val="14"/>
              </w:rPr>
              <w:t>6</w:t>
            </w:r>
          </w:p>
        </w:tc>
        <w:tc>
          <w:tcPr>
            <w:tcW w:w="2424" w:type="dxa"/>
            <w:vAlign w:val="top"/>
          </w:tcPr>
          <w:p w14:paraId="1D413871">
            <w:pPr>
              <w:spacing w:after="0" w:line="240" w:lineRule="auto"/>
            </w:pPr>
            <w:r>
              <w:rPr>
                <w:b w:val="0"/>
                <w:sz w:val="14"/>
              </w:rPr>
              <w:t>Study goal</w:t>
            </w:r>
          </w:p>
        </w:tc>
        <w:tc>
          <w:tcPr>
            <w:tcW w:w="2424" w:type="dxa"/>
            <w:shd w:val="clear" w:color="auto" w:fill="E2F0D9"/>
            <w:vAlign w:val="top"/>
          </w:tcPr>
          <w:p w14:paraId="509C5510">
            <w:pPr>
              <w:spacing w:after="0" w:line="240" w:lineRule="auto"/>
            </w:pPr>
            <w:r>
              <w:rPr>
                <w:b w:val="0"/>
                <w:sz w:val="14"/>
              </w:rPr>
              <w:t>Yes</w:t>
            </w:r>
          </w:p>
        </w:tc>
        <w:tc>
          <w:tcPr>
            <w:tcW w:w="2424" w:type="dxa"/>
            <w:vAlign w:val="top"/>
          </w:tcPr>
          <w:p w14:paraId="7072633B">
            <w:pPr>
              <w:spacing w:after="0" w:line="240" w:lineRule="auto"/>
            </w:pPr>
            <w:r>
              <w:rPr>
                <w:b w:val="0"/>
                <w:sz w:val="14"/>
              </w:rPr>
              <w:t>Abstract, p. 1; Model Development, p. 6</w:t>
            </w:r>
          </w:p>
        </w:tc>
        <w:tc>
          <w:tcPr>
            <w:tcW w:w="2424" w:type="dxa"/>
            <w:vAlign w:val="top"/>
          </w:tcPr>
          <w:p w14:paraId="71D23AA1">
            <w:pPr>
              <w:spacing w:after="0" w:line="240" w:lineRule="auto"/>
            </w:pPr>
            <w:r>
              <w:rPr>
                <w:b w:val="0"/>
                <w:sz w:val="14"/>
              </w:rPr>
              <w:t>Goal is internal development and testing of BUS/CEUS radiomics and TSMCR-based classification models for malignancy risk ranking/classification.</w:t>
            </w:r>
          </w:p>
        </w:tc>
      </w:tr>
      <w:tr w14:paraId="577D9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24" w:type="dxa"/>
            <w:vAlign w:val="top"/>
          </w:tcPr>
          <w:p w14:paraId="4679A2CB">
            <w:pPr>
              <w:spacing w:after="0" w:line="240" w:lineRule="auto"/>
            </w:pPr>
            <w:r>
              <w:rPr>
                <w:b w:val="0"/>
                <w:sz w:val="14"/>
              </w:rPr>
              <w:t>METHODS: Data</w:t>
            </w:r>
          </w:p>
        </w:tc>
        <w:tc>
          <w:tcPr>
            <w:tcW w:w="2424" w:type="dxa"/>
            <w:vAlign w:val="top"/>
          </w:tcPr>
          <w:p w14:paraId="3296A958">
            <w:pPr>
              <w:spacing w:after="0" w:line="240" w:lineRule="auto"/>
            </w:pPr>
            <w:r>
              <w:rPr>
                <w:b w:val="0"/>
                <w:sz w:val="14"/>
              </w:rPr>
              <w:t>7</w:t>
            </w:r>
          </w:p>
        </w:tc>
        <w:tc>
          <w:tcPr>
            <w:tcW w:w="2424" w:type="dxa"/>
            <w:vAlign w:val="top"/>
          </w:tcPr>
          <w:p w14:paraId="64F0A450">
            <w:pPr>
              <w:spacing w:after="0" w:line="240" w:lineRule="auto"/>
            </w:pPr>
            <w:r>
              <w:rPr>
                <w:b w:val="0"/>
                <w:sz w:val="14"/>
              </w:rPr>
              <w:t>Data sources</w:t>
            </w:r>
          </w:p>
        </w:tc>
        <w:tc>
          <w:tcPr>
            <w:tcW w:w="2424" w:type="dxa"/>
            <w:shd w:val="clear" w:color="auto" w:fill="E2F0D9"/>
            <w:vAlign w:val="top"/>
          </w:tcPr>
          <w:p w14:paraId="1CC60219">
            <w:pPr>
              <w:spacing w:after="0" w:line="240" w:lineRule="auto"/>
            </w:pPr>
            <w:r>
              <w:rPr>
                <w:b w:val="0"/>
                <w:sz w:val="14"/>
              </w:rPr>
              <w:t>Yes</w:t>
            </w:r>
          </w:p>
        </w:tc>
        <w:tc>
          <w:tcPr>
            <w:tcW w:w="2424" w:type="dxa"/>
            <w:vAlign w:val="top"/>
          </w:tcPr>
          <w:p w14:paraId="5A85B1EB">
            <w:pPr>
              <w:spacing w:after="0" w:line="240" w:lineRule="auto"/>
            </w:pPr>
            <w:r>
              <w:rPr>
                <w:b w:val="0"/>
                <w:sz w:val="14"/>
              </w:rPr>
              <w:t>Study Population, pp. 3–4</w:t>
            </w:r>
          </w:p>
        </w:tc>
        <w:tc>
          <w:tcPr>
            <w:tcW w:w="2424" w:type="dxa"/>
            <w:vAlign w:val="top"/>
          </w:tcPr>
          <w:p w14:paraId="4D6E8B7E">
            <w:pPr>
              <w:spacing w:after="0" w:line="240" w:lineRule="auto"/>
            </w:pPr>
            <w:r>
              <w:rPr>
                <w:b w:val="0"/>
                <w:sz w:val="14"/>
              </w:rPr>
              <w:t>Data source is a single participating institution, 2020–2022, including BUS and CEUS examinations with pathologic confirmation.</w:t>
            </w:r>
          </w:p>
        </w:tc>
      </w:tr>
      <w:tr w14:paraId="2668A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24" w:type="dxa"/>
            <w:vAlign w:val="top"/>
          </w:tcPr>
          <w:p w14:paraId="2D8918FE">
            <w:pPr>
              <w:spacing w:after="0" w:line="240" w:lineRule="auto"/>
            </w:pPr>
            <w:r>
              <w:rPr>
                <w:b w:val="0"/>
                <w:sz w:val="14"/>
              </w:rPr>
              <w:t>METHODS: Data</w:t>
            </w:r>
          </w:p>
        </w:tc>
        <w:tc>
          <w:tcPr>
            <w:tcW w:w="2424" w:type="dxa"/>
            <w:vAlign w:val="top"/>
          </w:tcPr>
          <w:p w14:paraId="0F12DA0F">
            <w:pPr>
              <w:spacing w:after="0" w:line="240" w:lineRule="auto"/>
            </w:pPr>
            <w:r>
              <w:rPr>
                <w:b w:val="0"/>
                <w:sz w:val="14"/>
              </w:rPr>
              <w:t>8</w:t>
            </w:r>
          </w:p>
        </w:tc>
        <w:tc>
          <w:tcPr>
            <w:tcW w:w="2424" w:type="dxa"/>
            <w:vAlign w:val="top"/>
          </w:tcPr>
          <w:p w14:paraId="4254FC43">
            <w:pPr>
              <w:spacing w:after="0" w:line="240" w:lineRule="auto"/>
            </w:pPr>
            <w:r>
              <w:rPr>
                <w:b w:val="0"/>
                <w:sz w:val="14"/>
              </w:rPr>
              <w:t>Inclusion and exclusion criteria</w:t>
            </w:r>
          </w:p>
        </w:tc>
        <w:tc>
          <w:tcPr>
            <w:tcW w:w="2424" w:type="dxa"/>
            <w:shd w:val="clear" w:color="auto" w:fill="E2F0D9"/>
            <w:vAlign w:val="top"/>
          </w:tcPr>
          <w:p w14:paraId="376E5675">
            <w:pPr>
              <w:spacing w:after="0" w:line="240" w:lineRule="auto"/>
            </w:pPr>
            <w:r>
              <w:rPr>
                <w:b w:val="0"/>
                <w:sz w:val="14"/>
              </w:rPr>
              <w:t>Yes</w:t>
            </w:r>
          </w:p>
        </w:tc>
        <w:tc>
          <w:tcPr>
            <w:tcW w:w="2424" w:type="dxa"/>
            <w:vAlign w:val="top"/>
          </w:tcPr>
          <w:p w14:paraId="1E856C69">
            <w:pPr>
              <w:spacing w:after="0" w:line="240" w:lineRule="auto"/>
            </w:pPr>
            <w:r>
              <w:rPr>
                <w:b w:val="0"/>
                <w:sz w:val="14"/>
              </w:rPr>
              <w:t>Study Population, pp. 3–4; Fig. 1</w:t>
            </w:r>
          </w:p>
        </w:tc>
        <w:tc>
          <w:tcPr>
            <w:tcW w:w="2424" w:type="dxa"/>
            <w:vAlign w:val="top"/>
          </w:tcPr>
          <w:p w14:paraId="48C9B19C">
            <w:pPr>
              <w:spacing w:after="0" w:line="240" w:lineRule="auto"/>
            </w:pPr>
            <w:r>
              <w:rPr>
                <w:b w:val="0"/>
                <w:sz w:val="14"/>
              </w:rPr>
              <w:t>Eligibility and exclusion criteria are listed; Fig. 1 summarizes patient selection.</w:t>
            </w:r>
          </w:p>
        </w:tc>
      </w:tr>
      <w:tr w14:paraId="5A0CB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24" w:type="dxa"/>
            <w:vAlign w:val="top"/>
          </w:tcPr>
          <w:p w14:paraId="50C89725">
            <w:pPr>
              <w:spacing w:after="0" w:line="240" w:lineRule="auto"/>
            </w:pPr>
            <w:r>
              <w:rPr>
                <w:b w:val="0"/>
                <w:sz w:val="14"/>
              </w:rPr>
              <w:t>METHODS: Data</w:t>
            </w:r>
          </w:p>
        </w:tc>
        <w:tc>
          <w:tcPr>
            <w:tcW w:w="2424" w:type="dxa"/>
            <w:vAlign w:val="top"/>
          </w:tcPr>
          <w:p w14:paraId="22BF5898">
            <w:pPr>
              <w:spacing w:after="0" w:line="240" w:lineRule="auto"/>
            </w:pPr>
            <w:r>
              <w:rPr>
                <w:b w:val="0"/>
                <w:sz w:val="14"/>
              </w:rPr>
              <w:t>9</w:t>
            </w:r>
          </w:p>
        </w:tc>
        <w:tc>
          <w:tcPr>
            <w:tcW w:w="2424" w:type="dxa"/>
            <w:vAlign w:val="top"/>
          </w:tcPr>
          <w:p w14:paraId="2EFB63BC">
            <w:pPr>
              <w:spacing w:after="0" w:line="240" w:lineRule="auto"/>
            </w:pPr>
            <w:r>
              <w:rPr>
                <w:b w:val="0"/>
                <w:sz w:val="14"/>
              </w:rPr>
              <w:t>Data preprocessing</w:t>
            </w:r>
          </w:p>
        </w:tc>
        <w:tc>
          <w:tcPr>
            <w:tcW w:w="2424" w:type="dxa"/>
            <w:shd w:val="clear" w:color="auto" w:fill="E2F0D9"/>
            <w:vAlign w:val="top"/>
          </w:tcPr>
          <w:p w14:paraId="4EC4E834">
            <w:pPr>
              <w:spacing w:after="0" w:line="240" w:lineRule="auto"/>
            </w:pPr>
            <w:r>
              <w:rPr>
                <w:b w:val="0"/>
                <w:sz w:val="14"/>
              </w:rPr>
              <w:t>Yes</w:t>
            </w:r>
          </w:p>
        </w:tc>
        <w:tc>
          <w:tcPr>
            <w:tcW w:w="2424" w:type="dxa"/>
            <w:vAlign w:val="top"/>
          </w:tcPr>
          <w:p w14:paraId="50C1166F">
            <w:pPr>
              <w:spacing w:after="0" w:line="240" w:lineRule="auto"/>
            </w:pPr>
            <w:r>
              <w:rPr>
                <w:b w:val="0"/>
                <w:sz w:val="14"/>
              </w:rPr>
              <w:t>ROI Segmentation and Radiomics Feature Extraction, pp. 4–5; Supplementary Table S5</w:t>
            </w:r>
          </w:p>
        </w:tc>
        <w:tc>
          <w:tcPr>
            <w:tcW w:w="2424" w:type="dxa"/>
            <w:vAlign w:val="top"/>
          </w:tcPr>
          <w:p w14:paraId="404658C4">
            <w:pPr>
              <w:spacing w:after="0" w:line="240" w:lineRule="auto"/>
            </w:pPr>
            <w:r>
              <w:rPr>
                <w:b w:val="0"/>
                <w:sz w:val="14"/>
              </w:rPr>
              <w:t>ROI delineation, CEUS peak-frame selection, PyRadiomics, ICC filtering, median imputation, z-score standardization, and image-patch resizing/normalization are described.</w:t>
            </w:r>
          </w:p>
        </w:tc>
      </w:tr>
      <w:tr w14:paraId="7A56B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24" w:type="dxa"/>
            <w:vAlign w:val="top"/>
          </w:tcPr>
          <w:p w14:paraId="57EF8A7C">
            <w:pPr>
              <w:spacing w:after="0" w:line="240" w:lineRule="auto"/>
            </w:pPr>
            <w:r>
              <w:rPr>
                <w:b w:val="0"/>
                <w:sz w:val="14"/>
              </w:rPr>
              <w:t>METHODS: Data</w:t>
            </w:r>
          </w:p>
        </w:tc>
        <w:tc>
          <w:tcPr>
            <w:tcW w:w="2424" w:type="dxa"/>
            <w:vAlign w:val="top"/>
          </w:tcPr>
          <w:p w14:paraId="62C0AEEA">
            <w:pPr>
              <w:spacing w:after="0" w:line="240" w:lineRule="auto"/>
            </w:pPr>
            <w:r>
              <w:rPr>
                <w:b w:val="0"/>
                <w:sz w:val="14"/>
              </w:rPr>
              <w:t>10</w:t>
            </w:r>
          </w:p>
        </w:tc>
        <w:tc>
          <w:tcPr>
            <w:tcW w:w="2424" w:type="dxa"/>
            <w:vAlign w:val="top"/>
          </w:tcPr>
          <w:p w14:paraId="651723B8">
            <w:pPr>
              <w:spacing w:after="0" w:line="240" w:lineRule="auto"/>
            </w:pPr>
            <w:r>
              <w:rPr>
                <w:b w:val="0"/>
                <w:sz w:val="14"/>
              </w:rPr>
              <w:t>Selection of data subsets</w:t>
            </w:r>
          </w:p>
        </w:tc>
        <w:tc>
          <w:tcPr>
            <w:tcW w:w="2424" w:type="dxa"/>
            <w:shd w:val="clear" w:color="auto" w:fill="E2F0D9"/>
            <w:vAlign w:val="top"/>
          </w:tcPr>
          <w:p w14:paraId="640F49D2">
            <w:pPr>
              <w:spacing w:after="0" w:line="240" w:lineRule="auto"/>
            </w:pPr>
            <w:r>
              <w:rPr>
                <w:b w:val="0"/>
                <w:sz w:val="14"/>
              </w:rPr>
              <w:t>Yes</w:t>
            </w:r>
          </w:p>
        </w:tc>
        <w:tc>
          <w:tcPr>
            <w:tcW w:w="2424" w:type="dxa"/>
            <w:vAlign w:val="top"/>
          </w:tcPr>
          <w:p w14:paraId="2B90C709">
            <w:pPr>
              <w:spacing w:after="0" w:line="240" w:lineRule="auto"/>
            </w:pPr>
            <w:r>
              <w:rPr>
                <w:b w:val="0"/>
                <w:sz w:val="14"/>
              </w:rPr>
              <w:t>Study Population/ROI/Feature Extraction, pp. 3–5; Supplementary Table S5</w:t>
            </w:r>
          </w:p>
        </w:tc>
        <w:tc>
          <w:tcPr>
            <w:tcW w:w="2424" w:type="dxa"/>
            <w:vAlign w:val="top"/>
          </w:tcPr>
          <w:p w14:paraId="2E9B9098">
            <w:pPr>
              <w:spacing w:after="0" w:line="240" w:lineRule="auto"/>
            </w:pPr>
            <w:r>
              <w:rPr>
                <w:b w:val="0"/>
                <w:sz w:val="14"/>
              </w:rPr>
              <w:t>CEUS peak-enhancement frame selection, ROI-based patch generation, ICC-based feature filtering, and training-set-only feature selection are described.</w:t>
            </w:r>
          </w:p>
        </w:tc>
      </w:tr>
      <w:tr w14:paraId="3F78A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24" w:type="dxa"/>
            <w:vAlign w:val="top"/>
          </w:tcPr>
          <w:p w14:paraId="74B0B6BE">
            <w:pPr>
              <w:spacing w:after="0" w:line="240" w:lineRule="auto"/>
            </w:pPr>
            <w:r>
              <w:rPr>
                <w:b w:val="0"/>
                <w:sz w:val="14"/>
              </w:rPr>
              <w:t>METHODS: Data</w:t>
            </w:r>
          </w:p>
        </w:tc>
        <w:tc>
          <w:tcPr>
            <w:tcW w:w="2424" w:type="dxa"/>
            <w:vAlign w:val="top"/>
          </w:tcPr>
          <w:p w14:paraId="6A6C5B18">
            <w:pPr>
              <w:spacing w:after="0" w:line="240" w:lineRule="auto"/>
            </w:pPr>
            <w:r>
              <w:rPr>
                <w:b w:val="0"/>
                <w:sz w:val="14"/>
              </w:rPr>
              <w:t>11</w:t>
            </w:r>
          </w:p>
        </w:tc>
        <w:tc>
          <w:tcPr>
            <w:tcW w:w="2424" w:type="dxa"/>
            <w:vAlign w:val="top"/>
          </w:tcPr>
          <w:p w14:paraId="649ABE41">
            <w:pPr>
              <w:spacing w:after="0" w:line="240" w:lineRule="auto"/>
            </w:pPr>
            <w:r>
              <w:rPr>
                <w:b w:val="0"/>
                <w:sz w:val="14"/>
              </w:rPr>
              <w:t>De-identification methods</w:t>
            </w:r>
          </w:p>
        </w:tc>
        <w:tc>
          <w:tcPr>
            <w:tcW w:w="2424" w:type="dxa"/>
            <w:shd w:val="clear" w:color="auto" w:fill="E2F0D9"/>
            <w:vAlign w:val="top"/>
          </w:tcPr>
          <w:p w14:paraId="4B822565">
            <w:pPr>
              <w:spacing w:after="0" w:line="240" w:lineRule="auto"/>
            </w:pPr>
            <w:r>
              <w:rPr>
                <w:b w:val="0"/>
                <w:sz w:val="14"/>
              </w:rPr>
              <w:t>Yes</w:t>
            </w:r>
          </w:p>
        </w:tc>
        <w:tc>
          <w:tcPr>
            <w:tcW w:w="2424" w:type="dxa"/>
            <w:vAlign w:val="top"/>
          </w:tcPr>
          <w:p w14:paraId="47FFC818">
            <w:pPr>
              <w:spacing w:after="0" w:line="240" w:lineRule="auto"/>
            </w:pPr>
            <w:r>
              <w:rPr>
                <w:b w:val="0"/>
                <w:sz w:val="14"/>
              </w:rPr>
              <w:t>Study Population, p. 3</w:t>
            </w:r>
          </w:p>
        </w:tc>
        <w:tc>
          <w:tcPr>
            <w:tcW w:w="2424" w:type="dxa"/>
            <w:vAlign w:val="top"/>
          </w:tcPr>
          <w:p w14:paraId="15B7239C">
            <w:pPr>
              <w:spacing w:after="0" w:line="240" w:lineRule="auto"/>
            </w:pPr>
            <w:r>
              <w:rPr>
                <w:b w:val="0"/>
                <w:sz w:val="14"/>
              </w:rPr>
              <w:t>Manuscript states that retrospective data were anonymized before analysis. If required, add a one-sentence operational de-identification description.</w:t>
            </w:r>
          </w:p>
        </w:tc>
      </w:tr>
      <w:tr w14:paraId="55F0F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24" w:type="dxa"/>
            <w:vAlign w:val="top"/>
          </w:tcPr>
          <w:p w14:paraId="09F28C69">
            <w:pPr>
              <w:spacing w:after="0" w:line="240" w:lineRule="auto"/>
            </w:pPr>
            <w:r>
              <w:rPr>
                <w:b w:val="0"/>
                <w:sz w:val="14"/>
              </w:rPr>
              <w:t>METHODS: Data</w:t>
            </w:r>
          </w:p>
        </w:tc>
        <w:tc>
          <w:tcPr>
            <w:tcW w:w="2424" w:type="dxa"/>
            <w:vAlign w:val="top"/>
          </w:tcPr>
          <w:p w14:paraId="4CAED105">
            <w:pPr>
              <w:spacing w:after="0" w:line="240" w:lineRule="auto"/>
            </w:pPr>
            <w:r>
              <w:rPr>
                <w:b w:val="0"/>
                <w:sz w:val="14"/>
              </w:rPr>
              <w:t>12</w:t>
            </w:r>
          </w:p>
        </w:tc>
        <w:tc>
          <w:tcPr>
            <w:tcW w:w="2424" w:type="dxa"/>
            <w:vAlign w:val="top"/>
          </w:tcPr>
          <w:p w14:paraId="668271B7">
            <w:pPr>
              <w:spacing w:after="0" w:line="240" w:lineRule="auto"/>
            </w:pPr>
            <w:r>
              <w:rPr>
                <w:b w:val="0"/>
                <w:sz w:val="14"/>
              </w:rPr>
              <w:t>How missing data were handled</w:t>
            </w:r>
          </w:p>
        </w:tc>
        <w:tc>
          <w:tcPr>
            <w:tcW w:w="2424" w:type="dxa"/>
            <w:shd w:val="clear" w:color="auto" w:fill="E2F0D9"/>
            <w:vAlign w:val="top"/>
          </w:tcPr>
          <w:p w14:paraId="7F60171D">
            <w:pPr>
              <w:spacing w:after="0" w:line="240" w:lineRule="auto"/>
            </w:pPr>
            <w:r>
              <w:rPr>
                <w:b w:val="0"/>
                <w:sz w:val="14"/>
              </w:rPr>
              <w:t>Yes</w:t>
            </w:r>
          </w:p>
        </w:tc>
        <w:tc>
          <w:tcPr>
            <w:tcW w:w="2424" w:type="dxa"/>
            <w:vAlign w:val="top"/>
          </w:tcPr>
          <w:p w14:paraId="63998C08">
            <w:pPr>
              <w:spacing w:after="0" w:line="240" w:lineRule="auto"/>
            </w:pPr>
            <w:r>
              <w:rPr>
                <w:b w:val="0"/>
                <w:sz w:val="14"/>
              </w:rPr>
              <w:t>Study Population, p. 4; Radiomics Feature Extraction, p. 5</w:t>
            </w:r>
          </w:p>
        </w:tc>
        <w:tc>
          <w:tcPr>
            <w:tcW w:w="2424" w:type="dxa"/>
            <w:vAlign w:val="top"/>
          </w:tcPr>
          <w:p w14:paraId="40D2160A">
            <w:pPr>
              <w:spacing w:after="0" w:line="240" w:lineRule="auto"/>
            </w:pPr>
            <w:r>
              <w:rPr>
                <w:b w:val="0"/>
                <w:sz w:val="14"/>
              </w:rPr>
              <w:t>Incomplete clinical/imaging data were excluded; feature-level missing values were imputed using training-set medians.</w:t>
            </w:r>
          </w:p>
        </w:tc>
      </w:tr>
      <w:tr w14:paraId="6F194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24" w:type="dxa"/>
            <w:vAlign w:val="top"/>
          </w:tcPr>
          <w:p w14:paraId="48A3B96F">
            <w:pPr>
              <w:spacing w:after="0" w:line="240" w:lineRule="auto"/>
            </w:pPr>
            <w:r>
              <w:rPr>
                <w:b w:val="0"/>
                <w:sz w:val="14"/>
              </w:rPr>
              <w:t>METHODS: Data</w:t>
            </w:r>
          </w:p>
        </w:tc>
        <w:tc>
          <w:tcPr>
            <w:tcW w:w="2424" w:type="dxa"/>
            <w:vAlign w:val="top"/>
          </w:tcPr>
          <w:p w14:paraId="618693DA">
            <w:pPr>
              <w:spacing w:after="0" w:line="240" w:lineRule="auto"/>
            </w:pPr>
            <w:r>
              <w:rPr>
                <w:b w:val="0"/>
                <w:sz w:val="14"/>
              </w:rPr>
              <w:t>13</w:t>
            </w:r>
          </w:p>
        </w:tc>
        <w:tc>
          <w:tcPr>
            <w:tcW w:w="2424" w:type="dxa"/>
            <w:vAlign w:val="top"/>
          </w:tcPr>
          <w:p w14:paraId="0F61EE46">
            <w:pPr>
              <w:spacing w:after="0" w:line="240" w:lineRule="auto"/>
            </w:pPr>
            <w:r>
              <w:rPr>
                <w:b w:val="0"/>
                <w:sz w:val="14"/>
              </w:rPr>
              <w:t>Image acquisition protocol</w:t>
            </w:r>
          </w:p>
        </w:tc>
        <w:tc>
          <w:tcPr>
            <w:tcW w:w="2424" w:type="dxa"/>
            <w:shd w:val="clear" w:color="auto" w:fill="E2F0D9"/>
            <w:vAlign w:val="top"/>
          </w:tcPr>
          <w:p w14:paraId="2F86DDFD">
            <w:pPr>
              <w:spacing w:after="0" w:line="240" w:lineRule="auto"/>
            </w:pPr>
            <w:r>
              <w:rPr>
                <w:b w:val="0"/>
                <w:sz w:val="14"/>
              </w:rPr>
              <w:t>Yes</w:t>
            </w:r>
          </w:p>
        </w:tc>
        <w:tc>
          <w:tcPr>
            <w:tcW w:w="2424" w:type="dxa"/>
            <w:vAlign w:val="top"/>
          </w:tcPr>
          <w:p w14:paraId="42F73DBA">
            <w:pPr>
              <w:spacing w:after="0" w:line="240" w:lineRule="auto"/>
            </w:pPr>
            <w:r>
              <w:rPr>
                <w:b w:val="0"/>
                <w:sz w:val="14"/>
              </w:rPr>
              <w:t>BUS and CEUS Image Acquisition, p. 4</w:t>
            </w:r>
          </w:p>
        </w:tc>
        <w:tc>
          <w:tcPr>
            <w:tcW w:w="2424" w:type="dxa"/>
            <w:vAlign w:val="top"/>
          </w:tcPr>
          <w:p w14:paraId="7A9EA980">
            <w:pPr>
              <w:spacing w:after="0" w:line="240" w:lineRule="auto"/>
            </w:pPr>
            <w:r>
              <w:rPr>
                <w:b w:val="0"/>
                <w:sz w:val="14"/>
              </w:rPr>
              <w:t>BUS and CEUS acquisition details include ultrasound system, contrast agent dose, dynamic acquisition duration, and operator review process.</w:t>
            </w:r>
          </w:p>
        </w:tc>
      </w:tr>
      <w:tr w14:paraId="004EA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24" w:type="dxa"/>
            <w:vAlign w:val="top"/>
          </w:tcPr>
          <w:p w14:paraId="14AD5B39">
            <w:pPr>
              <w:spacing w:after="0" w:line="240" w:lineRule="auto"/>
            </w:pPr>
            <w:r>
              <w:rPr>
                <w:b w:val="0"/>
                <w:sz w:val="14"/>
              </w:rPr>
              <w:t>METHODS: Reference Standard</w:t>
            </w:r>
          </w:p>
        </w:tc>
        <w:tc>
          <w:tcPr>
            <w:tcW w:w="2424" w:type="dxa"/>
            <w:vAlign w:val="top"/>
          </w:tcPr>
          <w:p w14:paraId="27952AF3">
            <w:pPr>
              <w:spacing w:after="0" w:line="240" w:lineRule="auto"/>
            </w:pPr>
            <w:r>
              <w:rPr>
                <w:b w:val="0"/>
                <w:sz w:val="14"/>
              </w:rPr>
              <w:t>14</w:t>
            </w:r>
          </w:p>
        </w:tc>
        <w:tc>
          <w:tcPr>
            <w:tcW w:w="2424" w:type="dxa"/>
            <w:vAlign w:val="top"/>
          </w:tcPr>
          <w:p w14:paraId="17B84BE3">
            <w:pPr>
              <w:spacing w:after="0" w:line="240" w:lineRule="auto"/>
            </w:pPr>
            <w:r>
              <w:rPr>
                <w:b w:val="0"/>
                <w:sz w:val="14"/>
              </w:rPr>
              <w:t>Definition of method(s) used to obtain reference standard</w:t>
            </w:r>
          </w:p>
        </w:tc>
        <w:tc>
          <w:tcPr>
            <w:tcW w:w="2424" w:type="dxa"/>
            <w:shd w:val="clear" w:color="auto" w:fill="E2F0D9"/>
            <w:vAlign w:val="top"/>
          </w:tcPr>
          <w:p w14:paraId="47DD5D48">
            <w:pPr>
              <w:spacing w:after="0" w:line="240" w:lineRule="auto"/>
            </w:pPr>
            <w:r>
              <w:rPr>
                <w:b w:val="0"/>
                <w:sz w:val="14"/>
              </w:rPr>
              <w:t>Yes</w:t>
            </w:r>
          </w:p>
        </w:tc>
        <w:tc>
          <w:tcPr>
            <w:tcW w:w="2424" w:type="dxa"/>
            <w:vAlign w:val="top"/>
          </w:tcPr>
          <w:p w14:paraId="27524406">
            <w:pPr>
              <w:spacing w:after="0" w:line="240" w:lineRule="auto"/>
            </w:pPr>
            <w:r>
              <w:rPr>
                <w:b w:val="0"/>
                <w:sz w:val="14"/>
              </w:rPr>
              <w:t>Study Population, pp. 3–4</w:t>
            </w:r>
          </w:p>
        </w:tc>
        <w:tc>
          <w:tcPr>
            <w:tcW w:w="2424" w:type="dxa"/>
            <w:vAlign w:val="top"/>
          </w:tcPr>
          <w:p w14:paraId="7EFE8433">
            <w:pPr>
              <w:spacing w:after="0" w:line="240" w:lineRule="auto"/>
            </w:pPr>
            <w:r>
              <w:rPr>
                <w:b w:val="0"/>
                <w:sz w:val="14"/>
              </w:rPr>
              <w:t>Reference standard is pathologic confirmation by core needle biopsy or surgical pathology.</w:t>
            </w:r>
          </w:p>
        </w:tc>
      </w:tr>
      <w:tr w14:paraId="15913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24" w:type="dxa"/>
            <w:vAlign w:val="top"/>
          </w:tcPr>
          <w:p w14:paraId="73A8AD22">
            <w:pPr>
              <w:spacing w:after="0" w:line="240" w:lineRule="auto"/>
            </w:pPr>
            <w:r>
              <w:rPr>
                <w:b w:val="0"/>
                <w:sz w:val="14"/>
              </w:rPr>
              <w:t>METHODS: Reference Standard</w:t>
            </w:r>
          </w:p>
        </w:tc>
        <w:tc>
          <w:tcPr>
            <w:tcW w:w="2424" w:type="dxa"/>
            <w:vAlign w:val="top"/>
          </w:tcPr>
          <w:p w14:paraId="21ED24EA">
            <w:pPr>
              <w:spacing w:after="0" w:line="240" w:lineRule="auto"/>
            </w:pPr>
            <w:r>
              <w:rPr>
                <w:b w:val="0"/>
                <w:sz w:val="14"/>
              </w:rPr>
              <w:t>15</w:t>
            </w:r>
          </w:p>
        </w:tc>
        <w:tc>
          <w:tcPr>
            <w:tcW w:w="2424" w:type="dxa"/>
            <w:vAlign w:val="top"/>
          </w:tcPr>
          <w:p w14:paraId="1FD7F7F9">
            <w:pPr>
              <w:spacing w:after="0" w:line="240" w:lineRule="auto"/>
            </w:pPr>
            <w:r>
              <w:rPr>
                <w:b w:val="0"/>
                <w:sz w:val="14"/>
              </w:rPr>
              <w:t>Rationale for choosing the reference standard</w:t>
            </w:r>
          </w:p>
        </w:tc>
        <w:tc>
          <w:tcPr>
            <w:tcW w:w="2424" w:type="dxa"/>
            <w:shd w:val="clear" w:color="auto" w:fill="E2F0D9"/>
            <w:vAlign w:val="top"/>
          </w:tcPr>
          <w:p w14:paraId="5A1F74C9">
            <w:pPr>
              <w:spacing w:after="0" w:line="240" w:lineRule="auto"/>
            </w:pPr>
            <w:r>
              <w:rPr>
                <w:b w:val="0"/>
                <w:sz w:val="14"/>
              </w:rPr>
              <w:t>Yes</w:t>
            </w:r>
          </w:p>
        </w:tc>
        <w:tc>
          <w:tcPr>
            <w:tcW w:w="2424" w:type="dxa"/>
            <w:vAlign w:val="top"/>
          </w:tcPr>
          <w:p w14:paraId="0A0C0B3F">
            <w:pPr>
              <w:spacing w:after="0" w:line="240" w:lineRule="auto"/>
            </w:pPr>
            <w:r>
              <w:rPr>
                <w:b w:val="0"/>
                <w:sz w:val="14"/>
              </w:rPr>
              <w:t>Study Population, pp. 3–4; Discussion, p. 13</w:t>
            </w:r>
          </w:p>
        </w:tc>
        <w:tc>
          <w:tcPr>
            <w:tcW w:w="2424" w:type="dxa"/>
            <w:vAlign w:val="top"/>
          </w:tcPr>
          <w:p w14:paraId="4FF807A0">
            <w:pPr>
              <w:spacing w:after="0" w:line="240" w:lineRule="auto"/>
            </w:pPr>
            <w:r>
              <w:rPr>
                <w:b w:val="0"/>
                <w:sz w:val="14"/>
              </w:rPr>
              <w:t>Pathologic confirmation is appropriate for benign–malignant lesion classification; limitations are discussed in the context of retrospective single-center design.</w:t>
            </w:r>
          </w:p>
        </w:tc>
      </w:tr>
      <w:tr w14:paraId="7836D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24" w:type="dxa"/>
            <w:vAlign w:val="top"/>
          </w:tcPr>
          <w:p w14:paraId="2B02C353">
            <w:pPr>
              <w:spacing w:after="0" w:line="240" w:lineRule="auto"/>
            </w:pPr>
            <w:r>
              <w:rPr>
                <w:b w:val="0"/>
                <w:sz w:val="14"/>
              </w:rPr>
              <w:t>METHODS: Reference Standard</w:t>
            </w:r>
          </w:p>
        </w:tc>
        <w:tc>
          <w:tcPr>
            <w:tcW w:w="2424" w:type="dxa"/>
            <w:vAlign w:val="top"/>
          </w:tcPr>
          <w:p w14:paraId="0EE3A7CB">
            <w:pPr>
              <w:spacing w:after="0" w:line="240" w:lineRule="auto"/>
            </w:pPr>
            <w:r>
              <w:rPr>
                <w:b w:val="0"/>
                <w:sz w:val="14"/>
              </w:rPr>
              <w:t>16</w:t>
            </w:r>
          </w:p>
        </w:tc>
        <w:tc>
          <w:tcPr>
            <w:tcW w:w="2424" w:type="dxa"/>
            <w:vAlign w:val="top"/>
          </w:tcPr>
          <w:p w14:paraId="4989C75C">
            <w:pPr>
              <w:spacing w:after="0" w:line="240" w:lineRule="auto"/>
            </w:pPr>
            <w:r>
              <w:rPr>
                <w:b w:val="0"/>
                <w:sz w:val="14"/>
              </w:rPr>
              <w:t>Source of reference standard annotations</w:t>
            </w:r>
          </w:p>
        </w:tc>
        <w:tc>
          <w:tcPr>
            <w:tcW w:w="2424" w:type="dxa"/>
            <w:shd w:val="clear" w:color="auto" w:fill="E2F0D9"/>
            <w:vAlign w:val="top"/>
          </w:tcPr>
          <w:p w14:paraId="465D563A">
            <w:pPr>
              <w:spacing w:after="0" w:line="240" w:lineRule="auto"/>
            </w:pPr>
            <w:r>
              <w:rPr>
                <w:b w:val="0"/>
                <w:sz w:val="14"/>
              </w:rPr>
              <w:t>Yes</w:t>
            </w:r>
          </w:p>
        </w:tc>
        <w:tc>
          <w:tcPr>
            <w:tcW w:w="2424" w:type="dxa"/>
            <w:vAlign w:val="top"/>
          </w:tcPr>
          <w:p w14:paraId="580F9579">
            <w:pPr>
              <w:spacing w:after="0" w:line="240" w:lineRule="auto"/>
            </w:pPr>
            <w:r>
              <w:rPr>
                <w:b w:val="0"/>
                <w:sz w:val="14"/>
              </w:rPr>
              <w:t>Study Population, pp. 3–4</w:t>
            </w:r>
          </w:p>
        </w:tc>
        <w:tc>
          <w:tcPr>
            <w:tcW w:w="2424" w:type="dxa"/>
            <w:vAlign w:val="top"/>
          </w:tcPr>
          <w:p w14:paraId="227DA2BD">
            <w:pPr>
              <w:spacing w:after="0" w:line="240" w:lineRule="auto"/>
            </w:pPr>
            <w:r>
              <w:rPr>
                <w:b w:val="0"/>
                <w:sz w:val="14"/>
              </w:rPr>
              <w:t>Pathology source is biopsy or surgical pathology. The pathological diagnosis is the lesion-level reference standard.</w:t>
            </w:r>
          </w:p>
        </w:tc>
      </w:tr>
      <w:tr w14:paraId="705CA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24" w:type="dxa"/>
            <w:vAlign w:val="top"/>
          </w:tcPr>
          <w:p w14:paraId="3419EF73">
            <w:pPr>
              <w:spacing w:after="0" w:line="240" w:lineRule="auto"/>
            </w:pPr>
            <w:r>
              <w:rPr>
                <w:b w:val="0"/>
                <w:sz w:val="14"/>
              </w:rPr>
              <w:t>METHODS: Reference Standard</w:t>
            </w:r>
          </w:p>
        </w:tc>
        <w:tc>
          <w:tcPr>
            <w:tcW w:w="2424" w:type="dxa"/>
            <w:vAlign w:val="top"/>
          </w:tcPr>
          <w:p w14:paraId="3F364DEB">
            <w:pPr>
              <w:spacing w:after="0" w:line="240" w:lineRule="auto"/>
            </w:pPr>
            <w:r>
              <w:rPr>
                <w:b w:val="0"/>
                <w:sz w:val="14"/>
              </w:rPr>
              <w:t>17</w:t>
            </w:r>
          </w:p>
        </w:tc>
        <w:tc>
          <w:tcPr>
            <w:tcW w:w="2424" w:type="dxa"/>
            <w:vAlign w:val="top"/>
          </w:tcPr>
          <w:p w14:paraId="6D0DAF1B">
            <w:pPr>
              <w:spacing w:after="0" w:line="240" w:lineRule="auto"/>
            </w:pPr>
            <w:r>
              <w:rPr>
                <w:b w:val="0"/>
                <w:sz w:val="14"/>
              </w:rPr>
              <w:t>Annotation of test set</w:t>
            </w:r>
          </w:p>
        </w:tc>
        <w:tc>
          <w:tcPr>
            <w:tcW w:w="2424" w:type="dxa"/>
            <w:shd w:val="clear" w:color="auto" w:fill="E2F0D9"/>
            <w:vAlign w:val="top"/>
          </w:tcPr>
          <w:p w14:paraId="42A35CF6">
            <w:pPr>
              <w:spacing w:after="0" w:line="240" w:lineRule="auto"/>
            </w:pPr>
            <w:r>
              <w:rPr>
                <w:b w:val="0"/>
                <w:sz w:val="14"/>
              </w:rPr>
              <w:t>Yes</w:t>
            </w:r>
          </w:p>
        </w:tc>
        <w:tc>
          <w:tcPr>
            <w:tcW w:w="2424" w:type="dxa"/>
            <w:vAlign w:val="top"/>
          </w:tcPr>
          <w:p w14:paraId="75883736">
            <w:pPr>
              <w:spacing w:after="0" w:line="240" w:lineRule="auto"/>
            </w:pPr>
            <w:r>
              <w:rPr>
                <w:b w:val="0"/>
                <w:sz w:val="14"/>
              </w:rPr>
              <w:t>Study Population and ROI Segmentation, pp. 3–5</w:t>
            </w:r>
          </w:p>
        </w:tc>
        <w:tc>
          <w:tcPr>
            <w:tcW w:w="2424" w:type="dxa"/>
            <w:vAlign w:val="top"/>
          </w:tcPr>
          <w:p w14:paraId="425F8B1A">
            <w:pPr>
              <w:spacing w:after="0" w:line="240" w:lineRule="auto"/>
            </w:pPr>
            <w:r>
              <w:rPr>
                <w:b w:val="0"/>
                <w:sz w:val="14"/>
              </w:rPr>
              <w:t>Internal testing cases used the same pathology-based labels and the same ROI segmentation procedure; manual segmentation software and readers are described.</w:t>
            </w:r>
          </w:p>
        </w:tc>
      </w:tr>
      <w:tr w14:paraId="0C32A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24" w:type="dxa"/>
            <w:vAlign w:val="top"/>
          </w:tcPr>
          <w:p w14:paraId="3E44FB73">
            <w:pPr>
              <w:spacing w:after="0" w:line="240" w:lineRule="auto"/>
            </w:pPr>
            <w:r>
              <w:rPr>
                <w:b w:val="0"/>
                <w:sz w:val="14"/>
              </w:rPr>
              <w:t>METHODS: Reference Standard</w:t>
            </w:r>
          </w:p>
        </w:tc>
        <w:tc>
          <w:tcPr>
            <w:tcW w:w="2424" w:type="dxa"/>
            <w:vAlign w:val="top"/>
          </w:tcPr>
          <w:p w14:paraId="552F2551">
            <w:pPr>
              <w:spacing w:after="0" w:line="240" w:lineRule="auto"/>
            </w:pPr>
            <w:r>
              <w:rPr>
                <w:b w:val="0"/>
                <w:sz w:val="14"/>
              </w:rPr>
              <w:t>18</w:t>
            </w:r>
          </w:p>
        </w:tc>
        <w:tc>
          <w:tcPr>
            <w:tcW w:w="2424" w:type="dxa"/>
            <w:vAlign w:val="top"/>
          </w:tcPr>
          <w:p w14:paraId="0C06CFD9">
            <w:pPr>
              <w:spacing w:after="0" w:line="240" w:lineRule="auto"/>
            </w:pPr>
            <w:r>
              <w:rPr>
                <w:b w:val="0"/>
                <w:sz w:val="14"/>
              </w:rPr>
              <w:t>Measures of inter- and intrarater variability of features described by the annotators</w:t>
            </w:r>
          </w:p>
        </w:tc>
        <w:tc>
          <w:tcPr>
            <w:tcW w:w="2424" w:type="dxa"/>
            <w:shd w:val="clear" w:color="auto" w:fill="E2F0D9"/>
            <w:vAlign w:val="top"/>
          </w:tcPr>
          <w:p w14:paraId="2ED0476D">
            <w:pPr>
              <w:spacing w:after="0" w:line="240" w:lineRule="auto"/>
            </w:pPr>
            <w:r>
              <w:rPr>
                <w:b w:val="0"/>
                <w:sz w:val="14"/>
              </w:rPr>
              <w:t>Yes</w:t>
            </w:r>
          </w:p>
        </w:tc>
        <w:tc>
          <w:tcPr>
            <w:tcW w:w="2424" w:type="dxa"/>
            <w:vAlign w:val="top"/>
          </w:tcPr>
          <w:p w14:paraId="0C040701">
            <w:pPr>
              <w:spacing w:after="0" w:line="240" w:lineRule="auto"/>
            </w:pPr>
            <w:r>
              <w:rPr>
                <w:b w:val="0"/>
                <w:sz w:val="14"/>
              </w:rPr>
              <w:t>ROI Segmentation, p. 5</w:t>
            </w:r>
          </w:p>
        </w:tc>
        <w:tc>
          <w:tcPr>
            <w:tcW w:w="2424" w:type="dxa"/>
            <w:vAlign w:val="top"/>
          </w:tcPr>
          <w:p w14:paraId="411A053F">
            <w:pPr>
              <w:spacing w:after="0" w:line="240" w:lineRule="auto"/>
            </w:pPr>
            <w:r>
              <w:rPr>
                <w:b w:val="0"/>
                <w:sz w:val="14"/>
              </w:rPr>
              <w:t>Intraobserver and interobserver reproducibility were evaluated in 40 randomly selected cases using ICC; features with ICC &gt; 0.75 were retained.</w:t>
            </w:r>
          </w:p>
        </w:tc>
      </w:tr>
      <w:tr w14:paraId="3CBDC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24" w:type="dxa"/>
            <w:vAlign w:val="top"/>
          </w:tcPr>
          <w:p w14:paraId="062935EE">
            <w:pPr>
              <w:spacing w:after="0" w:line="240" w:lineRule="auto"/>
            </w:pPr>
            <w:r>
              <w:rPr>
                <w:b w:val="0"/>
                <w:sz w:val="14"/>
              </w:rPr>
              <w:t>METHODS: Data Partitions</w:t>
            </w:r>
          </w:p>
        </w:tc>
        <w:tc>
          <w:tcPr>
            <w:tcW w:w="2424" w:type="dxa"/>
            <w:vAlign w:val="top"/>
          </w:tcPr>
          <w:p w14:paraId="108F8415">
            <w:pPr>
              <w:spacing w:after="0" w:line="240" w:lineRule="auto"/>
            </w:pPr>
            <w:r>
              <w:rPr>
                <w:b w:val="0"/>
                <w:sz w:val="14"/>
              </w:rPr>
              <w:t>19</w:t>
            </w:r>
          </w:p>
        </w:tc>
        <w:tc>
          <w:tcPr>
            <w:tcW w:w="2424" w:type="dxa"/>
            <w:vAlign w:val="top"/>
          </w:tcPr>
          <w:p w14:paraId="400728DF">
            <w:pPr>
              <w:spacing w:after="0" w:line="240" w:lineRule="auto"/>
            </w:pPr>
            <w:r>
              <w:rPr>
                <w:b w:val="0"/>
                <w:sz w:val="14"/>
              </w:rPr>
              <w:t>How data were assigned to partitions</w:t>
            </w:r>
          </w:p>
        </w:tc>
        <w:tc>
          <w:tcPr>
            <w:tcW w:w="2424" w:type="dxa"/>
            <w:shd w:val="clear" w:color="auto" w:fill="E2F0D9"/>
            <w:vAlign w:val="top"/>
          </w:tcPr>
          <w:p w14:paraId="70CFA471">
            <w:pPr>
              <w:spacing w:after="0" w:line="240" w:lineRule="auto"/>
            </w:pPr>
            <w:r>
              <w:rPr>
                <w:b w:val="0"/>
                <w:sz w:val="14"/>
              </w:rPr>
              <w:t>Yes</w:t>
            </w:r>
          </w:p>
        </w:tc>
        <w:tc>
          <w:tcPr>
            <w:tcW w:w="2424" w:type="dxa"/>
            <w:vAlign w:val="top"/>
          </w:tcPr>
          <w:p w14:paraId="56287A21">
            <w:pPr>
              <w:spacing w:after="0" w:line="240" w:lineRule="auto"/>
            </w:pPr>
            <w:r>
              <w:rPr>
                <w:b w:val="0"/>
                <w:sz w:val="14"/>
              </w:rPr>
              <w:t>Fig. 1; Results, p. 9; Supplementary Table S5</w:t>
            </w:r>
          </w:p>
        </w:tc>
        <w:tc>
          <w:tcPr>
            <w:tcW w:w="2424" w:type="dxa"/>
            <w:vAlign w:val="top"/>
          </w:tcPr>
          <w:p w14:paraId="747F648D">
            <w:pPr>
              <w:spacing w:after="0" w:line="240" w:lineRule="auto"/>
            </w:pPr>
            <w:r>
              <w:rPr>
                <w:b w:val="0"/>
                <w:sz w:val="14"/>
              </w:rPr>
              <w:t>Final cohort was randomly split 7:3 into training and internal testing sets; model code uses the fixed Split column.</w:t>
            </w:r>
          </w:p>
        </w:tc>
      </w:tr>
      <w:tr w14:paraId="2E5F5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24" w:type="dxa"/>
            <w:vAlign w:val="top"/>
          </w:tcPr>
          <w:p w14:paraId="04397CA9">
            <w:pPr>
              <w:spacing w:after="0" w:line="240" w:lineRule="auto"/>
            </w:pPr>
            <w:r>
              <w:rPr>
                <w:b w:val="0"/>
                <w:sz w:val="14"/>
              </w:rPr>
              <w:t>METHODS: Data Partitions</w:t>
            </w:r>
          </w:p>
        </w:tc>
        <w:tc>
          <w:tcPr>
            <w:tcW w:w="2424" w:type="dxa"/>
            <w:vAlign w:val="top"/>
          </w:tcPr>
          <w:p w14:paraId="3BA2379F">
            <w:pPr>
              <w:spacing w:after="0" w:line="240" w:lineRule="auto"/>
            </w:pPr>
            <w:r>
              <w:rPr>
                <w:b w:val="0"/>
                <w:sz w:val="14"/>
              </w:rPr>
              <w:t>20</w:t>
            </w:r>
          </w:p>
        </w:tc>
        <w:tc>
          <w:tcPr>
            <w:tcW w:w="2424" w:type="dxa"/>
            <w:vAlign w:val="top"/>
          </w:tcPr>
          <w:p w14:paraId="7B3D90FD">
            <w:pPr>
              <w:spacing w:after="0" w:line="240" w:lineRule="auto"/>
            </w:pPr>
            <w:r>
              <w:rPr>
                <w:b w:val="0"/>
                <w:sz w:val="14"/>
              </w:rPr>
              <w:t>Level at which partitions are disjoint</w:t>
            </w:r>
          </w:p>
        </w:tc>
        <w:tc>
          <w:tcPr>
            <w:tcW w:w="2424" w:type="dxa"/>
            <w:shd w:val="clear" w:color="auto" w:fill="E2F0D9"/>
            <w:vAlign w:val="top"/>
          </w:tcPr>
          <w:p w14:paraId="4A15B819">
            <w:pPr>
              <w:spacing w:after="0" w:line="240" w:lineRule="auto"/>
            </w:pPr>
            <w:r>
              <w:rPr>
                <w:b w:val="0"/>
                <w:sz w:val="14"/>
              </w:rPr>
              <w:t>Yes</w:t>
            </w:r>
          </w:p>
        </w:tc>
        <w:tc>
          <w:tcPr>
            <w:tcW w:w="2424" w:type="dxa"/>
            <w:vAlign w:val="top"/>
          </w:tcPr>
          <w:p w14:paraId="53B0FC70">
            <w:pPr>
              <w:spacing w:after="0" w:line="240" w:lineRule="auto"/>
            </w:pPr>
            <w:r>
              <w:rPr>
                <w:b w:val="0"/>
                <w:sz w:val="14"/>
              </w:rPr>
              <w:t>Study design and Fig. 1; Supplementary Table S5</w:t>
            </w:r>
          </w:p>
        </w:tc>
        <w:tc>
          <w:tcPr>
            <w:tcW w:w="2424" w:type="dxa"/>
            <w:vAlign w:val="top"/>
          </w:tcPr>
          <w:p w14:paraId="0E076B64">
            <w:pPr>
              <w:spacing w:after="0" w:line="240" w:lineRule="auto"/>
            </w:pPr>
            <w:r>
              <w:rPr>
                <w:b w:val="0"/>
                <w:sz w:val="14"/>
              </w:rPr>
              <w:t>Partitions are patient/lesion level. No patient/lesion is shared across training and internal testing.</w:t>
            </w:r>
          </w:p>
        </w:tc>
      </w:tr>
      <w:tr w14:paraId="15080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24" w:type="dxa"/>
            <w:vAlign w:val="top"/>
          </w:tcPr>
          <w:p w14:paraId="7815AF68">
            <w:pPr>
              <w:spacing w:after="0" w:line="240" w:lineRule="auto"/>
            </w:pPr>
            <w:r>
              <w:rPr>
                <w:b w:val="0"/>
                <w:sz w:val="14"/>
              </w:rPr>
              <w:t>METHODS: Testing Data</w:t>
            </w:r>
          </w:p>
        </w:tc>
        <w:tc>
          <w:tcPr>
            <w:tcW w:w="2424" w:type="dxa"/>
            <w:vAlign w:val="top"/>
          </w:tcPr>
          <w:p w14:paraId="2662C83B">
            <w:pPr>
              <w:spacing w:after="0" w:line="240" w:lineRule="auto"/>
            </w:pPr>
            <w:r>
              <w:rPr>
                <w:b w:val="0"/>
                <w:sz w:val="14"/>
              </w:rPr>
              <w:t>21</w:t>
            </w:r>
          </w:p>
        </w:tc>
        <w:tc>
          <w:tcPr>
            <w:tcW w:w="2424" w:type="dxa"/>
            <w:vAlign w:val="top"/>
          </w:tcPr>
          <w:p w14:paraId="1C6699B6">
            <w:pPr>
              <w:spacing w:after="0" w:line="240" w:lineRule="auto"/>
            </w:pPr>
            <w:r>
              <w:rPr>
                <w:b w:val="0"/>
                <w:sz w:val="14"/>
              </w:rPr>
              <w:t>Intended sample size</w:t>
            </w:r>
          </w:p>
        </w:tc>
        <w:tc>
          <w:tcPr>
            <w:tcW w:w="2424" w:type="dxa"/>
            <w:shd w:val="clear" w:color="auto" w:fill="E2F0D9"/>
            <w:vAlign w:val="top"/>
          </w:tcPr>
          <w:p w14:paraId="433B6578">
            <w:pPr>
              <w:spacing w:after="0" w:line="240" w:lineRule="auto"/>
            </w:pPr>
            <w:r>
              <w:rPr>
                <w:b w:val="0"/>
                <w:sz w:val="14"/>
              </w:rPr>
              <w:t>Yes</w:t>
            </w:r>
          </w:p>
        </w:tc>
        <w:tc>
          <w:tcPr>
            <w:tcW w:w="2424" w:type="dxa"/>
            <w:vAlign w:val="top"/>
          </w:tcPr>
          <w:p w14:paraId="0EDC9179">
            <w:pPr>
              <w:spacing w:after="0" w:line="240" w:lineRule="auto"/>
            </w:pPr>
            <w:r>
              <w:rPr>
                <w:b w:val="0"/>
                <w:sz w:val="14"/>
              </w:rPr>
              <w:t>Results, p. 9; Supplementary Table S5; add statement to Methods if desired</w:t>
            </w:r>
          </w:p>
        </w:tc>
        <w:tc>
          <w:tcPr>
            <w:tcW w:w="2424" w:type="dxa"/>
            <w:vAlign w:val="top"/>
          </w:tcPr>
          <w:p w14:paraId="0534CC98">
            <w:pPr>
              <w:spacing w:after="0" w:line="240" w:lineRule="auto"/>
            </w:pPr>
            <w:r>
              <w:rPr>
                <w:b w:val="0"/>
                <w:sz w:val="14"/>
              </w:rPr>
              <w:t>Internal testing set included 146 lesions. Recommended sentence: no formal a priori sample-size calculation; all eligible patients were included and 7:3 split was prespecified.</w:t>
            </w:r>
          </w:p>
        </w:tc>
      </w:tr>
      <w:tr w14:paraId="41401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24" w:type="dxa"/>
            <w:vAlign w:val="top"/>
          </w:tcPr>
          <w:p w14:paraId="682496F2">
            <w:pPr>
              <w:spacing w:after="0" w:line="240" w:lineRule="auto"/>
            </w:pPr>
            <w:r>
              <w:rPr>
                <w:b w:val="0"/>
                <w:sz w:val="14"/>
              </w:rPr>
              <w:t>METHODS: Model</w:t>
            </w:r>
          </w:p>
        </w:tc>
        <w:tc>
          <w:tcPr>
            <w:tcW w:w="2424" w:type="dxa"/>
            <w:vAlign w:val="top"/>
          </w:tcPr>
          <w:p w14:paraId="27887242">
            <w:pPr>
              <w:spacing w:after="0" w:line="240" w:lineRule="auto"/>
            </w:pPr>
            <w:r>
              <w:rPr>
                <w:b w:val="0"/>
                <w:sz w:val="14"/>
              </w:rPr>
              <w:t>22</w:t>
            </w:r>
          </w:p>
        </w:tc>
        <w:tc>
          <w:tcPr>
            <w:tcW w:w="2424" w:type="dxa"/>
            <w:vAlign w:val="top"/>
          </w:tcPr>
          <w:p w14:paraId="494F45C6">
            <w:pPr>
              <w:spacing w:after="0" w:line="240" w:lineRule="auto"/>
            </w:pPr>
            <w:r>
              <w:rPr>
                <w:b w:val="0"/>
                <w:sz w:val="14"/>
              </w:rPr>
              <w:t>Detailed description of model</w:t>
            </w:r>
          </w:p>
        </w:tc>
        <w:tc>
          <w:tcPr>
            <w:tcW w:w="2424" w:type="dxa"/>
            <w:shd w:val="clear" w:color="auto" w:fill="E2F0D9"/>
            <w:vAlign w:val="top"/>
          </w:tcPr>
          <w:p w14:paraId="3574298B">
            <w:pPr>
              <w:spacing w:after="0" w:line="240" w:lineRule="auto"/>
            </w:pPr>
            <w:r>
              <w:rPr>
                <w:b w:val="0"/>
                <w:sz w:val="14"/>
              </w:rPr>
              <w:t>Yes</w:t>
            </w:r>
          </w:p>
        </w:tc>
        <w:tc>
          <w:tcPr>
            <w:tcW w:w="2424" w:type="dxa"/>
            <w:vAlign w:val="top"/>
          </w:tcPr>
          <w:p w14:paraId="2F85263F">
            <w:pPr>
              <w:spacing w:after="0" w:line="240" w:lineRule="auto"/>
            </w:pPr>
            <w:r>
              <w:rPr>
                <w:b w:val="0"/>
                <w:sz w:val="14"/>
              </w:rPr>
              <w:t>Model Development, pp. 6–8; Fig. 2; Supplementary Table S5</w:t>
            </w:r>
          </w:p>
        </w:tc>
        <w:tc>
          <w:tcPr>
            <w:tcW w:w="2424" w:type="dxa"/>
            <w:vAlign w:val="top"/>
          </w:tcPr>
          <w:p w14:paraId="181FD90B">
            <w:pPr>
              <w:spacing w:after="0" w:line="240" w:lineRule="auto"/>
            </w:pPr>
            <w:r>
              <w:rPr>
                <w:b w:val="0"/>
                <w:sz w:val="14"/>
              </w:rPr>
              <w:t>SVM, MLP, Radiomics-TSMCR, and ResNet18-TSMCR architectures and input modalities are described; Supplementary Table S5 adds layer and hyperparameter details.</w:t>
            </w:r>
          </w:p>
        </w:tc>
      </w:tr>
      <w:tr w14:paraId="35EF6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24" w:type="dxa"/>
            <w:vAlign w:val="top"/>
          </w:tcPr>
          <w:p w14:paraId="2D219166">
            <w:pPr>
              <w:spacing w:after="0" w:line="240" w:lineRule="auto"/>
            </w:pPr>
            <w:r>
              <w:rPr>
                <w:b w:val="0"/>
                <w:sz w:val="14"/>
              </w:rPr>
              <w:t>METHODS: Model</w:t>
            </w:r>
          </w:p>
        </w:tc>
        <w:tc>
          <w:tcPr>
            <w:tcW w:w="2424" w:type="dxa"/>
            <w:vAlign w:val="top"/>
          </w:tcPr>
          <w:p w14:paraId="489BF297">
            <w:pPr>
              <w:spacing w:after="0" w:line="240" w:lineRule="auto"/>
            </w:pPr>
            <w:r>
              <w:rPr>
                <w:b w:val="0"/>
                <w:sz w:val="14"/>
              </w:rPr>
              <w:t>23</w:t>
            </w:r>
          </w:p>
        </w:tc>
        <w:tc>
          <w:tcPr>
            <w:tcW w:w="2424" w:type="dxa"/>
            <w:vAlign w:val="top"/>
          </w:tcPr>
          <w:p w14:paraId="30B9129F">
            <w:pPr>
              <w:spacing w:after="0" w:line="240" w:lineRule="auto"/>
            </w:pPr>
            <w:r>
              <w:rPr>
                <w:b w:val="0"/>
                <w:sz w:val="14"/>
              </w:rPr>
              <w:t>Software libraries, frameworks, and packages</w:t>
            </w:r>
          </w:p>
        </w:tc>
        <w:tc>
          <w:tcPr>
            <w:tcW w:w="2424" w:type="dxa"/>
            <w:shd w:val="clear" w:color="auto" w:fill="E2F0D9"/>
            <w:vAlign w:val="top"/>
          </w:tcPr>
          <w:p w14:paraId="66938882">
            <w:pPr>
              <w:spacing w:after="0" w:line="240" w:lineRule="auto"/>
            </w:pPr>
            <w:r>
              <w:rPr>
                <w:b w:val="0"/>
                <w:sz w:val="14"/>
              </w:rPr>
              <w:t>Yes</w:t>
            </w:r>
          </w:p>
        </w:tc>
        <w:tc>
          <w:tcPr>
            <w:tcW w:w="2424" w:type="dxa"/>
            <w:vAlign w:val="top"/>
          </w:tcPr>
          <w:p w14:paraId="023B2178">
            <w:pPr>
              <w:spacing w:after="0" w:line="240" w:lineRule="auto"/>
            </w:pPr>
            <w:r>
              <w:rPr>
                <w:b w:val="0"/>
                <w:sz w:val="14"/>
              </w:rPr>
              <w:t>Radiomics/Statistical Analysis, pp. 5 and 9; Supplementary Table S5</w:t>
            </w:r>
          </w:p>
        </w:tc>
        <w:tc>
          <w:tcPr>
            <w:tcW w:w="2424" w:type="dxa"/>
            <w:vAlign w:val="top"/>
          </w:tcPr>
          <w:p w14:paraId="61338301">
            <w:pPr>
              <w:spacing w:after="0" w:line="240" w:lineRule="auto"/>
            </w:pPr>
            <w:r>
              <w:rPr>
                <w:b w:val="0"/>
                <w:sz w:val="14"/>
              </w:rPr>
              <w:t>PyRadiomics, SPSS, Python, scikit-learn, PyTorch, torchvision, and key libraries are documented in the supplement.</w:t>
            </w:r>
          </w:p>
        </w:tc>
      </w:tr>
      <w:tr w14:paraId="2D9AE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24" w:type="dxa"/>
            <w:vAlign w:val="top"/>
          </w:tcPr>
          <w:p w14:paraId="1AE35198">
            <w:pPr>
              <w:spacing w:after="0" w:line="240" w:lineRule="auto"/>
            </w:pPr>
            <w:r>
              <w:rPr>
                <w:b w:val="0"/>
                <w:sz w:val="14"/>
              </w:rPr>
              <w:t>METHODS: Model</w:t>
            </w:r>
          </w:p>
        </w:tc>
        <w:tc>
          <w:tcPr>
            <w:tcW w:w="2424" w:type="dxa"/>
            <w:vAlign w:val="top"/>
          </w:tcPr>
          <w:p w14:paraId="241344EA">
            <w:pPr>
              <w:spacing w:after="0" w:line="240" w:lineRule="auto"/>
            </w:pPr>
            <w:r>
              <w:rPr>
                <w:b w:val="0"/>
                <w:sz w:val="14"/>
              </w:rPr>
              <w:t>24</w:t>
            </w:r>
          </w:p>
        </w:tc>
        <w:tc>
          <w:tcPr>
            <w:tcW w:w="2424" w:type="dxa"/>
            <w:vAlign w:val="top"/>
          </w:tcPr>
          <w:p w14:paraId="4F73CD6B">
            <w:pPr>
              <w:spacing w:after="0" w:line="240" w:lineRule="auto"/>
            </w:pPr>
            <w:r>
              <w:rPr>
                <w:b w:val="0"/>
                <w:sz w:val="14"/>
              </w:rPr>
              <w:t>Initialization of model parameters</w:t>
            </w:r>
          </w:p>
        </w:tc>
        <w:tc>
          <w:tcPr>
            <w:tcW w:w="2424" w:type="dxa"/>
            <w:shd w:val="clear" w:color="auto" w:fill="E2F0D9"/>
            <w:vAlign w:val="top"/>
          </w:tcPr>
          <w:p w14:paraId="7DB82B7E">
            <w:pPr>
              <w:spacing w:after="0" w:line="240" w:lineRule="auto"/>
            </w:pPr>
            <w:r>
              <w:rPr>
                <w:b w:val="0"/>
                <w:sz w:val="14"/>
              </w:rPr>
              <w:t>Yes</w:t>
            </w:r>
          </w:p>
        </w:tc>
        <w:tc>
          <w:tcPr>
            <w:tcW w:w="2424" w:type="dxa"/>
            <w:vAlign w:val="top"/>
          </w:tcPr>
          <w:p w14:paraId="7610E5FE">
            <w:pPr>
              <w:spacing w:after="0" w:line="240" w:lineRule="auto"/>
            </w:pPr>
            <w:r>
              <w:rPr>
                <w:b w:val="0"/>
                <w:sz w:val="14"/>
              </w:rPr>
              <w:t>Supplementary Table S5</w:t>
            </w:r>
          </w:p>
        </w:tc>
        <w:tc>
          <w:tcPr>
            <w:tcW w:w="2424" w:type="dxa"/>
            <w:vAlign w:val="top"/>
          </w:tcPr>
          <w:p w14:paraId="76770BC0">
            <w:pPr>
              <w:spacing w:after="0" w:line="240" w:lineRule="auto"/>
            </w:pPr>
            <w:r>
              <w:rPr>
                <w:b w:val="0"/>
                <w:sz w:val="14"/>
              </w:rPr>
              <w:t>MLP and Radiomics-TSMCR were randomly initialized; ResNet18-TSMCR used non-pretrained ResNet18 with random initialization for final configuration.</w:t>
            </w:r>
          </w:p>
        </w:tc>
      </w:tr>
      <w:tr w14:paraId="07EE6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24" w:type="dxa"/>
            <w:vAlign w:val="top"/>
          </w:tcPr>
          <w:p w14:paraId="16DF4DF0">
            <w:pPr>
              <w:spacing w:after="0" w:line="240" w:lineRule="auto"/>
            </w:pPr>
            <w:r>
              <w:rPr>
                <w:b w:val="0"/>
                <w:sz w:val="14"/>
              </w:rPr>
              <w:t>METHODS: Training</w:t>
            </w:r>
          </w:p>
        </w:tc>
        <w:tc>
          <w:tcPr>
            <w:tcW w:w="2424" w:type="dxa"/>
            <w:vAlign w:val="top"/>
          </w:tcPr>
          <w:p w14:paraId="14BD8E45">
            <w:pPr>
              <w:spacing w:after="0" w:line="240" w:lineRule="auto"/>
            </w:pPr>
            <w:r>
              <w:rPr>
                <w:b w:val="0"/>
                <w:sz w:val="14"/>
              </w:rPr>
              <w:t>25</w:t>
            </w:r>
          </w:p>
        </w:tc>
        <w:tc>
          <w:tcPr>
            <w:tcW w:w="2424" w:type="dxa"/>
            <w:vAlign w:val="top"/>
          </w:tcPr>
          <w:p w14:paraId="67123122">
            <w:pPr>
              <w:spacing w:after="0" w:line="240" w:lineRule="auto"/>
            </w:pPr>
            <w:r>
              <w:rPr>
                <w:b w:val="0"/>
                <w:sz w:val="14"/>
              </w:rPr>
              <w:t>Details of training approach</w:t>
            </w:r>
          </w:p>
        </w:tc>
        <w:tc>
          <w:tcPr>
            <w:tcW w:w="2424" w:type="dxa"/>
            <w:shd w:val="clear" w:color="auto" w:fill="E2F0D9"/>
            <w:vAlign w:val="top"/>
          </w:tcPr>
          <w:p w14:paraId="07B3E035">
            <w:pPr>
              <w:spacing w:after="0" w:line="240" w:lineRule="auto"/>
            </w:pPr>
            <w:r>
              <w:rPr>
                <w:b w:val="0"/>
                <w:sz w:val="14"/>
              </w:rPr>
              <w:t>Yes</w:t>
            </w:r>
          </w:p>
        </w:tc>
        <w:tc>
          <w:tcPr>
            <w:tcW w:w="2424" w:type="dxa"/>
            <w:vAlign w:val="top"/>
          </w:tcPr>
          <w:p w14:paraId="7EB07525">
            <w:pPr>
              <w:spacing w:after="0" w:line="240" w:lineRule="auto"/>
            </w:pPr>
            <w:r>
              <w:rPr>
                <w:b w:val="0"/>
                <w:sz w:val="14"/>
              </w:rPr>
              <w:t>Model Development/Evaluation, pp. 6–8; Supplementary Table S5</w:t>
            </w:r>
          </w:p>
        </w:tc>
        <w:tc>
          <w:tcPr>
            <w:tcW w:w="2424" w:type="dxa"/>
            <w:vAlign w:val="top"/>
          </w:tcPr>
          <w:p w14:paraId="2101E53A">
            <w:pPr>
              <w:spacing w:after="0" w:line="240" w:lineRule="auto"/>
            </w:pPr>
            <w:r>
              <w:rPr>
                <w:b w:val="0"/>
                <w:sz w:val="14"/>
              </w:rPr>
              <w:t>Training details include training-set-only preprocessing, 5-fold OOF calibration, early stopping, hyperparameter ranges, batch sizes, learning rates, regularization, and loss functions.</w:t>
            </w:r>
          </w:p>
        </w:tc>
      </w:tr>
      <w:tr w14:paraId="27370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24" w:type="dxa"/>
            <w:vAlign w:val="top"/>
          </w:tcPr>
          <w:p w14:paraId="170C6FE9">
            <w:pPr>
              <w:spacing w:after="0" w:line="240" w:lineRule="auto"/>
            </w:pPr>
            <w:r>
              <w:rPr>
                <w:b w:val="0"/>
                <w:sz w:val="14"/>
              </w:rPr>
              <w:t>METHODS: Training</w:t>
            </w:r>
          </w:p>
        </w:tc>
        <w:tc>
          <w:tcPr>
            <w:tcW w:w="2424" w:type="dxa"/>
            <w:vAlign w:val="top"/>
          </w:tcPr>
          <w:p w14:paraId="122C8D86">
            <w:pPr>
              <w:spacing w:after="0" w:line="240" w:lineRule="auto"/>
            </w:pPr>
            <w:r>
              <w:rPr>
                <w:b w:val="0"/>
                <w:sz w:val="14"/>
              </w:rPr>
              <w:t>26</w:t>
            </w:r>
          </w:p>
        </w:tc>
        <w:tc>
          <w:tcPr>
            <w:tcW w:w="2424" w:type="dxa"/>
            <w:vAlign w:val="top"/>
          </w:tcPr>
          <w:p w14:paraId="7E336210">
            <w:pPr>
              <w:spacing w:after="0" w:line="240" w:lineRule="auto"/>
            </w:pPr>
            <w:r>
              <w:rPr>
                <w:b w:val="0"/>
                <w:sz w:val="14"/>
              </w:rPr>
              <w:t>Method of selecting the final model</w:t>
            </w:r>
          </w:p>
        </w:tc>
        <w:tc>
          <w:tcPr>
            <w:tcW w:w="2424" w:type="dxa"/>
            <w:shd w:val="clear" w:color="auto" w:fill="E2F0D9"/>
            <w:vAlign w:val="top"/>
          </w:tcPr>
          <w:p w14:paraId="68BC8D38">
            <w:pPr>
              <w:spacing w:after="0" w:line="240" w:lineRule="auto"/>
            </w:pPr>
            <w:r>
              <w:rPr>
                <w:b w:val="0"/>
                <w:sz w:val="14"/>
              </w:rPr>
              <w:t>Yes</w:t>
            </w:r>
          </w:p>
        </w:tc>
        <w:tc>
          <w:tcPr>
            <w:tcW w:w="2424" w:type="dxa"/>
            <w:vAlign w:val="top"/>
          </w:tcPr>
          <w:p w14:paraId="0283181B">
            <w:pPr>
              <w:spacing w:after="0" w:line="240" w:lineRule="auto"/>
            </w:pPr>
            <w:r>
              <w:rPr>
                <w:b w:val="0"/>
                <w:sz w:val="14"/>
              </w:rPr>
              <w:t>Model Development, p. 6; Results, pp. 9–10; Supplementary Table S5</w:t>
            </w:r>
          </w:p>
        </w:tc>
        <w:tc>
          <w:tcPr>
            <w:tcW w:w="2424" w:type="dxa"/>
            <w:vAlign w:val="top"/>
          </w:tcPr>
          <w:p w14:paraId="7E97A659">
            <w:pPr>
              <w:spacing w:after="0" w:line="240" w:lineRule="auto"/>
            </w:pPr>
            <w:r>
              <w:rPr>
                <w:b w:val="0"/>
                <w:sz w:val="14"/>
              </w:rPr>
              <w:t>Radiomics-TSMCR was prespecified as the primary model. Operating thresholds were derived from the training cohort; comparator models were evaluated on the same internal testing set.</w:t>
            </w:r>
          </w:p>
        </w:tc>
      </w:tr>
      <w:tr w14:paraId="6AD34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24" w:type="dxa"/>
            <w:vAlign w:val="top"/>
          </w:tcPr>
          <w:p w14:paraId="082496E0">
            <w:pPr>
              <w:spacing w:after="0" w:line="240" w:lineRule="auto"/>
            </w:pPr>
            <w:r>
              <w:rPr>
                <w:b w:val="0"/>
                <w:sz w:val="14"/>
              </w:rPr>
              <w:t>METHODS: Training</w:t>
            </w:r>
          </w:p>
        </w:tc>
        <w:tc>
          <w:tcPr>
            <w:tcW w:w="2424" w:type="dxa"/>
            <w:vAlign w:val="top"/>
          </w:tcPr>
          <w:p w14:paraId="0C6AED80">
            <w:pPr>
              <w:spacing w:after="0" w:line="240" w:lineRule="auto"/>
            </w:pPr>
            <w:r>
              <w:rPr>
                <w:b w:val="0"/>
                <w:sz w:val="14"/>
              </w:rPr>
              <w:t>27</w:t>
            </w:r>
          </w:p>
        </w:tc>
        <w:tc>
          <w:tcPr>
            <w:tcW w:w="2424" w:type="dxa"/>
            <w:vAlign w:val="top"/>
          </w:tcPr>
          <w:p w14:paraId="3F4BC238">
            <w:pPr>
              <w:spacing w:after="0" w:line="240" w:lineRule="auto"/>
            </w:pPr>
            <w:r>
              <w:rPr>
                <w:b w:val="0"/>
                <w:sz w:val="14"/>
              </w:rPr>
              <w:t>Ensembling techniques</w:t>
            </w:r>
          </w:p>
        </w:tc>
        <w:tc>
          <w:tcPr>
            <w:tcW w:w="2424" w:type="dxa"/>
            <w:shd w:val="clear" w:color="auto" w:fill="E2F0D9"/>
            <w:vAlign w:val="top"/>
          </w:tcPr>
          <w:p w14:paraId="66E10AA1">
            <w:pPr>
              <w:spacing w:after="0" w:line="240" w:lineRule="auto"/>
            </w:pPr>
            <w:r>
              <w:rPr>
                <w:b w:val="0"/>
                <w:sz w:val="14"/>
              </w:rPr>
              <w:t>Yes</w:t>
            </w:r>
          </w:p>
        </w:tc>
        <w:tc>
          <w:tcPr>
            <w:tcW w:w="2424" w:type="dxa"/>
            <w:vAlign w:val="top"/>
          </w:tcPr>
          <w:p w14:paraId="7DD2BB35">
            <w:pPr>
              <w:spacing w:after="0" w:line="240" w:lineRule="auto"/>
            </w:pPr>
            <w:r>
              <w:rPr>
                <w:b w:val="0"/>
                <w:sz w:val="14"/>
              </w:rPr>
              <w:t>Radiomics-TSMCR, p. 7; Supplementary Table S5</w:t>
            </w:r>
          </w:p>
        </w:tc>
        <w:tc>
          <w:tcPr>
            <w:tcW w:w="2424" w:type="dxa"/>
            <w:vAlign w:val="top"/>
          </w:tcPr>
          <w:p w14:paraId="7D44F168">
            <w:pPr>
              <w:spacing w:after="0" w:line="240" w:lineRule="auto"/>
            </w:pPr>
            <w:r>
              <w:rPr>
                <w:b w:val="0"/>
                <w:sz w:val="14"/>
              </w:rPr>
              <w:t>Radiomics-TSMCR used a five-seed ensemble; final probabilities were averaged across calibrated seed-level outputs.</w:t>
            </w:r>
          </w:p>
        </w:tc>
      </w:tr>
      <w:tr w14:paraId="5F3ED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24" w:type="dxa"/>
            <w:vAlign w:val="top"/>
          </w:tcPr>
          <w:p w14:paraId="090DAE7B">
            <w:pPr>
              <w:spacing w:after="0" w:line="240" w:lineRule="auto"/>
            </w:pPr>
            <w:r>
              <w:rPr>
                <w:b w:val="0"/>
                <w:sz w:val="14"/>
              </w:rPr>
              <w:t>METHODS: Evaluation</w:t>
            </w:r>
          </w:p>
        </w:tc>
        <w:tc>
          <w:tcPr>
            <w:tcW w:w="2424" w:type="dxa"/>
            <w:vAlign w:val="top"/>
          </w:tcPr>
          <w:p w14:paraId="10DB64E1">
            <w:pPr>
              <w:spacing w:after="0" w:line="240" w:lineRule="auto"/>
            </w:pPr>
            <w:r>
              <w:rPr>
                <w:b w:val="0"/>
                <w:sz w:val="14"/>
              </w:rPr>
              <w:t>28</w:t>
            </w:r>
          </w:p>
        </w:tc>
        <w:tc>
          <w:tcPr>
            <w:tcW w:w="2424" w:type="dxa"/>
            <w:vAlign w:val="top"/>
          </w:tcPr>
          <w:p w14:paraId="5C0EB809">
            <w:pPr>
              <w:spacing w:after="0" w:line="240" w:lineRule="auto"/>
            </w:pPr>
            <w:r>
              <w:rPr>
                <w:b w:val="0"/>
                <w:sz w:val="14"/>
              </w:rPr>
              <w:t>Metrics of model performance</w:t>
            </w:r>
          </w:p>
        </w:tc>
        <w:tc>
          <w:tcPr>
            <w:tcW w:w="2424" w:type="dxa"/>
            <w:shd w:val="clear" w:color="auto" w:fill="E2F0D9"/>
            <w:vAlign w:val="top"/>
          </w:tcPr>
          <w:p w14:paraId="620BB20E">
            <w:pPr>
              <w:spacing w:after="0" w:line="240" w:lineRule="auto"/>
            </w:pPr>
            <w:r>
              <w:rPr>
                <w:b w:val="0"/>
                <w:sz w:val="14"/>
              </w:rPr>
              <w:t>Yes</w:t>
            </w:r>
          </w:p>
        </w:tc>
        <w:tc>
          <w:tcPr>
            <w:tcW w:w="2424" w:type="dxa"/>
            <w:vAlign w:val="top"/>
          </w:tcPr>
          <w:p w14:paraId="18E56C05">
            <w:pPr>
              <w:spacing w:after="0" w:line="240" w:lineRule="auto"/>
            </w:pPr>
            <w:r>
              <w:rPr>
                <w:b w:val="0"/>
                <w:sz w:val="14"/>
              </w:rPr>
              <w:t>Model Evaluation, p. 8</w:t>
            </w:r>
          </w:p>
        </w:tc>
        <w:tc>
          <w:tcPr>
            <w:tcW w:w="2424" w:type="dxa"/>
            <w:vAlign w:val="top"/>
          </w:tcPr>
          <w:p w14:paraId="5F76F816">
            <w:pPr>
              <w:spacing w:after="0" w:line="240" w:lineRule="auto"/>
            </w:pPr>
            <w:r>
              <w:rPr>
                <w:b w:val="0"/>
                <w:sz w:val="14"/>
              </w:rPr>
              <w:t>AUC, accuracy, sensitivity, specificity, PPV, NPV, F1 score, calibration, HL test, DeLong test, DCA, and SHAP are described.</w:t>
            </w:r>
          </w:p>
        </w:tc>
      </w:tr>
      <w:tr w14:paraId="70E39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24" w:type="dxa"/>
            <w:vAlign w:val="top"/>
          </w:tcPr>
          <w:p w14:paraId="2B96CD70">
            <w:pPr>
              <w:spacing w:after="0" w:line="240" w:lineRule="auto"/>
            </w:pPr>
            <w:r>
              <w:rPr>
                <w:b w:val="0"/>
                <w:sz w:val="14"/>
              </w:rPr>
              <w:t>METHODS: Evaluation</w:t>
            </w:r>
          </w:p>
        </w:tc>
        <w:tc>
          <w:tcPr>
            <w:tcW w:w="2424" w:type="dxa"/>
            <w:vAlign w:val="top"/>
          </w:tcPr>
          <w:p w14:paraId="2CDDC79E">
            <w:pPr>
              <w:spacing w:after="0" w:line="240" w:lineRule="auto"/>
            </w:pPr>
            <w:r>
              <w:rPr>
                <w:b w:val="0"/>
                <w:sz w:val="14"/>
              </w:rPr>
              <w:t>29</w:t>
            </w:r>
          </w:p>
        </w:tc>
        <w:tc>
          <w:tcPr>
            <w:tcW w:w="2424" w:type="dxa"/>
            <w:vAlign w:val="top"/>
          </w:tcPr>
          <w:p w14:paraId="00BBDB1D">
            <w:pPr>
              <w:spacing w:after="0" w:line="240" w:lineRule="auto"/>
            </w:pPr>
            <w:r>
              <w:rPr>
                <w:b w:val="0"/>
                <w:sz w:val="14"/>
              </w:rPr>
              <w:t>Statistical measures of significance and uncertainty</w:t>
            </w:r>
          </w:p>
        </w:tc>
        <w:tc>
          <w:tcPr>
            <w:tcW w:w="2424" w:type="dxa"/>
            <w:shd w:val="clear" w:color="auto" w:fill="E2F0D9"/>
            <w:vAlign w:val="top"/>
          </w:tcPr>
          <w:p w14:paraId="5EC6B339">
            <w:pPr>
              <w:spacing w:after="0" w:line="240" w:lineRule="auto"/>
            </w:pPr>
            <w:r>
              <w:rPr>
                <w:b w:val="0"/>
                <w:sz w:val="14"/>
              </w:rPr>
              <w:t>Yes</w:t>
            </w:r>
          </w:p>
        </w:tc>
        <w:tc>
          <w:tcPr>
            <w:tcW w:w="2424" w:type="dxa"/>
            <w:vAlign w:val="top"/>
          </w:tcPr>
          <w:p w14:paraId="6F109861">
            <w:pPr>
              <w:spacing w:after="0" w:line="240" w:lineRule="auto"/>
            </w:pPr>
            <w:r>
              <w:rPr>
                <w:b w:val="0"/>
                <w:sz w:val="14"/>
              </w:rPr>
              <w:t>Model Evaluation and Statistical Analysis, pp. 8–9</w:t>
            </w:r>
          </w:p>
        </w:tc>
        <w:tc>
          <w:tcPr>
            <w:tcW w:w="2424" w:type="dxa"/>
            <w:vAlign w:val="top"/>
          </w:tcPr>
          <w:p w14:paraId="4F443A40">
            <w:pPr>
              <w:spacing w:after="0" w:line="240" w:lineRule="auto"/>
            </w:pPr>
            <w:r>
              <w:rPr>
                <w:b w:val="0"/>
                <w:sz w:val="14"/>
              </w:rPr>
              <w:t>AUC 95% CIs, DeLong testing, HL testing, bootstrap CIs, and two-sided P-value threshold are reported.</w:t>
            </w:r>
          </w:p>
        </w:tc>
      </w:tr>
      <w:tr w14:paraId="00742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24" w:type="dxa"/>
            <w:vAlign w:val="top"/>
          </w:tcPr>
          <w:p w14:paraId="48D3BDC0">
            <w:pPr>
              <w:spacing w:after="0" w:line="240" w:lineRule="auto"/>
            </w:pPr>
            <w:r>
              <w:rPr>
                <w:b w:val="0"/>
                <w:sz w:val="14"/>
              </w:rPr>
              <w:t>METHODS: Evaluation</w:t>
            </w:r>
          </w:p>
        </w:tc>
        <w:tc>
          <w:tcPr>
            <w:tcW w:w="2424" w:type="dxa"/>
            <w:vAlign w:val="top"/>
          </w:tcPr>
          <w:p w14:paraId="45D26CC4">
            <w:pPr>
              <w:spacing w:after="0" w:line="240" w:lineRule="auto"/>
            </w:pPr>
            <w:r>
              <w:rPr>
                <w:b w:val="0"/>
                <w:sz w:val="14"/>
              </w:rPr>
              <w:t>30</w:t>
            </w:r>
          </w:p>
        </w:tc>
        <w:tc>
          <w:tcPr>
            <w:tcW w:w="2424" w:type="dxa"/>
            <w:vAlign w:val="top"/>
          </w:tcPr>
          <w:p w14:paraId="33EC6BF2">
            <w:pPr>
              <w:spacing w:after="0" w:line="240" w:lineRule="auto"/>
            </w:pPr>
            <w:r>
              <w:rPr>
                <w:b w:val="0"/>
                <w:sz w:val="14"/>
              </w:rPr>
              <w:t>Robustness or sensitivity analysis</w:t>
            </w:r>
          </w:p>
        </w:tc>
        <w:tc>
          <w:tcPr>
            <w:tcW w:w="2424" w:type="dxa"/>
            <w:shd w:val="clear" w:color="auto" w:fill="E2F0D9"/>
            <w:vAlign w:val="top"/>
          </w:tcPr>
          <w:p w14:paraId="250CE8F0">
            <w:pPr>
              <w:spacing w:after="0" w:line="240" w:lineRule="auto"/>
            </w:pPr>
            <w:r>
              <w:rPr>
                <w:b w:val="0"/>
                <w:sz w:val="14"/>
              </w:rPr>
              <w:t>Yes</w:t>
            </w:r>
          </w:p>
        </w:tc>
        <w:tc>
          <w:tcPr>
            <w:tcW w:w="2424" w:type="dxa"/>
            <w:vAlign w:val="top"/>
          </w:tcPr>
          <w:p w14:paraId="419B1DF6">
            <w:pPr>
              <w:spacing w:after="0" w:line="240" w:lineRule="auto"/>
            </w:pPr>
            <w:r>
              <w:rPr>
                <w:b w:val="0"/>
                <w:sz w:val="14"/>
              </w:rPr>
              <w:t>Model Evaluation, p. 8; Results, pp. 10–11; Supplementary Table S5</w:t>
            </w:r>
          </w:p>
        </w:tc>
        <w:tc>
          <w:tcPr>
            <w:tcW w:w="2424" w:type="dxa"/>
            <w:vAlign w:val="top"/>
          </w:tcPr>
          <w:p w14:paraId="494BBAF4">
            <w:pPr>
              <w:spacing w:after="0" w:line="240" w:lineRule="auto"/>
            </w:pPr>
            <w:r>
              <w:rPr>
                <w:b w:val="0"/>
                <w:sz w:val="14"/>
              </w:rPr>
              <w:t>Post hoc recalibration with Platt scaling and isotonic regression, five-seed ensemble, and OOF-based threshold selection are reported. No external robustness testing was available.</w:t>
            </w:r>
          </w:p>
        </w:tc>
      </w:tr>
      <w:tr w14:paraId="3D02D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24" w:type="dxa"/>
            <w:vAlign w:val="top"/>
          </w:tcPr>
          <w:p w14:paraId="6A6CBFB4">
            <w:pPr>
              <w:spacing w:after="0" w:line="240" w:lineRule="auto"/>
            </w:pPr>
            <w:r>
              <w:rPr>
                <w:b w:val="0"/>
                <w:sz w:val="14"/>
              </w:rPr>
              <w:t>METHODS: Evaluation</w:t>
            </w:r>
          </w:p>
        </w:tc>
        <w:tc>
          <w:tcPr>
            <w:tcW w:w="2424" w:type="dxa"/>
            <w:vAlign w:val="top"/>
          </w:tcPr>
          <w:p w14:paraId="5F4BE7E8">
            <w:pPr>
              <w:spacing w:after="0" w:line="240" w:lineRule="auto"/>
            </w:pPr>
            <w:r>
              <w:rPr>
                <w:b w:val="0"/>
                <w:sz w:val="14"/>
              </w:rPr>
              <w:t>31</w:t>
            </w:r>
          </w:p>
        </w:tc>
        <w:tc>
          <w:tcPr>
            <w:tcW w:w="2424" w:type="dxa"/>
            <w:vAlign w:val="top"/>
          </w:tcPr>
          <w:p w14:paraId="4036A264">
            <w:pPr>
              <w:spacing w:after="0" w:line="240" w:lineRule="auto"/>
            </w:pPr>
            <w:r>
              <w:rPr>
                <w:b w:val="0"/>
                <w:sz w:val="14"/>
              </w:rPr>
              <w:t>Methods for explainability or interpretability</w:t>
            </w:r>
          </w:p>
        </w:tc>
        <w:tc>
          <w:tcPr>
            <w:tcW w:w="2424" w:type="dxa"/>
            <w:shd w:val="clear" w:color="auto" w:fill="E2F0D9"/>
            <w:vAlign w:val="top"/>
          </w:tcPr>
          <w:p w14:paraId="61ABF4C0">
            <w:pPr>
              <w:spacing w:after="0" w:line="240" w:lineRule="auto"/>
            </w:pPr>
            <w:r>
              <w:rPr>
                <w:b w:val="0"/>
                <w:sz w:val="14"/>
              </w:rPr>
              <w:t>Yes</w:t>
            </w:r>
          </w:p>
        </w:tc>
        <w:tc>
          <w:tcPr>
            <w:tcW w:w="2424" w:type="dxa"/>
            <w:vAlign w:val="top"/>
          </w:tcPr>
          <w:p w14:paraId="5C6D2C1F">
            <w:pPr>
              <w:spacing w:after="0" w:line="240" w:lineRule="auto"/>
            </w:pPr>
            <w:r>
              <w:rPr>
                <w:b w:val="0"/>
                <w:sz w:val="14"/>
              </w:rPr>
              <w:t>SHAP Methods, p. 8; Results, p. 11</w:t>
            </w:r>
          </w:p>
        </w:tc>
        <w:tc>
          <w:tcPr>
            <w:tcW w:w="2424" w:type="dxa"/>
            <w:vAlign w:val="top"/>
          </w:tcPr>
          <w:p w14:paraId="79B7EA44">
            <w:pPr>
              <w:spacing w:after="0" w:line="240" w:lineRule="auto"/>
            </w:pPr>
            <w:r>
              <w:rPr>
                <w:b w:val="0"/>
                <w:sz w:val="14"/>
              </w:rPr>
              <w:t>SHAP was used in the internal testing set to interpret Radiomics-TSMCR output.</w:t>
            </w:r>
          </w:p>
        </w:tc>
      </w:tr>
      <w:tr w14:paraId="563DB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24" w:type="dxa"/>
            <w:vAlign w:val="top"/>
          </w:tcPr>
          <w:p w14:paraId="648D6FB6">
            <w:pPr>
              <w:spacing w:after="0" w:line="240" w:lineRule="auto"/>
            </w:pPr>
            <w:r>
              <w:rPr>
                <w:b w:val="0"/>
                <w:sz w:val="14"/>
              </w:rPr>
              <w:t>METHODS: Evaluation</w:t>
            </w:r>
          </w:p>
        </w:tc>
        <w:tc>
          <w:tcPr>
            <w:tcW w:w="2424" w:type="dxa"/>
            <w:vAlign w:val="top"/>
          </w:tcPr>
          <w:p w14:paraId="39196F16">
            <w:pPr>
              <w:spacing w:after="0" w:line="240" w:lineRule="auto"/>
            </w:pPr>
            <w:r>
              <w:rPr>
                <w:b w:val="0"/>
                <w:sz w:val="14"/>
              </w:rPr>
              <w:t>32</w:t>
            </w:r>
          </w:p>
        </w:tc>
        <w:tc>
          <w:tcPr>
            <w:tcW w:w="2424" w:type="dxa"/>
            <w:vAlign w:val="top"/>
          </w:tcPr>
          <w:p w14:paraId="075B07AA">
            <w:pPr>
              <w:spacing w:after="0" w:line="240" w:lineRule="auto"/>
            </w:pPr>
            <w:r>
              <w:rPr>
                <w:b w:val="0"/>
                <w:sz w:val="14"/>
              </w:rPr>
              <w:t>Evaluation on internal data</w:t>
            </w:r>
          </w:p>
        </w:tc>
        <w:tc>
          <w:tcPr>
            <w:tcW w:w="2424" w:type="dxa"/>
            <w:shd w:val="clear" w:color="auto" w:fill="E2F0D9"/>
            <w:vAlign w:val="top"/>
          </w:tcPr>
          <w:p w14:paraId="268CA7CD">
            <w:pPr>
              <w:spacing w:after="0" w:line="240" w:lineRule="auto"/>
            </w:pPr>
            <w:r>
              <w:rPr>
                <w:b w:val="0"/>
                <w:sz w:val="14"/>
              </w:rPr>
              <w:t>Yes</w:t>
            </w:r>
          </w:p>
        </w:tc>
        <w:tc>
          <w:tcPr>
            <w:tcW w:w="2424" w:type="dxa"/>
            <w:vAlign w:val="top"/>
          </w:tcPr>
          <w:p w14:paraId="1B4620ED">
            <w:pPr>
              <w:spacing w:after="0" w:line="240" w:lineRule="auto"/>
            </w:pPr>
            <w:r>
              <w:rPr>
                <w:b w:val="0"/>
                <w:sz w:val="14"/>
              </w:rPr>
              <w:t>Results, pp. 9–11; Table 2</w:t>
            </w:r>
          </w:p>
        </w:tc>
        <w:tc>
          <w:tcPr>
            <w:tcW w:w="2424" w:type="dxa"/>
            <w:vAlign w:val="top"/>
          </w:tcPr>
          <w:p w14:paraId="0E379483">
            <w:pPr>
              <w:spacing w:after="0" w:line="240" w:lineRule="auto"/>
            </w:pPr>
            <w:r>
              <w:rPr>
                <w:b w:val="0"/>
                <w:sz w:val="14"/>
              </w:rPr>
              <w:t>Internal testing performance is reported for all six models. Training ROC used OOF predictions where applicable.</w:t>
            </w:r>
          </w:p>
        </w:tc>
      </w:tr>
      <w:tr w14:paraId="19729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24" w:type="dxa"/>
            <w:vAlign w:val="top"/>
          </w:tcPr>
          <w:p w14:paraId="32902FE2">
            <w:pPr>
              <w:spacing w:after="0" w:line="240" w:lineRule="auto"/>
            </w:pPr>
            <w:r>
              <w:rPr>
                <w:b w:val="0"/>
                <w:sz w:val="14"/>
              </w:rPr>
              <w:t>METHODS: Evaluation</w:t>
            </w:r>
          </w:p>
        </w:tc>
        <w:tc>
          <w:tcPr>
            <w:tcW w:w="2424" w:type="dxa"/>
            <w:vAlign w:val="top"/>
          </w:tcPr>
          <w:p w14:paraId="46CD8E03">
            <w:pPr>
              <w:spacing w:after="0" w:line="240" w:lineRule="auto"/>
            </w:pPr>
            <w:r>
              <w:rPr>
                <w:b w:val="0"/>
                <w:sz w:val="14"/>
              </w:rPr>
              <w:t>33</w:t>
            </w:r>
          </w:p>
        </w:tc>
        <w:tc>
          <w:tcPr>
            <w:tcW w:w="2424" w:type="dxa"/>
            <w:vAlign w:val="top"/>
          </w:tcPr>
          <w:p w14:paraId="09D75823">
            <w:pPr>
              <w:spacing w:after="0" w:line="240" w:lineRule="auto"/>
            </w:pPr>
            <w:r>
              <w:rPr>
                <w:b w:val="0"/>
                <w:sz w:val="14"/>
              </w:rPr>
              <w:t>Testing on external data</w:t>
            </w:r>
          </w:p>
        </w:tc>
        <w:tc>
          <w:tcPr>
            <w:tcW w:w="2424" w:type="dxa"/>
            <w:shd w:val="clear" w:color="auto" w:fill="E2F0D9"/>
            <w:vAlign w:val="top"/>
          </w:tcPr>
          <w:p w14:paraId="220F1132">
            <w:pPr>
              <w:spacing w:after="0" w:line="240" w:lineRule="auto"/>
              <w:rPr>
                <w:rFonts w:hint="eastAsia" w:eastAsia="宋体"/>
                <w:lang w:eastAsia="zh-CN"/>
              </w:rPr>
            </w:pPr>
            <w:r>
              <w:rPr>
                <w:rFonts w:hint="eastAsia" w:eastAsia="宋体"/>
                <w:b w:val="0"/>
                <w:sz w:val="14"/>
                <w:lang w:val="en-US" w:eastAsia="zh-CN"/>
              </w:rPr>
              <w:t>NO</w:t>
            </w:r>
          </w:p>
        </w:tc>
        <w:tc>
          <w:tcPr>
            <w:tcW w:w="2424" w:type="dxa"/>
            <w:vAlign w:val="top"/>
          </w:tcPr>
          <w:p w14:paraId="7A6FB4FF">
            <w:pPr>
              <w:spacing w:after="0" w:line="240" w:lineRule="auto"/>
            </w:pPr>
            <w:r>
              <w:rPr>
                <w:b w:val="0"/>
                <w:sz w:val="14"/>
              </w:rPr>
              <w:t>Discussion, pp. 13–14</w:t>
            </w:r>
            <w:bookmarkStart w:id="0" w:name="_GoBack"/>
            <w:bookmarkEnd w:id="0"/>
          </w:p>
        </w:tc>
        <w:tc>
          <w:tcPr>
            <w:tcW w:w="2424" w:type="dxa"/>
            <w:vAlign w:val="top"/>
          </w:tcPr>
          <w:p w14:paraId="20E4230E">
            <w:pPr>
              <w:spacing w:after="0" w:line="240" w:lineRule="auto"/>
            </w:pPr>
            <w:r>
              <w:rPr>
                <w:b w:val="0"/>
                <w:sz w:val="14"/>
              </w:rPr>
              <w:t>No independent external testing was performed; this is acknowledged and justified as a limitation.</w:t>
            </w:r>
          </w:p>
        </w:tc>
      </w:tr>
      <w:tr w14:paraId="408EC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24" w:type="dxa"/>
            <w:vAlign w:val="top"/>
          </w:tcPr>
          <w:p w14:paraId="338F3254">
            <w:pPr>
              <w:spacing w:after="0" w:line="240" w:lineRule="auto"/>
            </w:pPr>
            <w:r>
              <w:rPr>
                <w:b w:val="0"/>
                <w:sz w:val="14"/>
              </w:rPr>
              <w:t>METHODS: Evaluation</w:t>
            </w:r>
          </w:p>
        </w:tc>
        <w:tc>
          <w:tcPr>
            <w:tcW w:w="2424" w:type="dxa"/>
            <w:vAlign w:val="top"/>
          </w:tcPr>
          <w:p w14:paraId="15379866">
            <w:pPr>
              <w:spacing w:after="0" w:line="240" w:lineRule="auto"/>
            </w:pPr>
            <w:r>
              <w:rPr>
                <w:b w:val="0"/>
                <w:sz w:val="14"/>
              </w:rPr>
              <w:t>34</w:t>
            </w:r>
          </w:p>
        </w:tc>
        <w:tc>
          <w:tcPr>
            <w:tcW w:w="2424" w:type="dxa"/>
            <w:vAlign w:val="top"/>
          </w:tcPr>
          <w:p w14:paraId="10874C3D">
            <w:pPr>
              <w:spacing w:after="0" w:line="240" w:lineRule="auto"/>
            </w:pPr>
            <w:r>
              <w:rPr>
                <w:b w:val="0"/>
                <w:sz w:val="14"/>
              </w:rPr>
              <w:t>Clinical trial registration</w:t>
            </w:r>
          </w:p>
        </w:tc>
        <w:tc>
          <w:tcPr>
            <w:tcW w:w="2424" w:type="dxa"/>
            <w:shd w:val="clear" w:color="auto" w:fill="D9EAF7"/>
            <w:vAlign w:val="top"/>
          </w:tcPr>
          <w:p w14:paraId="76E499F1">
            <w:pPr>
              <w:spacing w:after="0" w:line="240" w:lineRule="auto"/>
            </w:pPr>
            <w:r>
              <w:rPr>
                <w:b w:val="0"/>
                <w:sz w:val="14"/>
              </w:rPr>
              <w:t>NA</w:t>
            </w:r>
          </w:p>
        </w:tc>
        <w:tc>
          <w:tcPr>
            <w:tcW w:w="2424" w:type="dxa"/>
            <w:vAlign w:val="top"/>
          </w:tcPr>
          <w:p w14:paraId="188EEA00">
            <w:pPr>
              <w:spacing w:after="0" w:line="240" w:lineRule="auto"/>
            </w:pPr>
            <w:r>
              <w:rPr>
                <w:b w:val="0"/>
                <w:sz w:val="14"/>
              </w:rPr>
              <w:t>Not applicable</w:t>
            </w:r>
          </w:p>
        </w:tc>
        <w:tc>
          <w:tcPr>
            <w:tcW w:w="2424" w:type="dxa"/>
            <w:vAlign w:val="top"/>
          </w:tcPr>
          <w:p w14:paraId="049C8E34">
            <w:pPr>
              <w:spacing w:after="0" w:line="240" w:lineRule="auto"/>
            </w:pPr>
            <w:r>
              <w:rPr>
                <w:b w:val="0"/>
                <w:sz w:val="14"/>
              </w:rPr>
              <w:t>Retrospective observational study; no interventional clinical trial was conducted.</w:t>
            </w:r>
          </w:p>
        </w:tc>
      </w:tr>
      <w:tr w14:paraId="56E40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24" w:type="dxa"/>
            <w:vAlign w:val="top"/>
          </w:tcPr>
          <w:p w14:paraId="3404F85B">
            <w:pPr>
              <w:spacing w:after="0" w:line="240" w:lineRule="auto"/>
            </w:pPr>
            <w:r>
              <w:rPr>
                <w:b w:val="0"/>
                <w:sz w:val="14"/>
              </w:rPr>
              <w:t>RESULTS: Data</w:t>
            </w:r>
          </w:p>
        </w:tc>
        <w:tc>
          <w:tcPr>
            <w:tcW w:w="2424" w:type="dxa"/>
            <w:vAlign w:val="top"/>
          </w:tcPr>
          <w:p w14:paraId="4043386D">
            <w:pPr>
              <w:spacing w:after="0" w:line="240" w:lineRule="auto"/>
            </w:pPr>
            <w:r>
              <w:rPr>
                <w:b w:val="0"/>
                <w:sz w:val="14"/>
              </w:rPr>
              <w:t>35</w:t>
            </w:r>
          </w:p>
        </w:tc>
        <w:tc>
          <w:tcPr>
            <w:tcW w:w="2424" w:type="dxa"/>
            <w:vAlign w:val="top"/>
          </w:tcPr>
          <w:p w14:paraId="4B68A7F6">
            <w:pPr>
              <w:spacing w:after="0" w:line="240" w:lineRule="auto"/>
            </w:pPr>
            <w:r>
              <w:rPr>
                <w:b w:val="0"/>
                <w:sz w:val="14"/>
              </w:rPr>
              <w:t>Numbers of patients or examinations included and excluded</w:t>
            </w:r>
          </w:p>
        </w:tc>
        <w:tc>
          <w:tcPr>
            <w:tcW w:w="2424" w:type="dxa"/>
            <w:shd w:val="clear" w:color="auto" w:fill="E2F0D9"/>
            <w:vAlign w:val="top"/>
          </w:tcPr>
          <w:p w14:paraId="11078641">
            <w:pPr>
              <w:spacing w:after="0" w:line="240" w:lineRule="auto"/>
            </w:pPr>
            <w:r>
              <w:rPr>
                <w:b w:val="0"/>
                <w:sz w:val="14"/>
              </w:rPr>
              <w:t>Yes</w:t>
            </w:r>
          </w:p>
        </w:tc>
        <w:tc>
          <w:tcPr>
            <w:tcW w:w="2424" w:type="dxa"/>
            <w:vAlign w:val="top"/>
          </w:tcPr>
          <w:p w14:paraId="5C1BC14A">
            <w:pPr>
              <w:spacing w:after="0" w:line="240" w:lineRule="auto"/>
            </w:pPr>
            <w:r>
              <w:rPr>
                <w:b w:val="0"/>
                <w:sz w:val="14"/>
              </w:rPr>
              <w:t>Fig. 1; Results, p. 9</w:t>
            </w:r>
          </w:p>
        </w:tc>
        <w:tc>
          <w:tcPr>
            <w:tcW w:w="2424" w:type="dxa"/>
            <w:vAlign w:val="top"/>
          </w:tcPr>
          <w:p w14:paraId="0DC39AEC">
            <w:pPr>
              <w:spacing w:after="0" w:line="240" w:lineRule="auto"/>
            </w:pPr>
            <w:r>
              <w:rPr>
                <w:b w:val="0"/>
                <w:sz w:val="14"/>
              </w:rPr>
              <w:t>Final cohort and train/internal testing cohort numbers are reported; patient selection flowchart is provided.</w:t>
            </w:r>
          </w:p>
        </w:tc>
      </w:tr>
      <w:tr w14:paraId="686B7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24" w:type="dxa"/>
            <w:vAlign w:val="top"/>
          </w:tcPr>
          <w:p w14:paraId="0BFD1F49">
            <w:pPr>
              <w:spacing w:after="0" w:line="240" w:lineRule="auto"/>
            </w:pPr>
            <w:r>
              <w:rPr>
                <w:b w:val="0"/>
                <w:sz w:val="14"/>
              </w:rPr>
              <w:t>RESULTS: Data</w:t>
            </w:r>
          </w:p>
        </w:tc>
        <w:tc>
          <w:tcPr>
            <w:tcW w:w="2424" w:type="dxa"/>
            <w:vAlign w:val="top"/>
          </w:tcPr>
          <w:p w14:paraId="5A80F1F4">
            <w:pPr>
              <w:spacing w:after="0" w:line="240" w:lineRule="auto"/>
            </w:pPr>
            <w:r>
              <w:rPr>
                <w:b w:val="0"/>
                <w:sz w:val="14"/>
              </w:rPr>
              <w:t>36</w:t>
            </w:r>
          </w:p>
        </w:tc>
        <w:tc>
          <w:tcPr>
            <w:tcW w:w="2424" w:type="dxa"/>
            <w:vAlign w:val="top"/>
          </w:tcPr>
          <w:p w14:paraId="3D45EB60">
            <w:pPr>
              <w:spacing w:after="0" w:line="240" w:lineRule="auto"/>
            </w:pPr>
            <w:r>
              <w:rPr>
                <w:b w:val="0"/>
                <w:sz w:val="14"/>
              </w:rPr>
              <w:t>Demographic and clinical characteristics of cases in each partition</w:t>
            </w:r>
          </w:p>
        </w:tc>
        <w:tc>
          <w:tcPr>
            <w:tcW w:w="2424" w:type="dxa"/>
            <w:shd w:val="clear" w:color="auto" w:fill="E2F0D9"/>
            <w:vAlign w:val="top"/>
          </w:tcPr>
          <w:p w14:paraId="0C17B1BC">
            <w:pPr>
              <w:spacing w:after="0" w:line="240" w:lineRule="auto"/>
            </w:pPr>
            <w:r>
              <w:rPr>
                <w:b w:val="0"/>
                <w:sz w:val="14"/>
              </w:rPr>
              <w:t>Yes</w:t>
            </w:r>
          </w:p>
        </w:tc>
        <w:tc>
          <w:tcPr>
            <w:tcW w:w="2424" w:type="dxa"/>
            <w:vAlign w:val="top"/>
          </w:tcPr>
          <w:p w14:paraId="47E4DD49">
            <w:pPr>
              <w:spacing w:after="0" w:line="240" w:lineRule="auto"/>
            </w:pPr>
            <w:r>
              <w:rPr>
                <w:b w:val="0"/>
                <w:sz w:val="14"/>
              </w:rPr>
              <w:t>Table 1, p. 20</w:t>
            </w:r>
          </w:p>
        </w:tc>
        <w:tc>
          <w:tcPr>
            <w:tcW w:w="2424" w:type="dxa"/>
            <w:vAlign w:val="top"/>
          </w:tcPr>
          <w:p w14:paraId="3FFFDE7F">
            <w:pPr>
              <w:spacing w:after="0" w:line="240" w:lineRule="auto"/>
            </w:pPr>
            <w:r>
              <w:rPr>
                <w:b w:val="0"/>
                <w:sz w:val="14"/>
              </w:rPr>
              <w:t>Clinical and ultrasound characteristics are reported by training/internal testing and benign/malignant groups.</w:t>
            </w:r>
          </w:p>
        </w:tc>
      </w:tr>
      <w:tr w14:paraId="2F5A6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24" w:type="dxa"/>
            <w:vAlign w:val="top"/>
          </w:tcPr>
          <w:p w14:paraId="12917064">
            <w:pPr>
              <w:spacing w:after="0" w:line="240" w:lineRule="auto"/>
            </w:pPr>
            <w:r>
              <w:rPr>
                <w:b w:val="0"/>
                <w:sz w:val="14"/>
              </w:rPr>
              <w:t>RESULTS: Model Performance</w:t>
            </w:r>
          </w:p>
        </w:tc>
        <w:tc>
          <w:tcPr>
            <w:tcW w:w="2424" w:type="dxa"/>
            <w:vAlign w:val="top"/>
          </w:tcPr>
          <w:p w14:paraId="0738CC75">
            <w:pPr>
              <w:spacing w:after="0" w:line="240" w:lineRule="auto"/>
            </w:pPr>
            <w:r>
              <w:rPr>
                <w:b w:val="0"/>
                <w:sz w:val="14"/>
              </w:rPr>
              <w:t>37</w:t>
            </w:r>
          </w:p>
        </w:tc>
        <w:tc>
          <w:tcPr>
            <w:tcW w:w="2424" w:type="dxa"/>
            <w:vAlign w:val="top"/>
          </w:tcPr>
          <w:p w14:paraId="7C5CF187">
            <w:pPr>
              <w:spacing w:after="0" w:line="240" w:lineRule="auto"/>
            </w:pPr>
            <w:r>
              <w:rPr>
                <w:b w:val="0"/>
                <w:sz w:val="14"/>
              </w:rPr>
              <w:t>Performance metrics and measures of statistical uncertainty</w:t>
            </w:r>
          </w:p>
        </w:tc>
        <w:tc>
          <w:tcPr>
            <w:tcW w:w="2424" w:type="dxa"/>
            <w:shd w:val="clear" w:color="auto" w:fill="E2F0D9"/>
            <w:vAlign w:val="top"/>
          </w:tcPr>
          <w:p w14:paraId="7B8F4755">
            <w:pPr>
              <w:spacing w:after="0" w:line="240" w:lineRule="auto"/>
            </w:pPr>
            <w:r>
              <w:rPr>
                <w:b w:val="0"/>
                <w:sz w:val="14"/>
              </w:rPr>
              <w:t>Yes</w:t>
            </w:r>
          </w:p>
        </w:tc>
        <w:tc>
          <w:tcPr>
            <w:tcW w:w="2424" w:type="dxa"/>
            <w:vAlign w:val="top"/>
          </w:tcPr>
          <w:p w14:paraId="2D7717AB">
            <w:pPr>
              <w:spacing w:after="0" w:line="240" w:lineRule="auto"/>
            </w:pPr>
            <w:r>
              <w:rPr>
                <w:b w:val="0"/>
                <w:sz w:val="14"/>
              </w:rPr>
              <w:t>Results, pp. 9–10; Table 2, p. 21</w:t>
            </w:r>
          </w:p>
        </w:tc>
        <w:tc>
          <w:tcPr>
            <w:tcW w:w="2424" w:type="dxa"/>
            <w:vAlign w:val="top"/>
          </w:tcPr>
          <w:p w14:paraId="2D041037">
            <w:pPr>
              <w:spacing w:after="0" w:line="240" w:lineRule="auto"/>
            </w:pPr>
            <w:r>
              <w:rPr>
                <w:b w:val="0"/>
                <w:sz w:val="14"/>
              </w:rPr>
              <w:t>Performance metrics with AUC 95% CIs are reported for all models.</w:t>
            </w:r>
          </w:p>
        </w:tc>
      </w:tr>
      <w:tr w14:paraId="0B3A3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24" w:type="dxa"/>
            <w:vAlign w:val="top"/>
          </w:tcPr>
          <w:p w14:paraId="0908171B">
            <w:pPr>
              <w:spacing w:after="0" w:line="240" w:lineRule="auto"/>
            </w:pPr>
            <w:r>
              <w:rPr>
                <w:b w:val="0"/>
                <w:sz w:val="14"/>
              </w:rPr>
              <w:t>RESULTS: Model Performance</w:t>
            </w:r>
          </w:p>
        </w:tc>
        <w:tc>
          <w:tcPr>
            <w:tcW w:w="2424" w:type="dxa"/>
            <w:vAlign w:val="top"/>
          </w:tcPr>
          <w:p w14:paraId="6EFBEE70">
            <w:pPr>
              <w:spacing w:after="0" w:line="240" w:lineRule="auto"/>
            </w:pPr>
            <w:r>
              <w:rPr>
                <w:b w:val="0"/>
                <w:sz w:val="14"/>
              </w:rPr>
              <w:t>38</w:t>
            </w:r>
          </w:p>
        </w:tc>
        <w:tc>
          <w:tcPr>
            <w:tcW w:w="2424" w:type="dxa"/>
            <w:vAlign w:val="top"/>
          </w:tcPr>
          <w:p w14:paraId="72F656F3">
            <w:pPr>
              <w:spacing w:after="0" w:line="240" w:lineRule="auto"/>
            </w:pPr>
            <w:r>
              <w:rPr>
                <w:b w:val="0"/>
                <w:sz w:val="14"/>
              </w:rPr>
              <w:t>Estimates of diagnostic performance and their precision</w:t>
            </w:r>
          </w:p>
        </w:tc>
        <w:tc>
          <w:tcPr>
            <w:tcW w:w="2424" w:type="dxa"/>
            <w:shd w:val="clear" w:color="auto" w:fill="E2F0D9"/>
            <w:vAlign w:val="top"/>
          </w:tcPr>
          <w:p w14:paraId="70C180E5">
            <w:pPr>
              <w:spacing w:after="0" w:line="240" w:lineRule="auto"/>
            </w:pPr>
            <w:r>
              <w:rPr>
                <w:b w:val="0"/>
                <w:sz w:val="14"/>
              </w:rPr>
              <w:t>Yes</w:t>
            </w:r>
          </w:p>
        </w:tc>
        <w:tc>
          <w:tcPr>
            <w:tcW w:w="2424" w:type="dxa"/>
            <w:vAlign w:val="top"/>
          </w:tcPr>
          <w:p w14:paraId="01193DD8">
            <w:pPr>
              <w:spacing w:after="0" w:line="240" w:lineRule="auto"/>
            </w:pPr>
            <w:r>
              <w:rPr>
                <w:b w:val="0"/>
                <w:sz w:val="14"/>
              </w:rPr>
              <w:t>Results, pp. 9–10; Table 2, p. 21</w:t>
            </w:r>
          </w:p>
        </w:tc>
        <w:tc>
          <w:tcPr>
            <w:tcW w:w="2424" w:type="dxa"/>
            <w:vAlign w:val="top"/>
          </w:tcPr>
          <w:p w14:paraId="17F4B312">
            <w:pPr>
              <w:spacing w:after="0" w:line="240" w:lineRule="auto"/>
            </w:pPr>
            <w:r>
              <w:rPr>
                <w:b w:val="0"/>
                <w:sz w:val="14"/>
              </w:rPr>
              <w:t>Diagnostic performance estimates include AUC, accuracy, sensitivity, specificity, PPV, NPV, and 95% CIs for AUC.</w:t>
            </w:r>
          </w:p>
        </w:tc>
      </w:tr>
      <w:tr w14:paraId="063FB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24" w:type="dxa"/>
            <w:vAlign w:val="top"/>
          </w:tcPr>
          <w:p w14:paraId="674BC3BC">
            <w:pPr>
              <w:spacing w:after="0" w:line="240" w:lineRule="auto"/>
            </w:pPr>
            <w:r>
              <w:rPr>
                <w:b w:val="0"/>
                <w:sz w:val="14"/>
              </w:rPr>
              <w:t>RESULTS: Model Performance</w:t>
            </w:r>
          </w:p>
        </w:tc>
        <w:tc>
          <w:tcPr>
            <w:tcW w:w="2424" w:type="dxa"/>
            <w:vAlign w:val="top"/>
          </w:tcPr>
          <w:p w14:paraId="09853AE9">
            <w:pPr>
              <w:spacing w:after="0" w:line="240" w:lineRule="auto"/>
            </w:pPr>
            <w:r>
              <w:rPr>
                <w:b w:val="0"/>
                <w:sz w:val="14"/>
              </w:rPr>
              <w:t>39</w:t>
            </w:r>
          </w:p>
        </w:tc>
        <w:tc>
          <w:tcPr>
            <w:tcW w:w="2424" w:type="dxa"/>
            <w:vAlign w:val="top"/>
          </w:tcPr>
          <w:p w14:paraId="54EB50BD">
            <w:pPr>
              <w:spacing w:after="0" w:line="240" w:lineRule="auto"/>
            </w:pPr>
            <w:r>
              <w:rPr>
                <w:b w:val="0"/>
                <w:sz w:val="14"/>
              </w:rPr>
              <w:t>Failure analysis of incorrectly classified cases</w:t>
            </w:r>
          </w:p>
        </w:tc>
        <w:tc>
          <w:tcPr>
            <w:tcW w:w="2424" w:type="dxa"/>
            <w:shd w:val="clear" w:color="auto" w:fill="E2F0D9"/>
            <w:vAlign w:val="top"/>
          </w:tcPr>
          <w:p w14:paraId="52A9744C">
            <w:pPr>
              <w:spacing w:after="0" w:line="240" w:lineRule="auto"/>
            </w:pPr>
            <w:r>
              <w:rPr>
                <w:b w:val="0"/>
                <w:sz w:val="14"/>
              </w:rPr>
              <w:t>Yes</w:t>
            </w:r>
          </w:p>
        </w:tc>
        <w:tc>
          <w:tcPr>
            <w:tcW w:w="2424" w:type="dxa"/>
            <w:vAlign w:val="top"/>
          </w:tcPr>
          <w:p w14:paraId="29314A0D">
            <w:pPr>
              <w:spacing w:after="0" w:line="240" w:lineRule="auto"/>
            </w:pPr>
            <w:r>
              <w:rPr>
                <w:b w:val="0"/>
                <w:sz w:val="14"/>
              </w:rPr>
              <w:t>Supplementary Table S6</w:t>
            </w:r>
          </w:p>
        </w:tc>
        <w:tc>
          <w:tcPr>
            <w:tcW w:w="2424" w:type="dxa"/>
            <w:vAlign w:val="top"/>
          </w:tcPr>
          <w:p w14:paraId="6BA3ADB2">
            <w:pPr>
              <w:spacing w:after="0" w:line="240" w:lineRule="auto"/>
            </w:pPr>
            <w:r>
              <w:rPr>
                <w:b w:val="0"/>
                <w:sz w:val="14"/>
              </w:rPr>
              <w:t>Confusion matrices for all evaluated models have been added as Supplementary Table S6. Representative false-positive/false-negative image examples are not included.</w:t>
            </w:r>
          </w:p>
        </w:tc>
      </w:tr>
      <w:tr w14:paraId="125C4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24" w:type="dxa"/>
            <w:vAlign w:val="top"/>
          </w:tcPr>
          <w:p w14:paraId="2377C53C">
            <w:pPr>
              <w:spacing w:after="0" w:line="240" w:lineRule="auto"/>
            </w:pPr>
            <w:r>
              <w:rPr>
                <w:b w:val="0"/>
                <w:sz w:val="14"/>
              </w:rPr>
              <w:t>DISCUSSION</w:t>
            </w:r>
          </w:p>
        </w:tc>
        <w:tc>
          <w:tcPr>
            <w:tcW w:w="2424" w:type="dxa"/>
            <w:vAlign w:val="top"/>
          </w:tcPr>
          <w:p w14:paraId="146633D4">
            <w:pPr>
              <w:spacing w:after="0" w:line="240" w:lineRule="auto"/>
            </w:pPr>
            <w:r>
              <w:rPr>
                <w:b w:val="0"/>
                <w:sz w:val="14"/>
              </w:rPr>
              <w:t>40</w:t>
            </w:r>
          </w:p>
        </w:tc>
        <w:tc>
          <w:tcPr>
            <w:tcW w:w="2424" w:type="dxa"/>
            <w:vAlign w:val="top"/>
          </w:tcPr>
          <w:p w14:paraId="5DA68D7C">
            <w:pPr>
              <w:spacing w:after="0" w:line="240" w:lineRule="auto"/>
            </w:pPr>
            <w:r>
              <w:rPr>
                <w:b w:val="0"/>
                <w:sz w:val="14"/>
              </w:rPr>
              <w:t>Study limitations</w:t>
            </w:r>
          </w:p>
        </w:tc>
        <w:tc>
          <w:tcPr>
            <w:tcW w:w="2424" w:type="dxa"/>
            <w:shd w:val="clear" w:color="auto" w:fill="E2F0D9"/>
            <w:vAlign w:val="top"/>
          </w:tcPr>
          <w:p w14:paraId="0173AD9B">
            <w:pPr>
              <w:spacing w:after="0" w:line="240" w:lineRule="auto"/>
            </w:pPr>
            <w:r>
              <w:rPr>
                <w:b w:val="0"/>
                <w:sz w:val="14"/>
              </w:rPr>
              <w:t>Yes</w:t>
            </w:r>
          </w:p>
        </w:tc>
        <w:tc>
          <w:tcPr>
            <w:tcW w:w="2424" w:type="dxa"/>
            <w:vAlign w:val="top"/>
          </w:tcPr>
          <w:p w14:paraId="0D29F3CA">
            <w:pPr>
              <w:spacing w:after="0" w:line="240" w:lineRule="auto"/>
            </w:pPr>
            <w:r>
              <w:rPr>
                <w:b w:val="0"/>
                <w:sz w:val="14"/>
              </w:rPr>
              <w:t>Discussion, pp. 13–14</w:t>
            </w:r>
          </w:p>
        </w:tc>
        <w:tc>
          <w:tcPr>
            <w:tcW w:w="2424" w:type="dxa"/>
            <w:vAlign w:val="top"/>
          </w:tcPr>
          <w:p w14:paraId="6E55BE10">
            <w:pPr>
              <w:spacing w:after="0" w:line="240" w:lineRule="auto"/>
            </w:pPr>
            <w:r>
              <w:rPr>
                <w:b w:val="0"/>
                <w:sz w:val="14"/>
              </w:rPr>
              <w:t>Limitations include retrospective single-center design, lack of external testing, modest sample size for image-level DL, manual segmentation, and adaptation rather than strict reproduction of original TSMCR.</w:t>
            </w:r>
          </w:p>
        </w:tc>
      </w:tr>
      <w:tr w14:paraId="59DD9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24" w:type="dxa"/>
            <w:vAlign w:val="top"/>
          </w:tcPr>
          <w:p w14:paraId="6B6D6EE5">
            <w:pPr>
              <w:spacing w:after="0" w:line="240" w:lineRule="auto"/>
            </w:pPr>
            <w:r>
              <w:rPr>
                <w:b w:val="0"/>
                <w:sz w:val="14"/>
              </w:rPr>
              <w:t>DISCUSSION</w:t>
            </w:r>
          </w:p>
        </w:tc>
        <w:tc>
          <w:tcPr>
            <w:tcW w:w="2424" w:type="dxa"/>
            <w:vAlign w:val="top"/>
          </w:tcPr>
          <w:p w14:paraId="79C3D7EB">
            <w:pPr>
              <w:spacing w:after="0" w:line="240" w:lineRule="auto"/>
            </w:pPr>
            <w:r>
              <w:rPr>
                <w:b w:val="0"/>
                <w:sz w:val="14"/>
              </w:rPr>
              <w:t>41</w:t>
            </w:r>
          </w:p>
        </w:tc>
        <w:tc>
          <w:tcPr>
            <w:tcW w:w="2424" w:type="dxa"/>
            <w:vAlign w:val="top"/>
          </w:tcPr>
          <w:p w14:paraId="3DC91FE6">
            <w:pPr>
              <w:spacing w:after="0" w:line="240" w:lineRule="auto"/>
            </w:pPr>
            <w:r>
              <w:rPr>
                <w:b w:val="0"/>
                <w:sz w:val="14"/>
              </w:rPr>
              <w:t>Implications for practice, including intended use and/or clinical role</w:t>
            </w:r>
          </w:p>
        </w:tc>
        <w:tc>
          <w:tcPr>
            <w:tcW w:w="2424" w:type="dxa"/>
            <w:shd w:val="clear" w:color="auto" w:fill="E2F0D9"/>
            <w:vAlign w:val="top"/>
          </w:tcPr>
          <w:p w14:paraId="18D73ED8">
            <w:pPr>
              <w:spacing w:after="0" w:line="240" w:lineRule="auto"/>
            </w:pPr>
            <w:r>
              <w:rPr>
                <w:b w:val="0"/>
                <w:sz w:val="14"/>
              </w:rPr>
              <w:t>Yes</w:t>
            </w:r>
          </w:p>
        </w:tc>
        <w:tc>
          <w:tcPr>
            <w:tcW w:w="2424" w:type="dxa"/>
            <w:vAlign w:val="top"/>
          </w:tcPr>
          <w:p w14:paraId="1B80810D">
            <w:pPr>
              <w:spacing w:after="0" w:line="240" w:lineRule="auto"/>
            </w:pPr>
            <w:r>
              <w:rPr>
                <w:b w:val="0"/>
                <w:sz w:val="14"/>
              </w:rPr>
              <w:t>Abstract, p. 1; Discussion/Conclusion, pp. 13–14</w:t>
            </w:r>
          </w:p>
        </w:tc>
        <w:tc>
          <w:tcPr>
            <w:tcW w:w="2424" w:type="dxa"/>
            <w:vAlign w:val="top"/>
          </w:tcPr>
          <w:p w14:paraId="2B3DFAA4">
            <w:pPr>
              <w:spacing w:after="0" w:line="240" w:lineRule="auto"/>
            </w:pPr>
            <w:r>
              <w:rPr>
                <w:b w:val="0"/>
                <w:sz w:val="14"/>
              </w:rPr>
              <w:t>The model is positioned as a malignancy risk-ranking tool rather than a fully calibrated probability estimator.</w:t>
            </w:r>
          </w:p>
        </w:tc>
      </w:tr>
      <w:tr w14:paraId="0B081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24" w:type="dxa"/>
            <w:vAlign w:val="top"/>
          </w:tcPr>
          <w:p w14:paraId="61000E81">
            <w:pPr>
              <w:spacing w:after="0" w:line="240" w:lineRule="auto"/>
            </w:pPr>
            <w:r>
              <w:rPr>
                <w:b w:val="0"/>
                <w:sz w:val="14"/>
              </w:rPr>
              <w:t>OTHER INFORMATION</w:t>
            </w:r>
          </w:p>
        </w:tc>
        <w:tc>
          <w:tcPr>
            <w:tcW w:w="2424" w:type="dxa"/>
            <w:vAlign w:val="top"/>
          </w:tcPr>
          <w:p w14:paraId="19B2FE0C">
            <w:pPr>
              <w:spacing w:after="0" w:line="240" w:lineRule="auto"/>
            </w:pPr>
            <w:r>
              <w:rPr>
                <w:b w:val="0"/>
                <w:sz w:val="14"/>
              </w:rPr>
              <w:t>42</w:t>
            </w:r>
          </w:p>
        </w:tc>
        <w:tc>
          <w:tcPr>
            <w:tcW w:w="2424" w:type="dxa"/>
            <w:vAlign w:val="top"/>
          </w:tcPr>
          <w:p w14:paraId="3C80651E">
            <w:pPr>
              <w:spacing w:after="0" w:line="240" w:lineRule="auto"/>
            </w:pPr>
            <w:r>
              <w:rPr>
                <w:b w:val="0"/>
                <w:sz w:val="14"/>
              </w:rPr>
              <w:t>Provide a reference to the full study protocol or to additional technical details</w:t>
            </w:r>
          </w:p>
        </w:tc>
        <w:tc>
          <w:tcPr>
            <w:tcW w:w="2424" w:type="dxa"/>
            <w:shd w:val="clear" w:color="auto" w:fill="E2F0D9"/>
            <w:vAlign w:val="top"/>
          </w:tcPr>
          <w:p w14:paraId="362530F5">
            <w:pPr>
              <w:spacing w:after="0" w:line="240" w:lineRule="auto"/>
            </w:pPr>
            <w:r>
              <w:rPr>
                <w:b w:val="0"/>
                <w:sz w:val="14"/>
              </w:rPr>
              <w:t>Yes</w:t>
            </w:r>
          </w:p>
        </w:tc>
        <w:tc>
          <w:tcPr>
            <w:tcW w:w="2424" w:type="dxa"/>
            <w:vAlign w:val="top"/>
          </w:tcPr>
          <w:p w14:paraId="7B1C7A96">
            <w:pPr>
              <w:spacing w:after="0" w:line="240" w:lineRule="auto"/>
            </w:pPr>
            <w:r>
              <w:rPr>
                <w:b w:val="0"/>
                <w:sz w:val="14"/>
              </w:rPr>
              <w:t>Supplementary Table S5; code available on request</w:t>
            </w:r>
          </w:p>
        </w:tc>
        <w:tc>
          <w:tcPr>
            <w:tcW w:w="2424" w:type="dxa"/>
            <w:vAlign w:val="top"/>
          </w:tcPr>
          <w:p w14:paraId="6820527C">
            <w:pPr>
              <w:spacing w:after="0" w:line="240" w:lineRule="auto"/>
            </w:pPr>
            <w:r>
              <w:rPr>
                <w:b w:val="0"/>
                <w:sz w:val="14"/>
              </w:rPr>
              <w:t>Additional implementation details and final hyperparameters are provided in the newly generated supplementary file.</w:t>
            </w:r>
          </w:p>
        </w:tc>
      </w:tr>
      <w:tr w14:paraId="65F5B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24" w:type="dxa"/>
            <w:vAlign w:val="top"/>
          </w:tcPr>
          <w:p w14:paraId="6D6D7DD7">
            <w:pPr>
              <w:spacing w:after="0" w:line="240" w:lineRule="auto"/>
            </w:pPr>
            <w:r>
              <w:rPr>
                <w:b w:val="0"/>
                <w:sz w:val="14"/>
              </w:rPr>
              <w:t>OTHER INFORMATION</w:t>
            </w:r>
          </w:p>
        </w:tc>
        <w:tc>
          <w:tcPr>
            <w:tcW w:w="2424" w:type="dxa"/>
            <w:vAlign w:val="top"/>
          </w:tcPr>
          <w:p w14:paraId="05CB8A02">
            <w:pPr>
              <w:spacing w:after="0" w:line="240" w:lineRule="auto"/>
            </w:pPr>
            <w:r>
              <w:rPr>
                <w:b w:val="0"/>
                <w:sz w:val="14"/>
              </w:rPr>
              <w:t>43</w:t>
            </w:r>
          </w:p>
        </w:tc>
        <w:tc>
          <w:tcPr>
            <w:tcW w:w="2424" w:type="dxa"/>
            <w:vAlign w:val="top"/>
          </w:tcPr>
          <w:p w14:paraId="51B4DBEA">
            <w:pPr>
              <w:spacing w:after="0" w:line="240" w:lineRule="auto"/>
            </w:pPr>
            <w:r>
              <w:rPr>
                <w:b w:val="0"/>
                <w:sz w:val="14"/>
              </w:rPr>
              <w:t>Statement about the availability of software, trained model, and/or data</w:t>
            </w:r>
          </w:p>
        </w:tc>
        <w:tc>
          <w:tcPr>
            <w:tcW w:w="2424" w:type="dxa"/>
            <w:shd w:val="clear" w:color="auto" w:fill="E2F0D9"/>
            <w:vAlign w:val="top"/>
          </w:tcPr>
          <w:p w14:paraId="17C3529F">
            <w:pPr>
              <w:spacing w:after="0" w:line="240" w:lineRule="auto"/>
            </w:pPr>
            <w:r>
              <w:rPr>
                <w:b w:val="0"/>
                <w:sz w:val="14"/>
              </w:rPr>
              <w:t>Yes</w:t>
            </w:r>
          </w:p>
        </w:tc>
        <w:tc>
          <w:tcPr>
            <w:tcW w:w="2424" w:type="dxa"/>
            <w:vAlign w:val="top"/>
          </w:tcPr>
          <w:p w14:paraId="5D7CB39C">
            <w:pPr>
              <w:spacing w:after="0" w:line="240" w:lineRule="auto"/>
            </w:pPr>
            <w:r>
              <w:rPr>
                <w:b w:val="0"/>
                <w:sz w:val="14"/>
              </w:rPr>
              <w:t>Title page/Declarations; Supplementary Table S5</w:t>
            </w:r>
          </w:p>
        </w:tc>
        <w:tc>
          <w:tcPr>
            <w:tcW w:w="2424" w:type="dxa"/>
            <w:vAlign w:val="top"/>
          </w:tcPr>
          <w:p w14:paraId="415113AB">
            <w:pPr>
              <w:spacing w:after="0" w:line="240" w:lineRule="auto"/>
            </w:pPr>
            <w:r>
              <w:rPr>
                <w:b w:val="0"/>
                <w:sz w:val="14"/>
              </w:rPr>
              <w:t>Add Data, Code, and Model Availability Statement in the title page/declarations file or declarations section. The supplement documents code-level details.</w:t>
            </w:r>
          </w:p>
        </w:tc>
      </w:tr>
      <w:tr w14:paraId="6811E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24" w:type="dxa"/>
            <w:vAlign w:val="top"/>
          </w:tcPr>
          <w:p w14:paraId="3308CFC1">
            <w:pPr>
              <w:spacing w:after="0" w:line="240" w:lineRule="auto"/>
            </w:pPr>
            <w:r>
              <w:rPr>
                <w:b w:val="0"/>
                <w:sz w:val="14"/>
              </w:rPr>
              <w:t>OTHER INFORMATION</w:t>
            </w:r>
          </w:p>
        </w:tc>
        <w:tc>
          <w:tcPr>
            <w:tcW w:w="2424" w:type="dxa"/>
            <w:vAlign w:val="top"/>
          </w:tcPr>
          <w:p w14:paraId="09CF12B4">
            <w:pPr>
              <w:spacing w:after="0" w:line="240" w:lineRule="auto"/>
            </w:pPr>
            <w:r>
              <w:rPr>
                <w:b w:val="0"/>
                <w:sz w:val="14"/>
              </w:rPr>
              <w:t>44</w:t>
            </w:r>
          </w:p>
        </w:tc>
        <w:tc>
          <w:tcPr>
            <w:tcW w:w="2424" w:type="dxa"/>
            <w:vAlign w:val="top"/>
          </w:tcPr>
          <w:p w14:paraId="5AAB9E07">
            <w:pPr>
              <w:spacing w:after="0" w:line="240" w:lineRule="auto"/>
            </w:pPr>
            <w:r>
              <w:rPr>
                <w:b w:val="0"/>
                <w:sz w:val="14"/>
              </w:rPr>
              <w:t>Sources of funding and other support; role of funders</w:t>
            </w:r>
          </w:p>
        </w:tc>
        <w:tc>
          <w:tcPr>
            <w:tcW w:w="2424" w:type="dxa"/>
            <w:shd w:val="clear" w:color="auto" w:fill="E2F0D9"/>
            <w:vAlign w:val="top"/>
          </w:tcPr>
          <w:p w14:paraId="26556AB5">
            <w:pPr>
              <w:spacing w:after="0" w:line="240" w:lineRule="auto"/>
            </w:pPr>
            <w:r>
              <w:rPr>
                <w:b w:val="0"/>
                <w:sz w:val="14"/>
              </w:rPr>
              <w:t>Yes</w:t>
            </w:r>
          </w:p>
        </w:tc>
        <w:tc>
          <w:tcPr>
            <w:tcW w:w="2424" w:type="dxa"/>
            <w:vAlign w:val="top"/>
          </w:tcPr>
          <w:p w14:paraId="6250CBD6">
            <w:pPr>
              <w:spacing w:after="0" w:line="240" w:lineRule="auto"/>
            </w:pPr>
            <w:r>
              <w:rPr>
                <w:b w:val="0"/>
                <w:sz w:val="14"/>
              </w:rPr>
              <w:t>Title page/Declarations</w:t>
            </w:r>
          </w:p>
        </w:tc>
        <w:tc>
          <w:tcPr>
            <w:tcW w:w="2424" w:type="dxa"/>
            <w:vAlign w:val="top"/>
          </w:tcPr>
          <w:p w14:paraId="774ADD14">
            <w:pPr>
              <w:spacing w:after="0" w:line="240" w:lineRule="auto"/>
            </w:pPr>
            <w:r>
              <w:rPr>
                <w:b w:val="0"/>
                <w:sz w:val="14"/>
              </w:rPr>
              <w:t>Include funding statement and funder role in the title page/declarations file. If no funding, state that no specific grant was received.</w:t>
            </w:r>
          </w:p>
        </w:tc>
      </w:tr>
    </w:tbl>
    <w:p w14:paraId="6B43BFE9"/>
    <w:p w14:paraId="69193F2B">
      <w:r>
        <w:rPr>
          <w:b/>
          <w:sz w:val="22"/>
        </w:rPr>
        <w:t>Recommended Data, Code, and Model Availability Statement</w:t>
      </w:r>
    </w:p>
    <w:p w14:paraId="165A6AA9">
      <w:pPr>
        <w:spacing w:after="120"/>
      </w:pPr>
      <w:r>
        <w:t>The original clinical records and imaging data are not publicly available because they contain patient-level clinical information and medical images protected by privacy restrictions. De-identified derived data, including selected radiomics feature matrices, model predictions, and analysis outputs, may be made available from the corresponding author on reasonable request and subject to institutional approval. The source code used for radiomics model training, SVM modeling, Radiomics-TSMCR, BUS+CEUS-MLP, and ResNet18-TSMCR implementation is available from the corresponding author on reasonable request. Trained model weights are not publicly deposited because the models were developed using institution-specific patient imaging data; however, implementation details and hyperparameter settings are provided in the Methods and Supplementary Methods to support reproducibility.</w:t>
      </w:r>
    </w:p>
    <w:sectPr>
      <w:pgSz w:w="15840" w:h="12240" w:orient="landscape"/>
      <w:pgMar w:top="648" w:right="648" w:bottom="648" w:left="648"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ＭＳ 明朝">
    <w:altName w:val="Yu Gothic"/>
    <w:panose1 w:val="00000000000000000000"/>
    <w:charset w:val="80"/>
    <w:family w:val="roman"/>
    <w:pitch w:val="default"/>
    <w:sig w:usb0="00000000" w:usb1="00000000" w:usb2="00000010" w:usb3="00000000" w:csb0="00020000" w:csb1="00000000"/>
  </w:font>
  <w:font w:name="ＭＳ 明朝">
    <w:altName w:val="宋体"/>
    <w:panose1 w:val="00000000000000000000"/>
    <w:charset w:val="86"/>
    <w:family w:val="auto"/>
    <w:pitch w:val="default"/>
    <w:sig w:usb0="00000000" w:usb1="00000000" w:usb2="00000000" w:usb3="00000000" w:csb0="00000000" w:csb1="00000000"/>
  </w:font>
  <w:font w:name="MS Gothic">
    <w:panose1 w:val="020B0609070205080204"/>
    <w:charset w:val="80"/>
    <w:family w:val="modern"/>
    <w:pitch w:val="default"/>
    <w:sig w:usb0="E00002FF" w:usb1="6AC7FDFB" w:usb2="08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ＭＳ 明朝">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Yu Gothic">
    <w:panose1 w:val="020B0400000000000000"/>
    <w:charset w:val="80"/>
    <w:family w:val="auto"/>
    <w:pitch w:val="default"/>
    <w:sig w:usb0="E00002FF" w:usb1="2AC7FDFF" w:usb2="00000016" w:usb3="00000000" w:csb0="2002009F" w:csb1="00000000"/>
  </w:font>
  <w:font w:name="Courier New">
    <w:panose1 w:val="02070309020205020404"/>
    <w:charset w:val="00"/>
    <w:family w:val="auto"/>
    <w:pitch w:val="default"/>
    <w:sig w:usb0="E0002EFF" w:usb1="C0007843" w:usb2="00000009" w:usb3="00000000" w:csb0="4000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24D6C"/>
    <w:rsid w:val="00FC693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semiHidden="0" w:name="macro"/>
    <w:lsdException w:uiPriority="99" w:name="toa heading"/>
    <w:lsdException w:uiPriority="99" w:semiHidden="0" w:name="List"/>
    <w:lsdException w:uiPriority="99" w:semiHidden="0" w:name="List Bullet"/>
    <w:lsdException w:uiPriority="99" w:semiHidden="0" w:name="List Number"/>
    <w:lsdException w:uiPriority="99" w:semiHidden="0" w:name="List 2"/>
    <w:lsdException w:uiPriority="99" w:semiHidden="0" w:name="List 3"/>
    <w:lsdException w:uiPriority="99" w:name="List 4"/>
    <w:lsdException w:uiPriority="99" w:name="List 5"/>
    <w:lsdException w:uiPriority="99" w:semiHidden="0" w:name="List Bullet 2"/>
    <w:lsdException w:uiPriority="99" w:semiHidden="0" w:name="List Bullet 3"/>
    <w:lsdException w:uiPriority="99" w:name="List Bullet 4"/>
    <w:lsdException w:uiPriority="99" w:name="List Bullet 5"/>
    <w:lsdException w:uiPriority="99" w:semiHidden="0" w:name="List Number 2"/>
    <w:lsdException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semiHidden="0" w:name="Body Text"/>
    <w:lsdException w:uiPriority="99" w:name="Body Text Indent"/>
    <w:lsdException w:uiPriority="99" w:semiHidden="0" w:name="List Continue"/>
    <w:lsdException w:uiPriority="99" w:semiHidden="0" w:name="List Continue 2"/>
    <w:lsdException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semiHidden="0" w:name="Body Text 2"/>
    <w:lsdException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imes New Roman" w:hAnsi="Times New Roman" w:eastAsia="Times New Roman" w:cstheme="minorBidi"/>
      <w:sz w:val="18"/>
      <w:szCs w:val="22"/>
      <w:lang w:val="en-US" w:eastAsia="en-US" w:bidi="ar-SA"/>
    </w:rPr>
  </w:style>
  <w:style w:type="paragraph" w:styleId="3">
    <w:name w:val="heading 1"/>
    <w:basedOn w:val="1"/>
    <w:next w:val="1"/>
    <w:link w:val="138"/>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39"/>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0"/>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2">
    <w:name w:val="Default Paragraph Font"/>
    <w:semiHidden/>
    <w:unhideWhenUsed/>
    <w:uiPriority w:val="1"/>
  </w:style>
  <w:style w:type="table" w:default="1" w:styleId="32">
    <w:name w:val="Normal Table"/>
    <w:semiHidden/>
    <w:unhideWhenUsed/>
    <w:uiPriority w:val="99"/>
    <w:tblPr>
      <w:tblCellMar>
        <w:top w:w="0" w:type="dxa"/>
        <w:left w:w="108" w:type="dxa"/>
        <w:bottom w:w="0" w:type="dxa"/>
        <w:right w:w="108" w:type="dxa"/>
      </w:tblCellMar>
    </w:tblPr>
  </w:style>
  <w:style w:type="paragraph" w:styleId="2">
    <w:name w:val="macro"/>
    <w:link w:val="147"/>
    <w:unhideWhenUsed/>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uiPriority w:val="99"/>
    <w:pPr>
      <w:ind w:left="1080" w:hanging="360"/>
      <w:contextualSpacing/>
    </w:pPr>
  </w:style>
  <w:style w:type="paragraph" w:styleId="13">
    <w:name w:val="List Number 2"/>
    <w:basedOn w:val="1"/>
    <w:unhideWhenUsed/>
    <w:uiPriority w:val="99"/>
    <w:pPr>
      <w:numPr>
        <w:ilvl w:val="0"/>
        <w:numId w:val="1"/>
      </w:numPr>
      <w:contextualSpacing/>
    </w:pPr>
  </w:style>
  <w:style w:type="paragraph" w:styleId="14">
    <w:name w:val="List Number"/>
    <w:basedOn w:val="1"/>
    <w:unhideWhenUsed/>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uiPriority w:val="99"/>
    <w:pPr>
      <w:numPr>
        <w:ilvl w:val="0"/>
        <w:numId w:val="3"/>
      </w:numPr>
      <w:contextualSpacing/>
    </w:pPr>
  </w:style>
  <w:style w:type="paragraph" w:styleId="17">
    <w:name w:val="Body Text 3"/>
    <w:basedOn w:val="1"/>
    <w:link w:val="146"/>
    <w:unhideWhenUsed/>
    <w:uiPriority w:val="99"/>
    <w:pPr>
      <w:spacing w:after="120"/>
    </w:pPr>
    <w:rPr>
      <w:sz w:val="16"/>
      <w:szCs w:val="16"/>
    </w:rPr>
  </w:style>
  <w:style w:type="paragraph" w:styleId="18">
    <w:name w:val="List Bullet 3"/>
    <w:basedOn w:val="1"/>
    <w:unhideWhenUsed/>
    <w:uiPriority w:val="99"/>
    <w:pPr>
      <w:numPr>
        <w:ilvl w:val="0"/>
        <w:numId w:val="4"/>
      </w:numPr>
      <w:contextualSpacing/>
    </w:pPr>
  </w:style>
  <w:style w:type="paragraph" w:styleId="19">
    <w:name w:val="Body Text"/>
    <w:basedOn w:val="1"/>
    <w:link w:val="144"/>
    <w:unhideWhenUsed/>
    <w:uiPriority w:val="99"/>
    <w:pPr>
      <w:spacing w:after="120"/>
    </w:pPr>
  </w:style>
  <w:style w:type="paragraph" w:styleId="20">
    <w:name w:val="List Number 3"/>
    <w:basedOn w:val="1"/>
    <w:unhideWhenUsed/>
    <w:uiPriority w:val="99"/>
    <w:pPr>
      <w:numPr>
        <w:ilvl w:val="0"/>
        <w:numId w:val="5"/>
      </w:numPr>
      <w:contextualSpacing/>
    </w:pPr>
  </w:style>
  <w:style w:type="paragraph" w:styleId="21">
    <w:name w:val="List 2"/>
    <w:basedOn w:val="1"/>
    <w:unhideWhenUsed/>
    <w:uiPriority w:val="99"/>
    <w:pPr>
      <w:ind w:left="720" w:hanging="360"/>
      <w:contextualSpacing/>
    </w:pPr>
  </w:style>
  <w:style w:type="paragraph" w:styleId="22">
    <w:name w:val="List Continue"/>
    <w:basedOn w:val="1"/>
    <w:unhideWhenUsed/>
    <w:uiPriority w:val="99"/>
    <w:pPr>
      <w:spacing w:after="120"/>
      <w:ind w:left="360"/>
      <w:contextualSpacing/>
    </w:pPr>
  </w:style>
  <w:style w:type="paragraph" w:styleId="23">
    <w:name w:val="List Bullet 2"/>
    <w:basedOn w:val="1"/>
    <w:unhideWhenUsed/>
    <w:uiPriority w:val="99"/>
    <w:pPr>
      <w:numPr>
        <w:ilvl w:val="0"/>
        <w:numId w:val="6"/>
      </w:numPr>
      <w:contextualSpacing/>
    </w:pPr>
  </w:style>
  <w:style w:type="paragraph" w:styleId="24">
    <w:name w:val="footer"/>
    <w:basedOn w:val="1"/>
    <w:link w:val="136"/>
    <w:unhideWhenUsed/>
    <w:uiPriority w:val="99"/>
    <w:pPr>
      <w:tabs>
        <w:tab w:val="center" w:pos="4680"/>
        <w:tab w:val="right" w:pos="9360"/>
      </w:tabs>
      <w:spacing w:after="0" w:line="240" w:lineRule="auto"/>
    </w:pPr>
  </w:style>
  <w:style w:type="paragraph" w:styleId="25">
    <w:name w:val="header"/>
    <w:basedOn w:val="1"/>
    <w:link w:val="135"/>
    <w:unhideWhenUsed/>
    <w:uiPriority w:val="99"/>
    <w:pPr>
      <w:tabs>
        <w:tab w:val="center" w:pos="4680"/>
        <w:tab w:val="right" w:pos="9360"/>
      </w:tabs>
      <w:spacing w:after="0" w:line="240" w:lineRule="auto"/>
    </w:pPr>
  </w:style>
  <w:style w:type="paragraph" w:styleId="26">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uiPriority w:val="99"/>
    <w:pPr>
      <w:ind w:left="360" w:hanging="360"/>
      <w:contextualSpacing/>
    </w:pPr>
  </w:style>
  <w:style w:type="paragraph" w:styleId="28">
    <w:name w:val="Body Text 2"/>
    <w:basedOn w:val="1"/>
    <w:link w:val="145"/>
    <w:unhideWhenUsed/>
    <w:uiPriority w:val="99"/>
    <w:pPr>
      <w:spacing w:after="120" w:line="480" w:lineRule="auto"/>
    </w:pPr>
  </w:style>
  <w:style w:type="paragraph" w:styleId="29">
    <w:name w:val="List Continue 2"/>
    <w:basedOn w:val="1"/>
    <w:unhideWhenUsed/>
    <w:uiPriority w:val="99"/>
    <w:pPr>
      <w:spacing w:after="120"/>
      <w:ind w:left="720"/>
      <w:contextualSpacing/>
    </w:pPr>
  </w:style>
  <w:style w:type="paragraph" w:styleId="30">
    <w:name w:val="List Continue 3"/>
    <w:basedOn w:val="1"/>
    <w:unhideWhenUsed/>
    <w:uiPriority w:val="99"/>
    <w:pPr>
      <w:spacing w:after="120"/>
      <w:ind w:left="1080"/>
      <w:contextualSpacing/>
    </w:pPr>
  </w:style>
  <w:style w:type="paragraph" w:styleId="31">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3">
    <w:name w:val="Table Grid"/>
    <w:basedOn w:val="32"/>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4">
    <w:name w:val="Light Shading"/>
    <w:basedOn w:val="32"/>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5">
    <w:name w:val="Light Shading Accent 1"/>
    <w:basedOn w:val="32"/>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6">
    <w:name w:val="Light Shading Accent 2"/>
    <w:basedOn w:val="32"/>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7">
    <w:name w:val="Light Shading Accent 3"/>
    <w:basedOn w:val="32"/>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8">
    <w:name w:val="Light Shading Accent 4"/>
    <w:basedOn w:val="32"/>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9">
    <w:name w:val="Light Shading Accent 5"/>
    <w:basedOn w:val="32"/>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0">
    <w:name w:val="Light Shading Accent 6"/>
    <w:basedOn w:val="32"/>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1">
    <w:name w:val="Light List"/>
    <w:basedOn w:val="32"/>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2">
    <w:name w:val="Light List Accent 1"/>
    <w:basedOn w:val="32"/>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3">
    <w:name w:val="Light List Accent 2"/>
    <w:basedOn w:val="32"/>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4">
    <w:name w:val="Light List Accent 3"/>
    <w:basedOn w:val="32"/>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5">
    <w:name w:val="Light List Accent 4"/>
    <w:basedOn w:val="32"/>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6">
    <w:name w:val="Light List Accent 5"/>
    <w:basedOn w:val="32"/>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7">
    <w:name w:val="Light List Accent 6"/>
    <w:basedOn w:val="32"/>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8">
    <w:name w:val="Light Grid"/>
    <w:basedOn w:val="32"/>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49">
    <w:name w:val="Light Grid Accent 1"/>
    <w:basedOn w:val="32"/>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0">
    <w:name w:val="Light Grid Accent 2"/>
    <w:basedOn w:val="32"/>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1">
    <w:name w:val="Light Grid Accent 3"/>
    <w:basedOn w:val="32"/>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2">
    <w:name w:val="Light Grid Accent 4"/>
    <w:basedOn w:val="32"/>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3">
    <w:name w:val="Light Grid Accent 5"/>
    <w:basedOn w:val="32"/>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4">
    <w:name w:val="Light Grid Accent 6"/>
    <w:basedOn w:val="32"/>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5">
    <w:name w:val="Medium Shading 1"/>
    <w:basedOn w:val="32"/>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6">
    <w:name w:val="Medium Shading 1 Accent 1"/>
    <w:basedOn w:val="32"/>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7">
    <w:name w:val="Medium Shading 1 Accent 2"/>
    <w:basedOn w:val="32"/>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8">
    <w:name w:val="Medium Shading 1 Accent 3"/>
    <w:basedOn w:val="32"/>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9">
    <w:name w:val="Medium Shading 1 Accent 4"/>
    <w:basedOn w:val="32"/>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0">
    <w:name w:val="Medium Shading 1 Accent 5"/>
    <w:basedOn w:val="32"/>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1">
    <w:name w:val="Medium Shading 1 Accent 6"/>
    <w:basedOn w:val="32"/>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2">
    <w:name w:val="Medium Shading 2"/>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3">
    <w:name w:val="Medium Shading 2 Accent 1"/>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2"/>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3"/>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4"/>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5"/>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6"/>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List 1"/>
    <w:basedOn w:val="32"/>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0">
    <w:name w:val="Medium List 1 Accent 1"/>
    <w:basedOn w:val="32"/>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1">
    <w:name w:val="Medium List 1 Accent 2"/>
    <w:basedOn w:val="32"/>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2">
    <w:name w:val="Medium List 1 Accent 3"/>
    <w:basedOn w:val="32"/>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3">
    <w:name w:val="Medium List 1 Accent 4"/>
    <w:basedOn w:val="32"/>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4">
    <w:name w:val="Medium List 1 Accent 5"/>
    <w:basedOn w:val="32"/>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5">
    <w:name w:val="Medium List 1 Accent 6"/>
    <w:basedOn w:val="32"/>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6">
    <w:name w:val="Medium List 2"/>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1"/>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2"/>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3"/>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4"/>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5"/>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6"/>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32"/>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4">
    <w:name w:val="Medium Grid 1 Accent 1"/>
    <w:basedOn w:val="32"/>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5">
    <w:name w:val="Medium Grid 1 Accent 2"/>
    <w:basedOn w:val="32"/>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6">
    <w:name w:val="Medium Grid 1 Accent 3"/>
    <w:basedOn w:val="32"/>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7">
    <w:name w:val="Medium Grid 1 Accent 4"/>
    <w:basedOn w:val="32"/>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8">
    <w:name w:val="Medium Grid 1 Accent 5"/>
    <w:basedOn w:val="32"/>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9">
    <w:name w:val="Medium Grid 1 Accent 6"/>
    <w:basedOn w:val="32"/>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0">
    <w:name w:val="Medium Grid 2"/>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1">
    <w:name w:val="Medium Grid 2 Accent 1"/>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2">
    <w:name w:val="Medium Grid 2 Accent 2"/>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3">
    <w:name w:val="Medium Grid 2 Accent 3"/>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4">
    <w:name w:val="Medium Grid 2 Accent 4"/>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5">
    <w:name w:val="Medium Grid 2 Accent 5"/>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6">
    <w:name w:val="Medium Grid 2 Accent 6"/>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7">
    <w:name w:val="Medium Grid 3"/>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8">
    <w:name w:val="Medium Grid 3 Accent 1"/>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99">
    <w:name w:val="Medium Grid 3 Accent 2"/>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0">
    <w:name w:val="Medium Grid 3 Accent 3"/>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1">
    <w:name w:val="Medium Grid 3 Accent 4"/>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2">
    <w:name w:val="Medium Grid 3 Accent 5"/>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3">
    <w:name w:val="Medium Grid 3 Accent 6"/>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4">
    <w:name w:val="Dark List"/>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5">
    <w:name w:val="Dark List Accent 1"/>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6">
    <w:name w:val="Dark List Accent 2"/>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7">
    <w:name w:val="Dark List Accent 3"/>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8">
    <w:name w:val="Dark List Accent 4"/>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09">
    <w:name w:val="Dark List Accent 5"/>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0">
    <w:name w:val="Dark List Accent 6"/>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1">
    <w:name w:val="Colorful Shading"/>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2">
    <w:name w:val="Colorful Shading Accent 1"/>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2"/>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3"/>
    <w:basedOn w:val="32"/>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5">
    <w:name w:val="Colorful Shading Accent 4"/>
    <w:basedOn w:val="32"/>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5"/>
    <w:basedOn w:val="32"/>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6"/>
    <w:basedOn w:val="32"/>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List"/>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19">
    <w:name w:val="Colorful List Accent 1"/>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0">
    <w:name w:val="Colorful List Accent 2"/>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1">
    <w:name w:val="Colorful List Accent 3"/>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2">
    <w:name w:val="Colorful List Accent 4"/>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3">
    <w:name w:val="Colorful List Accent 5"/>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4">
    <w:name w:val="Colorful List Accent 6"/>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5">
    <w:name w:val="Colorful Grid"/>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6">
    <w:name w:val="Colorful Grid Accent 1"/>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7">
    <w:name w:val="Colorful Grid Accent 2"/>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8">
    <w:name w:val="Colorful Grid Accent 3"/>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29">
    <w:name w:val="Colorful Grid Accent 4"/>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0">
    <w:name w:val="Colorful Grid Accent 5"/>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1">
    <w:name w:val="Colorful Grid Accent 6"/>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3">
    <w:name w:val="Strong"/>
    <w:basedOn w:val="132"/>
    <w:qFormat/>
    <w:uiPriority w:val="22"/>
    <w:rPr>
      <w:b/>
      <w:bCs/>
    </w:rPr>
  </w:style>
  <w:style w:type="character" w:styleId="134">
    <w:name w:val="Emphasis"/>
    <w:basedOn w:val="132"/>
    <w:qFormat/>
    <w:uiPriority w:val="20"/>
    <w:rPr>
      <w:i/>
      <w:iCs/>
    </w:rPr>
  </w:style>
  <w:style w:type="character" w:customStyle="1" w:styleId="135">
    <w:name w:val="Header Char"/>
    <w:basedOn w:val="132"/>
    <w:link w:val="25"/>
    <w:uiPriority w:val="99"/>
  </w:style>
  <w:style w:type="character" w:customStyle="1" w:styleId="136">
    <w:name w:val="Footer Char"/>
    <w:basedOn w:val="132"/>
    <w:link w:val="24"/>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132"/>
    <w:link w:val="3"/>
    <w:uiPriority w:val="9"/>
    <w:rPr>
      <w:rFonts w:asciiTheme="majorHAnsi" w:hAnsiTheme="majorHAnsi" w:eastAsiaTheme="majorEastAsia" w:cstheme="majorBidi"/>
      <w:b/>
      <w:bCs/>
      <w:color w:val="376092" w:themeColor="accent1" w:themeShade="BF"/>
      <w:sz w:val="28"/>
      <w:szCs w:val="28"/>
    </w:rPr>
  </w:style>
  <w:style w:type="character" w:customStyle="1" w:styleId="139">
    <w:name w:val="Heading 2 Char"/>
    <w:basedOn w:val="132"/>
    <w:link w:val="4"/>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Heading 3 Char"/>
    <w:basedOn w:val="132"/>
    <w:link w:val="5"/>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e Char"/>
    <w:basedOn w:val="132"/>
    <w:link w:val="31"/>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ubtitle Char"/>
    <w:basedOn w:val="132"/>
    <w:link w:val="26"/>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Body Text Char"/>
    <w:basedOn w:val="132"/>
    <w:link w:val="19"/>
    <w:uiPriority w:val="99"/>
  </w:style>
  <w:style w:type="character" w:customStyle="1" w:styleId="145">
    <w:name w:val="Body Text 2 Char"/>
    <w:basedOn w:val="132"/>
    <w:link w:val="28"/>
    <w:uiPriority w:val="99"/>
  </w:style>
  <w:style w:type="character" w:customStyle="1" w:styleId="146">
    <w:name w:val="Body Text 3 Char"/>
    <w:basedOn w:val="132"/>
    <w:link w:val="17"/>
    <w:uiPriority w:val="99"/>
    <w:rPr>
      <w:sz w:val="16"/>
      <w:szCs w:val="16"/>
    </w:rPr>
  </w:style>
  <w:style w:type="character" w:customStyle="1" w:styleId="147">
    <w:name w:val="Macro Text Char"/>
    <w:basedOn w:val="132"/>
    <w:link w:val="2"/>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Quote Char"/>
    <w:basedOn w:val="132"/>
    <w:link w:val="148"/>
    <w:uiPriority w:val="29"/>
    <w:rPr>
      <w:i/>
      <w:iCs/>
      <w:color w:val="000000" w:themeColor="text1"/>
      <w14:textFill>
        <w14:solidFill>
          <w14:schemeClr w14:val="tx1"/>
        </w14:solidFill>
      </w14:textFill>
    </w:rPr>
  </w:style>
  <w:style w:type="character" w:customStyle="1" w:styleId="150">
    <w:name w:val="Heading 4 Char"/>
    <w:basedOn w:val="132"/>
    <w:link w:val="6"/>
    <w:semiHidden/>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132"/>
    <w:link w:val="7"/>
    <w:semiHidden/>
    <w:uiPriority w:val="9"/>
    <w:rPr>
      <w:rFonts w:asciiTheme="majorHAnsi" w:hAnsiTheme="majorHAnsi" w:eastAsiaTheme="majorEastAsia" w:cstheme="majorBidi"/>
      <w:color w:val="254061" w:themeColor="accent1" w:themeShade="80"/>
    </w:rPr>
  </w:style>
  <w:style w:type="character" w:customStyle="1" w:styleId="152">
    <w:name w:val="Heading 6 Char"/>
    <w:basedOn w:val="132"/>
    <w:link w:val="8"/>
    <w:semiHidden/>
    <w:uiPriority w:val="9"/>
    <w:rPr>
      <w:rFonts w:asciiTheme="majorHAnsi" w:hAnsiTheme="majorHAnsi" w:eastAsiaTheme="majorEastAsia" w:cstheme="majorBidi"/>
      <w:i/>
      <w:iCs/>
      <w:color w:val="254061" w:themeColor="accent1" w:themeShade="80"/>
    </w:rPr>
  </w:style>
  <w:style w:type="character" w:customStyle="1" w:styleId="153">
    <w:name w:val="Heading 7 Char"/>
    <w:basedOn w:val="132"/>
    <w:link w:val="9"/>
    <w:semiHidden/>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132"/>
    <w:link w:val="10"/>
    <w:semiHidden/>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132"/>
    <w:link w:val="11"/>
    <w:semiHidden/>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Intense Quote Char"/>
    <w:basedOn w:val="132"/>
    <w:link w:val="156"/>
    <w:uiPriority w:val="30"/>
    <w:rPr>
      <w:b/>
      <w:bCs/>
      <w:i/>
      <w:iCs/>
      <w:color w:val="4F81BD" w:themeColor="accent1"/>
      <w14:textFill>
        <w14:solidFill>
          <w14:schemeClr w14:val="accent1"/>
        </w14:solidFill>
      </w14:textFill>
    </w:rPr>
  </w:style>
  <w:style w:type="character" w:customStyle="1" w:styleId="158">
    <w:name w:val="Subtle Emphasis"/>
    <w:basedOn w:val="132"/>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32"/>
    <w:qFormat/>
    <w:uiPriority w:val="21"/>
    <w:rPr>
      <w:b/>
      <w:bCs/>
      <w:i/>
      <w:iCs/>
      <w:color w:val="4F81BD" w:themeColor="accent1"/>
      <w14:textFill>
        <w14:solidFill>
          <w14:schemeClr w14:val="accent1"/>
        </w14:solidFill>
      </w14:textFill>
    </w:rPr>
  </w:style>
  <w:style w:type="character" w:customStyle="1" w:styleId="160">
    <w:name w:val="Subtle Reference"/>
    <w:basedOn w:val="132"/>
    <w:qFormat/>
    <w:uiPriority w:val="31"/>
    <w:rPr>
      <w:smallCaps/>
      <w:color w:val="C0504D" w:themeColor="accent2"/>
      <w:u w:val="single"/>
      <w14:textFill>
        <w14:solidFill>
          <w14:schemeClr w14:val="accent2"/>
        </w14:solidFill>
      </w14:textFill>
    </w:rPr>
  </w:style>
  <w:style w:type="character" w:customStyle="1" w:styleId="161">
    <w:name w:val="Intense Reference"/>
    <w:basedOn w:val="132"/>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32"/>
    <w:qFormat/>
    <w:uiPriority w:val="33"/>
    <w:rPr>
      <w:b/>
      <w:bCs/>
      <w:smallCaps/>
      <w:spacing w:val="5"/>
    </w:rPr>
  </w:style>
  <w:style w:type="paragraph" w:customStyle="1" w:styleId="163">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1632</Words>
  <Characters>10448</Characters>
  <Lines>0</Lines>
  <Paragraphs>0</Paragraphs>
  <TotalTime>1</TotalTime>
  <ScaleCrop>false</ScaleCrop>
  <LinksUpToDate>false</LinksUpToDate>
  <CharactersWithSpaces>11804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Taurus</cp:lastModifiedBy>
  <dcterms:modified xsi:type="dcterms:W3CDTF">2026-06-12T03:49:11Z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eyJoZGlkIjoiNTJlNTAxNzA0NzNjYjg3MzdjNWM5YjkxZDQxNDU1YWQiLCJ1c2VySWQiOiIxOTE3NTMwMjcifQ==</vt:lpwstr>
  </property>
  <property fmtid="{D5CDD505-2E9C-101B-9397-08002B2CF9AE}" pid="3" name="KSOProductBuildVer">
    <vt:lpwstr>2052-12.1.0.26895</vt:lpwstr>
  </property>
  <property fmtid="{D5CDD505-2E9C-101B-9397-08002B2CF9AE}" pid="4" name="ICV">
    <vt:lpwstr>D12426283DA0407482411536129719F6_12</vt:lpwstr>
  </property>
</Properties>
</file>