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A5B58">
      <w:pPr>
        <w:spacing w:line="480" w:lineRule="auto"/>
        <w:rPr>
          <w:rFonts w:hint="eastAsia" w:eastAsia="楷体"/>
          <w:color w:val="000000"/>
          <w:sz w:val="24"/>
          <w:lang w:val="en-US" w:eastAsia="zh-CN"/>
        </w:rPr>
      </w:pPr>
      <w:r>
        <w:rPr>
          <w:rFonts w:hint="eastAsia"/>
          <w:b/>
          <w:bCs/>
          <w:sz w:val="24"/>
          <w:lang w:val="en-US" w:eastAsia="zh-CN"/>
        </w:rPr>
        <w:t>Supplementary Methods</w:t>
      </w:r>
    </w:p>
    <w:p w14:paraId="169FEE69">
      <w:pPr>
        <w:snapToGrid w:val="0"/>
        <w:spacing w:line="480" w:lineRule="auto"/>
        <w:rPr>
          <w:b/>
          <w:bCs/>
          <w:i/>
          <w:iCs/>
          <w:sz w:val="24"/>
        </w:rPr>
      </w:pPr>
      <w:bookmarkStart w:id="0" w:name="_GoBack"/>
      <w:bookmarkEnd w:id="0"/>
      <w:r>
        <w:rPr>
          <w:b/>
          <w:bCs/>
          <w:i/>
          <w:iCs/>
          <w:sz w:val="24"/>
        </w:rPr>
        <w:t>Cell Passaging</w:t>
      </w:r>
    </w:p>
    <w:p w14:paraId="169FEE6A">
      <w:pPr>
        <w:snapToGrid w:val="0"/>
        <w:spacing w:line="480" w:lineRule="auto"/>
        <w:ind w:firstLine="480" w:firstLineChars="200"/>
        <w:rPr>
          <w:sz w:val="24"/>
        </w:rPr>
      </w:pPr>
      <w:r>
        <w:rPr>
          <w:sz w:val="24"/>
        </w:rPr>
        <w:t xml:space="preserve">When the cells reached approximately 80–90% confluency, the old medium was discarded, and the cells were washed three times with phosphate-buffered saline (PBS, Gibco, Waltham, MA, USA). The cells were then detached using 1 mL of trypsin and incubation at 37℃ for 3–5 min. Once the cells detached and began to separate, fresh medium was added to stop the digestion, and the cells were gently pipetted for even dispersion. The cell suspension was transferred to a centrifuge tube and centrifuged at 1,000 × </w:t>
      </w:r>
      <w:r>
        <w:rPr>
          <w:i/>
          <w:iCs/>
          <w:sz w:val="24"/>
        </w:rPr>
        <w:t>g</w:t>
      </w:r>
      <w:r>
        <w:rPr>
          <w:sz w:val="24"/>
        </w:rPr>
        <w:t xml:space="preserve"> for 6 min. The supernatant was discarded, and the cells were re-suspended in fresh medium and transferred to new culture containers. The cells were incubated at 37℃ with 5% CO₂. Cell status was monitored regularly, and the medium was replaced as needed. Once the cells reached the appropriate confluency, the cells were re-passaged as described above.</w:t>
      </w:r>
    </w:p>
    <w:p w14:paraId="169FEE6B">
      <w:pPr>
        <w:snapToGrid w:val="0"/>
        <w:spacing w:line="480" w:lineRule="auto"/>
        <w:rPr>
          <w:b/>
          <w:bCs/>
          <w:i/>
          <w:iCs/>
          <w:sz w:val="24"/>
        </w:rPr>
      </w:pPr>
      <w:r>
        <w:rPr>
          <w:b/>
          <w:bCs/>
          <w:i/>
          <w:iCs/>
          <w:sz w:val="24"/>
        </w:rPr>
        <w:t>Cell Viability Assay</w:t>
      </w:r>
    </w:p>
    <w:p w14:paraId="169FEE6C">
      <w:pPr>
        <w:snapToGrid w:val="0"/>
        <w:spacing w:line="480" w:lineRule="auto"/>
        <w:ind w:firstLine="480" w:firstLineChars="200"/>
        <w:rPr>
          <w:sz w:val="24"/>
        </w:rPr>
      </w:pPr>
      <w:r>
        <w:rPr>
          <w:sz w:val="24"/>
        </w:rPr>
        <w:t>Cell viability was assessed using the Cell Counting Kit-8 (CCK-8; Beyotime, China). In a 96-well cell culture plate, 100 µL of cell suspension at a density of 1,000 cells/mL was inoculated into each well. The plate was then placed in a 37℃ incubator with 5% CO₂ for 24 h. Following this, 10 µL of CCK-8 solution was added to each well at 0, 12, 24, 48, 72, and 96 h or alternatively at 0, 1, 2, 3, 4, and 5 days and further incubated at 37℃ for 4 h. Finally, the absorbance was measured at 450 nm using a microplate reader. The data was statistically analyzed, the mean values were calculated, and a growth curve was plotted to illustrate the cell growth trend.</w:t>
      </w:r>
    </w:p>
    <w:p w14:paraId="169FEE6D">
      <w:pPr>
        <w:snapToGrid w:val="0"/>
        <w:spacing w:line="480" w:lineRule="auto"/>
        <w:rPr>
          <w:b/>
          <w:bCs/>
          <w:i/>
          <w:iCs/>
          <w:sz w:val="24"/>
        </w:rPr>
      </w:pPr>
      <w:r>
        <w:rPr>
          <w:b/>
          <w:bCs/>
          <w:i/>
          <w:iCs/>
          <w:sz w:val="24"/>
        </w:rPr>
        <w:t>Colony Formation Assay</w:t>
      </w:r>
    </w:p>
    <w:p w14:paraId="169FEE6E">
      <w:pPr>
        <w:snapToGrid w:val="0"/>
        <w:spacing w:line="480" w:lineRule="auto"/>
        <w:ind w:firstLine="480" w:firstLineChars="200"/>
        <w:rPr>
          <w:sz w:val="24"/>
        </w:rPr>
      </w:pPr>
      <w:r>
        <w:rPr>
          <w:sz w:val="24"/>
        </w:rPr>
        <w:t>CAFs in the logarithmic phase were trypsinized with 0.25% trypsin, resuspended in Dulbecco’s modified Eagle medium (DMEM; Gibco, Waltham, MA, USA) supplemented with 10% fetal bovine serum (FBS; Gibco), and subjected to serial dilutions. Each group of cells was seeded at a density of 1 × 10² cells into sterile Petri dishes containing 10 mL of pre-warmed medium. The dishes were incubated at 37°C in 5% CO₂ with saturated humidity until visible cell colonies appeared. Subsequently, the culture was terminated, and the dishes were rinsed twice with PBS. They were then fixed in 4% paraformaldehyde for 15 min and stained with Giemsa staining solution for 10–30 min. Finally, colonies containing more than 10 cells were counted using a microscope.</w:t>
      </w:r>
    </w:p>
    <w:p w14:paraId="169FEE6F">
      <w:pPr>
        <w:snapToGrid w:val="0"/>
        <w:spacing w:line="480" w:lineRule="auto"/>
        <w:rPr>
          <w:b/>
          <w:bCs/>
          <w:i/>
          <w:iCs/>
          <w:sz w:val="24"/>
        </w:rPr>
      </w:pPr>
      <w:r>
        <w:rPr>
          <w:b/>
          <w:bCs/>
          <w:i/>
          <w:iCs/>
          <w:sz w:val="24"/>
        </w:rPr>
        <w:t>Transwell Invasion Assay</w:t>
      </w:r>
    </w:p>
    <w:p w14:paraId="169FEE70">
      <w:pPr>
        <w:snapToGrid w:val="0"/>
        <w:spacing w:line="480" w:lineRule="auto"/>
        <w:ind w:firstLine="480" w:firstLineChars="200"/>
        <w:rPr>
          <w:sz w:val="24"/>
        </w:rPr>
      </w:pPr>
      <w:r>
        <w:rPr>
          <w:sz w:val="24"/>
        </w:rPr>
        <w:t>During the logarithmic growth phase, cells were trypsinized, centrifuged, and washed with PBS. The cells were resuspended in medium containing 1% FBS at a density of 1 × 10⁵ cells/mL, and 100 µL of the cell suspension was added to the upper chamber of a Transwell plate (Corning, Corning, NY, USA). Then, 600 µL of medium with 20% FBS was added to the lower chamber, ensuring that there were no air bubbles. The Transwell chambers were placed on a culture plate and incubated for 24 h under standard conditions. After incubation, the chambers were removed, and the medium from the lower chamber was discarded. The cells were washed twice with PBS, fixed with paraformaldehyde for 30 min, air dried for 1 h, and stained with 0.1% crystal violet (Beyotime, China) for 20 min. Non-migrated cells were removed and washed three times with PBS. The cells were observed under a microscope and cells in five randomly selected fields were counted to assess migration ability.</w:t>
      </w:r>
    </w:p>
    <w:p w14:paraId="169FEE71">
      <w:pPr>
        <w:snapToGrid w:val="0"/>
        <w:spacing w:line="480" w:lineRule="auto"/>
        <w:rPr>
          <w:b/>
          <w:bCs/>
          <w:i/>
          <w:iCs/>
          <w:sz w:val="24"/>
        </w:rPr>
      </w:pPr>
      <w:r>
        <w:rPr>
          <w:b/>
          <w:bCs/>
          <w:i/>
          <w:iCs/>
          <w:sz w:val="24"/>
        </w:rPr>
        <w:t>Scratch Assay</w:t>
      </w:r>
    </w:p>
    <w:p w14:paraId="169FEE72">
      <w:pPr>
        <w:snapToGrid w:val="0"/>
        <w:spacing w:line="480" w:lineRule="auto"/>
        <w:ind w:firstLine="480" w:firstLineChars="200"/>
        <w:rPr>
          <w:sz w:val="24"/>
        </w:rPr>
      </w:pPr>
      <w:r>
        <w:rPr>
          <w:sz w:val="24"/>
        </w:rPr>
        <w:t>In a 6-well plate, horizontal lines were drawn 0.5 cm apart to guide scratching. Cells were trypsinized and seeded at 1 × 10⁶ cells per well, allowing them to adhere until reaching 100% confluency. Scratches were made vertically along the lines using a 200 µL pipette tip. Cells were washed three times with PBS to remove debris, and serum-free medium was then added. Plates were incubated at 37°C with 5% CO₂ for 24 h. Cell migration into the scratch was observed at 0 and 24 h using a microscope, and images were captured. ImageJ software (National Institutes of Health, Bethesda, MD, USA) was used to analyze the images to measure the distance between scratch edges. The relative migration distance was calculated to assess cell migratory capacity.</w:t>
      </w:r>
    </w:p>
    <w:p w14:paraId="169FEE73">
      <w:pPr>
        <w:snapToGrid w:val="0"/>
        <w:spacing w:line="480" w:lineRule="auto"/>
        <w:rPr>
          <w:b/>
          <w:bCs/>
          <w:i/>
          <w:iCs/>
          <w:sz w:val="24"/>
        </w:rPr>
      </w:pPr>
      <w:r>
        <w:rPr>
          <w:b/>
          <w:bCs/>
          <w:i/>
          <w:iCs/>
          <w:sz w:val="24"/>
        </w:rPr>
        <w:t>Apoptosis Assay</w:t>
      </w:r>
    </w:p>
    <w:p w14:paraId="169FEE75">
      <w:pPr>
        <w:snapToGrid w:val="0"/>
        <w:spacing w:line="480" w:lineRule="auto"/>
        <w:ind w:firstLine="480" w:firstLineChars="200"/>
      </w:pPr>
      <w:r>
        <w:rPr>
          <w:sz w:val="24"/>
        </w:rPr>
        <w:t xml:space="preserve">The Annexin V-FITC Apoptosis Detection Kit (Beyotime, China) was used to assess cell apoptosis. Cells were gently detached with trypsin lacking EDTA, collected by centrifugation (300 × </w:t>
      </w:r>
      <w:r>
        <w:rPr>
          <w:i/>
          <w:iCs/>
          <w:sz w:val="24"/>
        </w:rPr>
        <w:t>g</w:t>
      </w:r>
      <w:r>
        <w:rPr>
          <w:sz w:val="24"/>
        </w:rPr>
        <w:t>, 4°C, 5 min), and washed twice with ice-cold PBS under the same conditions to obtain 1–5 × 10⁵ cells. After the supernatant was removed, the pellet was resuspended in 100 µL of 1× binding buffer, followed by the addition of 5 µL Annexin V-FITC and 10 µL propidium iodide) staining solution. The mixture was gently vortexed and incubated for 10–15 min at room temperature in the dark. The reaction was then terminated by adding 400 µL 1× binding buffer, and the samples were analyzed within 1 h using a flow cytometer.</w:t>
      </w:r>
    </w:p>
    <w:p w14:paraId="0DBEAE6D">
      <w:pPr>
        <w:snapToGrid w:val="0"/>
        <w:spacing w:line="480" w:lineRule="auto"/>
      </w:pP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071803"/>
      <w:docPartObj>
        <w:docPartGallery w:val="autotext"/>
      </w:docPartObj>
    </w:sdtPr>
    <w:sdtContent>
      <w:p w14:paraId="4DB974CB">
        <w:pPr>
          <w:pStyle w:val="3"/>
          <w:jc w:val="right"/>
        </w:pPr>
        <w:r>
          <w:fldChar w:fldCharType="begin"/>
        </w:r>
        <w:r>
          <w:instrText xml:space="preserve"> PAGE   \* MERGEFORMAT </w:instrText>
        </w:r>
        <w:r>
          <w:fldChar w:fldCharType="separate"/>
        </w:r>
        <w: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13231"/>
    <w:rsid w:val="00002073"/>
    <w:rsid w:val="000D6E48"/>
    <w:rsid w:val="00150F8D"/>
    <w:rsid w:val="002557FD"/>
    <w:rsid w:val="00356CE0"/>
    <w:rsid w:val="003B4507"/>
    <w:rsid w:val="0046488F"/>
    <w:rsid w:val="00471C66"/>
    <w:rsid w:val="004E2E30"/>
    <w:rsid w:val="0065034F"/>
    <w:rsid w:val="00664AD6"/>
    <w:rsid w:val="007C1975"/>
    <w:rsid w:val="00891925"/>
    <w:rsid w:val="009F0F49"/>
    <w:rsid w:val="00A148D4"/>
    <w:rsid w:val="00A91BA7"/>
    <w:rsid w:val="00AC713A"/>
    <w:rsid w:val="00B428AA"/>
    <w:rsid w:val="00B97E36"/>
    <w:rsid w:val="00BE542D"/>
    <w:rsid w:val="00C23D77"/>
    <w:rsid w:val="00C627B0"/>
    <w:rsid w:val="00D92C7A"/>
    <w:rsid w:val="00DA1509"/>
    <w:rsid w:val="00E22FBE"/>
    <w:rsid w:val="00E72645"/>
    <w:rsid w:val="00E76232"/>
    <w:rsid w:val="00F10161"/>
    <w:rsid w:val="00F57D49"/>
    <w:rsid w:val="075B4EF9"/>
    <w:rsid w:val="17713231"/>
    <w:rsid w:val="1EDB27DE"/>
    <w:rsid w:val="209F447E"/>
    <w:rsid w:val="47694E69"/>
    <w:rsid w:val="6BD41C42"/>
    <w:rsid w:val="6F914C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rPr>
      <w:sz w:val="20"/>
      <w:szCs w:val="20"/>
    </w:rPr>
  </w:style>
  <w:style w:type="paragraph" w:styleId="3">
    <w:name w:val="footer"/>
    <w:basedOn w:val="1"/>
    <w:link w:val="15"/>
    <w:qFormat/>
    <w:uiPriority w:val="99"/>
    <w:pPr>
      <w:tabs>
        <w:tab w:val="center" w:pos="4680"/>
        <w:tab w:val="right" w:pos="9360"/>
      </w:tabs>
    </w:pPr>
  </w:style>
  <w:style w:type="paragraph" w:styleId="4">
    <w:name w:val="header"/>
    <w:basedOn w:val="1"/>
    <w:link w:val="14"/>
    <w:qFormat/>
    <w:uiPriority w:val="0"/>
    <w:pPr>
      <w:tabs>
        <w:tab w:val="center" w:pos="4680"/>
        <w:tab w:val="right" w:pos="9360"/>
      </w:tabs>
    </w:pPr>
  </w:style>
  <w:style w:type="paragraph" w:styleId="5">
    <w:name w:val="annotation subject"/>
    <w:basedOn w:val="2"/>
    <w:next w:val="2"/>
    <w:link w:val="13"/>
    <w:qFormat/>
    <w:uiPriority w:val="0"/>
    <w:rPr>
      <w:b/>
      <w:bCs/>
    </w:rPr>
  </w:style>
  <w:style w:type="character" w:styleId="8">
    <w:name w:val="line number"/>
    <w:basedOn w:val="7"/>
    <w:qFormat/>
    <w:uiPriority w:val="0"/>
  </w:style>
  <w:style w:type="character" w:styleId="9">
    <w:name w:val="annotation reference"/>
    <w:basedOn w:val="7"/>
    <w:qFormat/>
    <w:uiPriority w:val="0"/>
    <w:rPr>
      <w:sz w:val="16"/>
      <w:szCs w:val="16"/>
    </w:rPr>
  </w:style>
  <w:style w:type="paragraph" w:customStyle="1" w:styleId="10">
    <w:name w:val="Revision1"/>
    <w:hidden/>
    <w:unhideWhenUsed/>
    <w:qFormat/>
    <w:uiPriority w:val="99"/>
    <w:rPr>
      <w:rFonts w:ascii="Times New Roman" w:hAnsi="Times New Roman" w:eastAsia="宋体" w:cs="Times New Roman"/>
      <w:kern w:val="2"/>
      <w:sz w:val="21"/>
      <w:szCs w:val="24"/>
      <w:lang w:val="en-US" w:eastAsia="zh-CN" w:bidi="ar-SA"/>
    </w:r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2">
    <w:name w:val="Comment Text Char"/>
    <w:basedOn w:val="7"/>
    <w:link w:val="2"/>
    <w:qFormat/>
    <w:uiPriority w:val="0"/>
    <w:rPr>
      <w:rFonts w:ascii="Times New Roman" w:hAnsi="Times New Roman" w:eastAsia="宋体" w:cs="Times New Roman"/>
      <w:kern w:val="2"/>
      <w:lang w:eastAsia="zh-CN"/>
    </w:rPr>
  </w:style>
  <w:style w:type="character" w:customStyle="1" w:styleId="13">
    <w:name w:val="Comment Subject Char"/>
    <w:basedOn w:val="12"/>
    <w:link w:val="5"/>
    <w:qFormat/>
    <w:uiPriority w:val="0"/>
    <w:rPr>
      <w:rFonts w:ascii="Times New Roman" w:hAnsi="Times New Roman" w:eastAsia="宋体" w:cs="Times New Roman"/>
      <w:b/>
      <w:bCs/>
      <w:kern w:val="2"/>
      <w:lang w:eastAsia="zh-CN"/>
    </w:rPr>
  </w:style>
  <w:style w:type="character" w:customStyle="1" w:styleId="14">
    <w:name w:val="Header Char"/>
    <w:basedOn w:val="7"/>
    <w:link w:val="4"/>
    <w:qFormat/>
    <w:uiPriority w:val="0"/>
    <w:rPr>
      <w:rFonts w:ascii="Times New Roman" w:hAnsi="Times New Roman" w:eastAsia="宋体" w:cs="Times New Roman"/>
      <w:kern w:val="2"/>
      <w:sz w:val="21"/>
      <w:szCs w:val="24"/>
      <w:lang w:eastAsia="zh-CN"/>
    </w:rPr>
  </w:style>
  <w:style w:type="character" w:customStyle="1" w:styleId="15">
    <w:name w:val="Footer Char"/>
    <w:basedOn w:val="7"/>
    <w:link w:val="3"/>
    <w:qFormat/>
    <w:uiPriority w:val="99"/>
    <w:rPr>
      <w:rFonts w:ascii="Times New Roman" w:hAnsi="Times New Roman" w:eastAsia="宋体" w:cs="Times New Roman"/>
      <w:kern w:val="2"/>
      <w:sz w:val="21"/>
      <w:szCs w:val="24"/>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806</Words>
  <Characters>4009</Characters>
  <Lines>35</Lines>
  <Paragraphs>10</Paragraphs>
  <TotalTime>0</TotalTime>
  <ScaleCrop>false</ScaleCrop>
  <LinksUpToDate>false</LinksUpToDate>
  <CharactersWithSpaces>4802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2025-07-19T08:10:00Z</dcterms:created>
  <dc:creator>李泽康</dc:creator>
  <cp:lastModifiedBy>李泽康</cp:lastModifiedBy>
  <dcterms:modified xsi:type="dcterms:W3CDTF">2025-11-03T04:14:33Z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8A538F296DAA46BB9594E5FFD01C9F33_11</vt:lpwstr>
  </property>
  <property fmtid="{D5CDD505-2E9C-101B-9397-08002B2CF9AE}" pid="4" name="KSOTemplateDocerSaveRecord">
    <vt:lpwstr>eyJoZGlkIjoiOGI5ODRjMDNmNTc0MmRiY2RkNDUwYWVmN2UzZTJlM2IiLCJ1c2VySWQiOiI0MTI4MDQ4MzEifQ==</vt:lpwstr>
  </property>
</Properties>
</file>