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5EE9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705" cy="5400040"/>
            <wp:effectExtent l="0" t="0" r="10795" b="10160"/>
            <wp:docPr id="1" name="图片 1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8FFE4">
      <w:pPr>
        <w:spacing w:before="240" w:after="240"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Fig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1</w:t>
      </w:r>
      <w:bookmarkStart w:id="0" w:name="_GoBack"/>
      <w:bookmarkEnd w:id="0"/>
      <w:r>
        <w:rPr>
          <w:rFonts w:ascii="Times New Roman" w:hAnsi="Times New Roman" w:eastAsia="宋体" w:cs="Times New Roman"/>
          <w:b/>
          <w:bCs/>
          <w:sz w:val="24"/>
          <w:szCs w:val="24"/>
        </w:rPr>
        <w:t>. Validation of knockdown/overexpression efficiency and analysis of DEGs in CAFs with altered SERPINE1 expression.</w:t>
      </w:r>
      <w:r>
        <w:rPr>
          <w:rFonts w:ascii="Times New Roman" w:hAnsi="Times New Roman" w:eastAsia="宋体" w:cs="Times New Roman"/>
          <w:sz w:val="24"/>
          <w:szCs w:val="24"/>
        </w:rPr>
        <w:t xml:space="preserve"> (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</w:t>
      </w:r>
      <w:r>
        <w:rPr>
          <w:rFonts w:ascii="Times New Roman" w:hAnsi="Times New Roman" w:eastAsia="宋体" w:cs="Times New Roman"/>
          <w:sz w:val="24"/>
          <w:szCs w:val="24"/>
        </w:rPr>
        <w:t>–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B</w:t>
      </w:r>
      <w:r>
        <w:rPr>
          <w:rFonts w:ascii="Times New Roman" w:hAnsi="Times New Roman" w:eastAsia="宋体" w:cs="Times New Roman"/>
          <w:sz w:val="24"/>
          <w:szCs w:val="24"/>
        </w:rPr>
        <w:t>) The overexpression and knockdown efficiency of SERPINE1 in GC-CAFs and NFs was evaluated by RT-qPCR and western blotting. * p &lt; 0.05, ** p &lt; 0.01, ***p &lt; 0.001. (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C</w:t>
      </w:r>
      <w:r>
        <w:rPr>
          <w:rFonts w:ascii="Times New Roman" w:hAnsi="Times New Roman" w:eastAsia="宋体" w:cs="Times New Roman"/>
          <w:sz w:val="24"/>
          <w:szCs w:val="24"/>
        </w:rPr>
        <w:t>) Overview of differential gene expression profiles in CAFs overexpressing SERPINE1 versus those with SERPINE1 knockdown. (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D</w:t>
      </w:r>
      <w:r>
        <w:rPr>
          <w:rFonts w:ascii="Times New Roman" w:hAnsi="Times New Roman" w:eastAsia="宋体" w:cs="Times New Roman"/>
          <w:sz w:val="24"/>
          <w:szCs w:val="24"/>
        </w:rPr>
        <w:t>–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E</w:t>
      </w:r>
      <w:r>
        <w:rPr>
          <w:rFonts w:ascii="Times New Roman" w:hAnsi="Times New Roman" w:eastAsia="宋体" w:cs="Times New Roman"/>
          <w:sz w:val="24"/>
          <w:szCs w:val="24"/>
        </w:rPr>
        <w:t>) GO and KEGG enrichment analyses reveal significant pathways affected by SERPINE1 overexpression (d) and knockdown (e).</w:t>
      </w:r>
    </w:p>
    <w:p w14:paraId="78DF77BA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51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2026-01-17T05:19:03Z</dcterms:created>
  <dc:creator>zekan</dc:creator>
  <cp:lastModifiedBy>李泽康</cp:lastModifiedBy>
  <dcterms:modified xsi:type="dcterms:W3CDTF">2026-01-17T06:36:10Z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eyJoZGlkIjoiOGI5ODRjMDNmNTc0MmRiY2RkNDUwYWVmN2UzZTJlM2IiLCJ1c2VySWQiOiI0MTI4MDQ4MzEifQ==</vt:lpwstr>
  </property>
  <property fmtid="{D5CDD505-2E9C-101B-9397-08002B2CF9AE}" pid="4" name="ICV">
    <vt:lpwstr>4C1700D39E974C8CA48325315C3BAFF3_12</vt:lpwstr>
  </property>
</Properties>
</file>