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left"/>
      </w:pPr>
      <w:r>
        <w:rPr>
          <w:rFonts w:ascii="Arial" w:cs="Arial" w:eastAsia="Arial" w:hAnsi="Arial"/>
          <w:b/>
          <w:bCs/>
          <w:sz w:val="28"/>
          <w:szCs w:val="28"/>
        </w:rPr>
        <w:t xml:space="preserve">Additional file 1. Full electronic search strategies</w:t>
      </w:r>
    </w:p>
    <w:p>
      <w:pPr>
        <w:spacing w:after="140" w:line="276"/>
      </w:pPr>
      <w:r>
        <w:rPr>
          <w:i/>
          <w:iCs/>
          <w:sz w:val="20"/>
          <w:szCs w:val="20"/>
        </w:rPr>
        <w:t xml:space="preserve">Scoping review: Barriers, facilitators and interventions for foot abduction brace adherence in the Ponseti management of idiopathic clubfoot in low- and middle-income countries.</w:t>
      </w:r>
    </w:p>
    <w:p>
      <w:pPr>
        <w:spacing w:after="140" w:line="276"/>
      </w:pPr>
      <w:r>
        <w:rPr>
          <w:b/>
          <w:bCs/>
        </w:rPr>
        <w:t xml:space="preserve">Search approach. </w:t>
      </w:r>
      <w:r>
        <w:t xml:space="preserve">The search combined three concept blocks using the Boolean operator AND: (1) clubfoot; (2) Ponseti method / foot abduction bracing; and (3) adherence / compliance / drop-out. No geographic (low- and middle-income country) filter was applied at the search stage; context was applied during screening. Databases were searched from inception to the search date. Only English-language records were eligible. Searches were last run on 14 June 2026.</w:t>
      </w:r>
    </w:p>
    <w:p>
      <w:pPr>
        <w:spacing w:after="140" w:line="276"/>
      </w:pPr>
      <w:r>
        <w:rPr>
          <w:b/>
          <w:bCs/>
          <w:i/>
          <w:iCs/>
        </w:rPr>
        <w:t xml:space="preserve">Note. </w:t>
      </w:r>
      <w:r>
        <w:rPr>
          <w:i/>
          <w:iCs/>
        </w:rPr>
        <w:t xml:space="preserve">The PubMed/MEDLINE strategy below is the exact, verbatim query as executed, which yielded 245 records. The AJOL and Google Scholar strategies reflect the searches as conducted in those interfaces. Counts for any database may vary slightly if re-run, as the underlying indexes are updated over time.</w:t>
      </w:r>
    </w:p>
    <w:p>
      <w:pPr>
        <w:pStyle w:val="Heading2"/>
      </w:pPr>
      <w:r>
        <w:t xml:space="preserve">Concept blocks (terms)</w:t>
      </w:r>
    </w:p>
    <w:p>
      <w:pPr>
        <w:spacing w:after="140" w:line="276"/>
      </w:pPr>
      <w:r>
        <w:rPr>
          <w:b/>
          <w:bCs/>
        </w:rPr>
        <w:t xml:space="preserve">Block 1 (clubfoot): </w:t>
      </w:r>
      <w:r>
        <w:t xml:space="preserve">clubfoot; "club foot"; "talipes equinovarus"; CTEV; ICTEV; talipes.</w:t>
      </w:r>
    </w:p>
    <w:p>
      <w:pPr>
        <w:spacing w:after="140" w:line="276"/>
      </w:pPr>
      <w:r>
        <w:rPr>
          <w:b/>
          <w:bCs/>
        </w:rPr>
        <w:t xml:space="preserve">Block 2 (Ponseti / bracing): </w:t>
      </w:r>
      <w:r>
        <w:t xml:space="preserve">Ponseti; "foot abduction brace"; "foot abduction orthosis"; "Denis Browne"; "boots and bar"; brace; bracing; orthosis; "maintenance phase".</w:t>
      </w:r>
    </w:p>
    <w:p>
      <w:pPr>
        <w:spacing w:after="140" w:line="276"/>
      </w:pPr>
      <w:r>
        <w:rPr>
          <w:b/>
          <w:bCs/>
        </w:rPr>
        <w:t xml:space="preserve">Block 3 (adherence): </w:t>
      </w:r>
      <w:r>
        <w:t xml:space="preserve">adherence; compliance; non-adherence; noncompliance; "drop-out"; dropout; default; abandonment; relapse; recurrence; barriers; facilitators.</w:t>
      </w:r>
    </w:p>
    <w:p>
      <w:pPr>
        <w:pStyle w:val="Heading2"/>
      </w:pPr>
      <w:r>
        <w:t xml:space="preserve">1. PubMed / MEDLINE</w:t>
      </w:r>
    </w:p>
    <w:p>
      <w:pPr>
        <w:spacing w:after="140" w:line="276"/>
      </w:pPr>
      <w:r>
        <w:t xml:space="preserve">Field-tagged Boolean strategy combining the three concept blocks with AND. Reproduced verbatim as executed.</w:t>
      </w:r>
    </w:p>
    <w:p>
      <w:pPr>
        <w:spacing w:after="140" w:line="276"/>
      </w:pPr>
      <w:r>
        <w:rPr>
          <w:rFonts w:ascii="Courier New" w:cs="Courier New" w:eastAsia="Courier New" w:hAnsi="Courier New"/>
          <w:sz w:val="19"/>
          <w:szCs w:val="19"/>
        </w:rPr>
        <w:t xml:space="preserve">("clubfoot"[tiab] OR "club foot"[tiab] OR "club-foot"[tiab] OR CTEV[tiab] OR</w:t>
      </w:r>
    </w:p>
    <w:p>
      <w:pPr>
        <w:spacing w:after="140" w:line="276"/>
      </w:pPr>
      <w:r>
        <w:rPr>
          <w:rFonts w:ascii="Courier New" w:cs="Courier New" w:eastAsia="Courier New" w:hAnsi="Courier New"/>
          <w:sz w:val="19"/>
          <w:szCs w:val="19"/>
        </w:rPr>
        <w:t xml:space="preserve">"congenital talipes equinovarus"[tiab] OR talipes[tiab] OR "Clubfoot"[Mesh])</w:t>
      </w:r>
    </w:p>
    <w:p>
      <w:pPr>
        <w:spacing w:after="140" w:line="276"/>
      </w:pPr>
      <w:r>
        <w:rPr>
          <w:rFonts w:ascii="Courier New" w:cs="Courier New" w:eastAsia="Courier New" w:hAnsi="Courier New"/>
          <w:sz w:val="19"/>
          <w:szCs w:val="19"/>
        </w:rPr>
        <w:t xml:space="preserve">AND</w:t>
      </w:r>
    </w:p>
    <w:p>
      <w:pPr>
        <w:spacing w:after="140" w:line="276"/>
      </w:pPr>
      <w:r>
        <w:rPr>
          <w:rFonts w:ascii="Courier New" w:cs="Courier New" w:eastAsia="Courier New" w:hAnsi="Courier New"/>
          <w:sz w:val="19"/>
          <w:szCs w:val="19"/>
        </w:rPr>
        <w:t xml:space="preserve">(Ponseti[tiab] OR brace[tiab] OR braces[tiab] OR bracing[tiab] OR</w:t>
      </w:r>
    </w:p>
    <w:p>
      <w:pPr>
        <w:spacing w:after="140" w:line="276"/>
      </w:pPr>
      <w:r>
        <w:rPr>
          <w:rFonts w:ascii="Courier New" w:cs="Courier New" w:eastAsia="Courier New" w:hAnsi="Courier New"/>
          <w:sz w:val="19"/>
          <w:szCs w:val="19"/>
        </w:rPr>
        <w:t xml:space="preserve">"foot abduction brace"[tiab] OR FAB[tiab] OR orthosis[tiab] OR orthoses[tiab] OR</w:t>
      </w:r>
    </w:p>
    <w:p>
      <w:pPr>
        <w:spacing w:after="140" w:line="276"/>
      </w:pPr>
      <w:r>
        <w:rPr>
          <w:rFonts w:ascii="Courier New" w:cs="Courier New" w:eastAsia="Courier New" w:hAnsi="Courier New"/>
          <w:sz w:val="19"/>
          <w:szCs w:val="19"/>
        </w:rPr>
        <w:t xml:space="preserve">"Denis Browne"[tiab] OR splint[tiab] OR splinting[tiab] OR "Orthotic Devices"[Mesh])</w:t>
      </w:r>
    </w:p>
    <w:p>
      <w:pPr>
        <w:spacing w:after="140" w:line="276"/>
      </w:pPr>
      <w:r>
        <w:rPr>
          <w:rFonts w:ascii="Courier New" w:cs="Courier New" w:eastAsia="Courier New" w:hAnsi="Courier New"/>
          <w:sz w:val="19"/>
          <w:szCs w:val="19"/>
        </w:rPr>
        <w:t xml:space="preserve">AND</w:t>
      </w:r>
    </w:p>
    <w:p>
      <w:pPr>
        <w:spacing w:after="140" w:line="276"/>
      </w:pPr>
      <w:r>
        <w:rPr>
          <w:rFonts w:ascii="Courier New" w:cs="Courier New" w:eastAsia="Courier New" w:hAnsi="Courier New"/>
          <w:sz w:val="19"/>
          <w:szCs w:val="19"/>
        </w:rPr>
        <w:t xml:space="preserve">(adherence[tiab] OR non-adherence[tiab] OR nonadherence[tiab] OR compliance[tiab] OR</w:t>
      </w:r>
    </w:p>
    <w:p>
      <w:pPr>
        <w:spacing w:after="140" w:line="276"/>
      </w:pPr>
      <w:r>
        <w:rPr>
          <w:rFonts w:ascii="Courier New" w:cs="Courier New" w:eastAsia="Courier New" w:hAnsi="Courier New"/>
          <w:sz w:val="19"/>
          <w:szCs w:val="19"/>
        </w:rPr>
        <w:t xml:space="preserve">non-compliance[tiab] OR noncompliance[tiab] OR concordance[tiab] OR dropout[tiab] OR</w:t>
      </w:r>
    </w:p>
    <w:p>
      <w:pPr>
        <w:spacing w:after="140" w:line="276"/>
      </w:pPr>
      <w:r>
        <w:rPr>
          <w:rFonts w:ascii="Courier New" w:cs="Courier New" w:eastAsia="Courier New" w:hAnsi="Courier New"/>
          <w:sz w:val="19"/>
          <w:szCs w:val="19"/>
        </w:rPr>
        <w:t xml:space="preserve">"drop out[tiab]" OR "loss to follow-up"[tiab] OR default[tiab] OR persistence[tiab] OR</w:t>
      </w:r>
    </w:p>
    <w:p>
      <w:pPr>
        <w:spacing w:after="140" w:line="276"/>
      </w:pPr>
      <w:r>
        <w:rPr>
          <w:rFonts w:ascii="Courier New" w:cs="Courier New" w:eastAsia="Courier New" w:hAnsi="Courier New"/>
          <w:sz w:val="19"/>
          <w:szCs w:val="19"/>
        </w:rPr>
        <w:t xml:space="preserve">"brace wear"[tiab] OR barrier[tiab] OR barriers[tiab] OR facilitator[tiab] OR</w:t>
      </w:r>
    </w:p>
    <w:p>
      <w:pPr>
        <w:spacing w:after="140" w:line="276"/>
      </w:pPr>
      <w:r>
        <w:rPr>
          <w:rFonts w:ascii="Courier New" w:cs="Courier New" w:eastAsia="Courier New" w:hAnsi="Courier New"/>
          <w:sz w:val="19"/>
          <w:szCs w:val="19"/>
        </w:rPr>
        <w:t xml:space="preserve">facilitators[tiab] OR "Patient Compliance"[Mesh] OR "Treatment Adherence and Compliance"[Mesh])</w:t>
      </w:r>
    </w:p>
    <w:p>
      <w:pPr>
        <w:spacing w:after="140" w:line="276"/>
      </w:pPr>
      <w:r>
        <w:rPr>
          <w:sz w:val="20"/>
          <w:szCs w:val="20"/>
        </w:rPr>
        <w:t xml:space="preserve">Records retrieved: 245.</w:t>
      </w:r>
    </w:p>
    <w:p>
      <w:pPr>
        <w:pStyle w:val="Heading2"/>
      </w:pPr>
      <w:r>
        <w:t xml:space="preserve">2. African Journals OnLine (AJOL)</w:t>
      </w:r>
    </w:p>
    <w:p>
      <w:pPr>
        <w:spacing w:after="140" w:line="276"/>
      </w:pPr>
      <w:r>
        <w:t xml:space="preserve">Free-text search of AJOL. Boolean handling on AJOL is limited; single-concept searches were used and relevant records saved via the Zotero Connector. Supplementary single-term searches yielded no additional unique records.</w:t>
      </w:r>
    </w:p>
    <w:p>
      <w:pPr>
        <w:spacing w:after="140" w:line="276"/>
      </w:pPr>
      <w:r>
        <w:rPr>
          <w:rFonts w:ascii="Courier New" w:cs="Courier New" w:eastAsia="Courier New" w:hAnsi="Courier New"/>
          <w:sz w:val="19"/>
          <w:szCs w:val="19"/>
        </w:rPr>
        <w:t xml:space="preserve">Primary search: clubfoot brace</w:t>
      </w:r>
    </w:p>
    <w:p>
      <w:pPr>
        <w:spacing w:after="140" w:line="276"/>
      </w:pPr>
      <w:r>
        <w:rPr>
          <w:rFonts w:ascii="Courier New" w:cs="Courier New" w:eastAsia="Courier New" w:hAnsi="Courier New"/>
          <w:sz w:val="19"/>
          <w:szCs w:val="19"/>
        </w:rPr>
        <w:t xml:space="preserve">Supplementary single-term searches: clubfoot; Ponseti; "foot abduction brace"; clubfoot adherence; clubfoot compliance</w:t>
      </w:r>
    </w:p>
    <w:p>
      <w:pPr>
        <w:spacing w:after="140" w:line="276"/>
      </w:pPr>
      <w:r>
        <w:rPr>
          <w:sz w:val="20"/>
          <w:szCs w:val="20"/>
        </w:rPr>
        <w:t xml:space="preserve">Results reviewed: 84; records saved: 15.</w:t>
      </w:r>
    </w:p>
    <w:p>
      <w:pPr>
        <w:pStyle w:val="Heading2"/>
      </w:pPr>
      <w:r>
        <w:t xml:space="preserve">3. Google Scholar</w:t>
      </w:r>
    </w:p>
    <w:p>
      <w:pPr>
        <w:spacing w:after="140" w:line="276"/>
      </w:pPr>
      <w:r>
        <w:t xml:space="preserve">Targeted searches to capture grey literature and regional work not indexed in PubMed. The first pages of results were screened for each query.</w:t>
      </w:r>
    </w:p>
    <w:p>
      <w:pPr>
        <w:spacing w:after="140" w:line="276"/>
      </w:pPr>
      <w:r>
        <w:rPr>
          <w:rFonts w:ascii="Courier New" w:cs="Courier New" w:eastAsia="Courier New" w:hAnsi="Courier New"/>
          <w:sz w:val="19"/>
          <w:szCs w:val="19"/>
        </w:rPr>
        <w:t xml:space="preserve">clubfoot foot abduction brace adherence</w:t>
      </w:r>
    </w:p>
    <w:p>
      <w:pPr>
        <w:spacing w:after="140" w:line="276"/>
      </w:pPr>
      <w:r>
        <w:rPr>
          <w:rFonts w:ascii="Courier New" w:cs="Courier New" w:eastAsia="Courier New" w:hAnsi="Courier New"/>
          <w:sz w:val="19"/>
          <w:szCs w:val="19"/>
        </w:rPr>
        <w:t xml:space="preserve">Ponseti bracing compliance low income country</w:t>
      </w:r>
    </w:p>
    <w:p>
      <w:pPr>
        <w:spacing w:after="140" w:line="276"/>
      </w:pPr>
      <w:r>
        <w:rPr>
          <w:rFonts w:ascii="Courier New" w:cs="Courier New" w:eastAsia="Courier New" w:hAnsi="Courier New"/>
          <w:sz w:val="19"/>
          <w:szCs w:val="19"/>
        </w:rPr>
        <w:t xml:space="preserve">clubfoot brace drop-out Africa</w:t>
      </w:r>
    </w:p>
    <w:p>
      <w:pPr>
        <w:spacing w:after="140" w:line="276"/>
      </w:pPr>
      <w:r>
        <w:rPr>
          <w:rFonts w:ascii="Courier New" w:cs="Courier New" w:eastAsia="Courier New" w:hAnsi="Courier New"/>
          <w:sz w:val="19"/>
          <w:szCs w:val="19"/>
        </w:rPr>
        <w:t xml:space="preserve">Ponseti foot abduction brace barriers caregivers</w:t>
      </w:r>
    </w:p>
    <w:p>
      <w:pPr>
        <w:spacing w:after="140" w:line="276"/>
      </w:pPr>
      <w:r>
        <w:rPr>
          <w:sz w:val="20"/>
          <w:szCs w:val="20"/>
        </w:rPr>
        <w:t xml:space="preserve">Unique non-PubMed records carried forward: 21.</w:t>
      </w:r>
    </w:p>
    <w:p>
      <w:pPr>
        <w:pStyle w:val="Heading2"/>
      </w:pPr>
      <w:r>
        <w:t xml:space="preserve">4. Supplementary searching</w:t>
      </w:r>
    </w:p>
    <w:p>
      <w:pPr>
        <w:spacing w:after="140" w:line="276"/>
      </w:pPr>
      <w:r>
        <w:t xml:space="preserve">Reference lists of relevant reviews and of included studies were screened for additional eligible sources (citation chasing).</w:t>
      </w:r>
    </w:p>
    <w:p>
      <w:pPr>
        <w:pStyle w:val="Heading2"/>
      </w:pPr>
      <w:r>
        <w:t xml:space="preserve">Source not included</w:t>
      </w:r>
    </w:p>
    <w:p>
      <w:pPr>
        <w:spacing w:after="140" w:line="276"/>
      </w:pPr>
      <w:r>
        <w:t xml:space="preserve">Hinari (Research4Life) was searched (approximately 236 results via the Summon interface) but full-text retrieval was not possible owing to a lack of institutional access; records identifiable only through Hinari could not be carried forward to screening. This is reported as a limitation in the main manuscript.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40"/>
      <w:outlineLvl w:val="0"/>
    </w:pPr>
    <w:rPr>
      <w:rFonts w:ascii="Arial" w:cs="Arial" w:eastAsia="Arial" w:hAnsi="Arial"/>
      <w:b/>
      <w:bCs/>
      <w:color w:val="1F4E78"/>
      <w:sz w:val="26"/>
      <w:szCs w:val="26"/>
    </w:rPr>
  </w:style>
  <w:style w:type="paragraph" w:styleId="Heading2">
    <w:name w:val="Heading 2"/>
    <w:basedOn w:val="Normal"/>
    <w:next w:val="Normal"/>
    <w:qFormat/>
    <w:pPr>
      <w:spacing w:after="90" w:before="160"/>
      <w:outlineLvl w:val="1"/>
    </w:pPr>
    <w:rPr>
      <w:rFonts w:ascii="Arial" w:cs="Arial" w:eastAsia="Arial" w:hAnsi="Arial"/>
      <w:b/>
      <w:bCs/>
      <w:color w:val="1F4E7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2026-06-15T04:11:43.138Z</dcterms:created>
  <dcterms:modified xsi:type="dcterms:W3CDTF">2026-06-15T04:11:43.150Z</dcterms:modified>
</cp:coreProperties>
</file>

<file path=docProps/custom.xml><?xml version="1.0" encoding="utf-8"?>
<Properties xmlns="http://schemas.openxmlformats.org/officeDocument/2006/custom-properties" xmlns:vt="http://schemas.openxmlformats.org/officeDocument/2006/docPropsVTypes"/>
</file>