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FB6C2" w14:textId="77777777" w:rsidR="007F31B7" w:rsidRDefault="007F31B7" w:rsidP="007F02A1">
      <w:pPr>
        <w:pStyle w:val="Heading1"/>
        <w:spacing w:before="0" w:line="240" w:lineRule="auto"/>
        <w:rPr>
          <w:rFonts w:ascii="Times New Roman" w:hAnsi="Times New Roman"/>
          <w:color w:val="000000" w:themeColor="text1"/>
        </w:rPr>
      </w:pPr>
    </w:p>
    <w:p w14:paraId="6A21E774" w14:textId="24AD4C2A" w:rsidR="00290C91" w:rsidRPr="007F02A1" w:rsidRDefault="007F31B7" w:rsidP="007F02A1">
      <w:pPr>
        <w:pStyle w:val="Heading1"/>
        <w:spacing w:before="0" w:line="240" w:lineRule="auto"/>
        <w:rPr>
          <w:color w:val="000000" w:themeColor="text1"/>
        </w:rPr>
      </w:pPr>
      <w:r>
        <w:rPr>
          <w:rFonts w:ascii="Times New Roman" w:hAnsi="Times New Roman"/>
          <w:color w:val="000000" w:themeColor="text1"/>
        </w:rPr>
        <w:t>6</w:t>
      </w:r>
      <w:r w:rsidRPr="007F02A1">
        <w:rPr>
          <w:rFonts w:ascii="Times New Roman" w:hAnsi="Times New Roman"/>
          <w:color w:val="000000" w:themeColor="text1"/>
        </w:rPr>
        <w:t>. Analysis Resources</w:t>
      </w:r>
    </w:p>
    <w:p w14:paraId="31B942A1" w14:textId="77777777" w:rsidR="00290C91" w:rsidRPr="007F02A1" w:rsidRDefault="00000000" w:rsidP="007F02A1">
      <w:pPr>
        <w:pStyle w:val="Heading2"/>
        <w:spacing w:before="0" w:line="240" w:lineRule="auto"/>
        <w:rPr>
          <w:color w:val="000000" w:themeColor="text1"/>
        </w:rPr>
      </w:pPr>
      <w:r w:rsidRPr="007F02A1">
        <w:rPr>
          <w:rFonts w:ascii="Times New Roman" w:hAnsi="Times New Roman"/>
          <w:color w:val="000000" w:themeColor="text1"/>
          <w:sz w:val="24"/>
        </w:rPr>
        <w:t>A. Data Analysis Procedure</w:t>
      </w:r>
    </w:p>
    <w:p w14:paraId="2B3DED23" w14:textId="77777777" w:rsidR="00290C91" w:rsidRPr="007F02A1" w:rsidRDefault="00000000" w:rsidP="007F02A1">
      <w:pPr>
        <w:spacing w:after="0" w:line="240" w:lineRule="auto"/>
        <w:rPr>
          <w:color w:val="000000" w:themeColor="text1"/>
        </w:rPr>
      </w:pPr>
      <w:r w:rsidRPr="007F02A1">
        <w:rPr>
          <w:color w:val="000000" w:themeColor="text1"/>
        </w:rPr>
        <w:t>Data analysis in this study follows three analytic movements (Creswell, 2009).</w:t>
      </w:r>
    </w:p>
    <w:tbl>
      <w:tblPr>
        <w:tblStyle w:val="TableGrid"/>
        <w:tblW w:w="0" w:type="auto"/>
        <w:jc w:val="center"/>
        <w:tblLayout w:type="fixed"/>
        <w:tblLook w:val="04A0" w:firstRow="1" w:lastRow="0" w:firstColumn="1" w:lastColumn="0" w:noHBand="0" w:noVBand="1"/>
      </w:tblPr>
      <w:tblGrid>
        <w:gridCol w:w="3456"/>
        <w:gridCol w:w="6768"/>
      </w:tblGrid>
      <w:tr w:rsidR="00290C91" w:rsidRPr="007F02A1" w14:paraId="29E28DC7" w14:textId="77777777" w:rsidTr="007F02A1">
        <w:trPr>
          <w:tblHeader/>
          <w:jc w:val="center"/>
        </w:trPr>
        <w:tc>
          <w:tcPr>
            <w:tcW w:w="3456" w:type="dxa"/>
            <w:shd w:val="clear" w:color="auto" w:fill="D9D9D9" w:themeFill="background1" w:themeFillShade="D9"/>
            <w:tcMar>
              <w:top w:w="80" w:type="dxa"/>
              <w:left w:w="80" w:type="dxa"/>
              <w:bottom w:w="80" w:type="dxa"/>
              <w:right w:w="80" w:type="dxa"/>
            </w:tcMar>
          </w:tcPr>
          <w:p w14:paraId="01BF189B" w14:textId="77777777" w:rsidR="00290C91" w:rsidRPr="007F02A1" w:rsidRDefault="00000000" w:rsidP="007F02A1">
            <w:pPr>
              <w:jc w:val="center"/>
              <w:rPr>
                <w:color w:val="000000" w:themeColor="text1"/>
              </w:rPr>
            </w:pPr>
            <w:r w:rsidRPr="007F02A1">
              <w:rPr>
                <w:b/>
                <w:color w:val="000000" w:themeColor="text1"/>
                <w:sz w:val="17"/>
              </w:rPr>
              <w:t>Analytic Movement</w:t>
            </w:r>
          </w:p>
        </w:tc>
        <w:tc>
          <w:tcPr>
            <w:tcW w:w="6768" w:type="dxa"/>
            <w:shd w:val="clear" w:color="auto" w:fill="D9D9D9" w:themeFill="background1" w:themeFillShade="D9"/>
            <w:tcMar>
              <w:top w:w="80" w:type="dxa"/>
              <w:left w:w="80" w:type="dxa"/>
              <w:bottom w:w="80" w:type="dxa"/>
              <w:right w:w="80" w:type="dxa"/>
            </w:tcMar>
          </w:tcPr>
          <w:p w14:paraId="1B1FB153" w14:textId="77777777" w:rsidR="00290C91" w:rsidRPr="007F02A1" w:rsidRDefault="00000000" w:rsidP="007F02A1">
            <w:pPr>
              <w:jc w:val="center"/>
              <w:rPr>
                <w:color w:val="000000" w:themeColor="text1"/>
              </w:rPr>
            </w:pPr>
            <w:r w:rsidRPr="007F02A1">
              <w:rPr>
                <w:b/>
                <w:color w:val="000000" w:themeColor="text1"/>
                <w:sz w:val="17"/>
              </w:rPr>
              <w:t>Procedure</w:t>
            </w:r>
          </w:p>
        </w:tc>
      </w:tr>
      <w:tr w:rsidR="00290C91" w:rsidRPr="007F02A1" w14:paraId="31B11221" w14:textId="77777777">
        <w:trPr>
          <w:jc w:val="center"/>
        </w:trPr>
        <w:tc>
          <w:tcPr>
            <w:tcW w:w="3456" w:type="dxa"/>
            <w:tcMar>
              <w:top w:w="80" w:type="dxa"/>
              <w:left w:w="80" w:type="dxa"/>
              <w:bottom w:w="80" w:type="dxa"/>
              <w:right w:w="80" w:type="dxa"/>
            </w:tcMar>
          </w:tcPr>
          <w:p w14:paraId="7365E6DA" w14:textId="77777777" w:rsidR="00290C91" w:rsidRPr="007F02A1" w:rsidRDefault="00000000" w:rsidP="007F02A1">
            <w:pPr>
              <w:rPr>
                <w:color w:val="000000" w:themeColor="text1"/>
              </w:rPr>
            </w:pPr>
            <w:r w:rsidRPr="007F02A1">
              <w:rPr>
                <w:color w:val="000000" w:themeColor="text1"/>
                <w:sz w:val="17"/>
              </w:rPr>
              <w:t>First movement - thematic-taxonomic analysis</w:t>
            </w:r>
          </w:p>
        </w:tc>
        <w:tc>
          <w:tcPr>
            <w:tcW w:w="6768" w:type="dxa"/>
            <w:tcMar>
              <w:top w:w="80" w:type="dxa"/>
              <w:left w:w="80" w:type="dxa"/>
              <w:bottom w:w="80" w:type="dxa"/>
              <w:right w:w="80" w:type="dxa"/>
            </w:tcMar>
          </w:tcPr>
          <w:p w14:paraId="2756380D" w14:textId="77777777" w:rsidR="00290C91" w:rsidRPr="007F02A1" w:rsidRDefault="00000000" w:rsidP="007F02A1">
            <w:pPr>
              <w:rPr>
                <w:color w:val="000000" w:themeColor="text1"/>
              </w:rPr>
            </w:pPr>
            <w:r w:rsidRPr="007F02A1">
              <w:rPr>
                <w:color w:val="000000" w:themeColor="text1"/>
                <w:sz w:val="17"/>
              </w:rPr>
              <w:t>Transcripts and documents are coded inductively and organized both within and beyond the taxonomies of Sue et al. (2007) and Capodilupo et al. (2010) to map verbal, non-verbal, and institutional forms (Braun &amp; Clarke, 2006).</w:t>
            </w:r>
          </w:p>
        </w:tc>
      </w:tr>
      <w:tr w:rsidR="00290C91" w:rsidRPr="007F02A1" w14:paraId="6A8E609B" w14:textId="77777777">
        <w:trPr>
          <w:jc w:val="center"/>
        </w:trPr>
        <w:tc>
          <w:tcPr>
            <w:tcW w:w="3456" w:type="dxa"/>
            <w:tcMar>
              <w:top w:w="80" w:type="dxa"/>
              <w:left w:w="80" w:type="dxa"/>
              <w:bottom w:w="80" w:type="dxa"/>
              <w:right w:w="80" w:type="dxa"/>
            </w:tcMar>
          </w:tcPr>
          <w:p w14:paraId="711159CC" w14:textId="77777777" w:rsidR="00290C91" w:rsidRPr="007F02A1" w:rsidRDefault="00000000" w:rsidP="007F02A1">
            <w:pPr>
              <w:rPr>
                <w:color w:val="000000" w:themeColor="text1"/>
              </w:rPr>
            </w:pPr>
            <w:r w:rsidRPr="007F02A1">
              <w:rPr>
                <w:color w:val="000000" w:themeColor="text1"/>
                <w:sz w:val="17"/>
              </w:rPr>
              <w:t>Second movement - Foucauldian discourse analysis</w:t>
            </w:r>
          </w:p>
        </w:tc>
        <w:tc>
          <w:tcPr>
            <w:tcW w:w="6768" w:type="dxa"/>
            <w:tcMar>
              <w:top w:w="80" w:type="dxa"/>
              <w:left w:w="80" w:type="dxa"/>
              <w:bottom w:w="80" w:type="dxa"/>
              <w:right w:w="80" w:type="dxa"/>
            </w:tcMar>
          </w:tcPr>
          <w:p w14:paraId="41AED0D5" w14:textId="77777777" w:rsidR="00290C91" w:rsidRPr="007F02A1" w:rsidRDefault="00000000" w:rsidP="007F02A1">
            <w:pPr>
              <w:rPr>
                <w:color w:val="000000" w:themeColor="text1"/>
              </w:rPr>
            </w:pPr>
            <w:r w:rsidRPr="007F02A1">
              <w:rPr>
                <w:color w:val="000000" w:themeColor="text1"/>
                <w:sz w:val="17"/>
              </w:rPr>
              <w:t>For recurring discursive objects - such as kodrat, politeness, protection, and the future - the analysis asks what subject positions are constructed, what practices are authorized, what becomes unsayable, and through which institutional relays these objects circulate (Foucault, 1980; Willig, 2013).</w:t>
            </w:r>
          </w:p>
        </w:tc>
      </w:tr>
      <w:tr w:rsidR="00290C91" w:rsidRPr="007F02A1" w14:paraId="70004496" w14:textId="77777777">
        <w:trPr>
          <w:jc w:val="center"/>
        </w:trPr>
        <w:tc>
          <w:tcPr>
            <w:tcW w:w="3456" w:type="dxa"/>
            <w:tcMar>
              <w:top w:w="80" w:type="dxa"/>
              <w:left w:w="80" w:type="dxa"/>
              <w:bottom w:w="80" w:type="dxa"/>
              <w:right w:w="80" w:type="dxa"/>
            </w:tcMar>
          </w:tcPr>
          <w:p w14:paraId="731D035B" w14:textId="77777777" w:rsidR="00290C91" w:rsidRPr="007F02A1" w:rsidRDefault="00000000" w:rsidP="007F02A1">
            <w:pPr>
              <w:rPr>
                <w:color w:val="000000" w:themeColor="text1"/>
              </w:rPr>
            </w:pPr>
            <w:r w:rsidRPr="007F02A1">
              <w:rPr>
                <w:color w:val="000000" w:themeColor="text1"/>
                <w:sz w:val="17"/>
              </w:rPr>
              <w:t>Third movement - grounded-theoretical integration</w:t>
            </w:r>
          </w:p>
        </w:tc>
        <w:tc>
          <w:tcPr>
            <w:tcW w:w="6768" w:type="dxa"/>
            <w:tcMar>
              <w:top w:w="80" w:type="dxa"/>
              <w:left w:w="80" w:type="dxa"/>
              <w:bottom w:w="80" w:type="dxa"/>
              <w:right w:w="80" w:type="dxa"/>
            </w:tcMar>
          </w:tcPr>
          <w:p w14:paraId="3B16AD39" w14:textId="77777777" w:rsidR="00290C91" w:rsidRPr="007F02A1" w:rsidRDefault="00000000" w:rsidP="007F02A1">
            <w:pPr>
              <w:rPr>
                <w:color w:val="000000" w:themeColor="text1"/>
              </w:rPr>
            </w:pPr>
            <w:r w:rsidRPr="007F02A1">
              <w:rPr>
                <w:color w:val="000000" w:themeColor="text1"/>
                <w:sz w:val="17"/>
              </w:rPr>
              <w:t>Focused coding, constant comparison, and theoretical memoing are used to integrate categories into a substantive theory (Charmaz, 2014).</w:t>
            </w:r>
          </w:p>
        </w:tc>
      </w:tr>
    </w:tbl>
    <w:p w14:paraId="55542960" w14:textId="77777777" w:rsidR="00290C91" w:rsidRPr="007F02A1" w:rsidRDefault="00290C91" w:rsidP="007F02A1">
      <w:pPr>
        <w:spacing w:after="0" w:line="240" w:lineRule="auto"/>
        <w:rPr>
          <w:color w:val="000000" w:themeColor="text1"/>
        </w:rPr>
      </w:pPr>
    </w:p>
    <w:p w14:paraId="18C41D85" w14:textId="77777777" w:rsidR="00290C91" w:rsidRPr="007F02A1" w:rsidRDefault="00000000" w:rsidP="007F02A1">
      <w:pPr>
        <w:pStyle w:val="Heading2"/>
        <w:spacing w:before="0" w:line="240" w:lineRule="auto"/>
        <w:rPr>
          <w:color w:val="000000" w:themeColor="text1"/>
        </w:rPr>
      </w:pPr>
      <w:r w:rsidRPr="007F02A1">
        <w:rPr>
          <w:rFonts w:ascii="Times New Roman" w:hAnsi="Times New Roman"/>
          <w:color w:val="000000" w:themeColor="text1"/>
          <w:sz w:val="24"/>
        </w:rPr>
        <w:t>B. Qualitative Data Analysis</w:t>
      </w:r>
    </w:p>
    <w:p w14:paraId="36AD4265" w14:textId="77777777" w:rsidR="00290C91" w:rsidRPr="007F02A1" w:rsidRDefault="00000000" w:rsidP="007F02A1">
      <w:pPr>
        <w:spacing w:after="0" w:line="240" w:lineRule="auto"/>
        <w:rPr>
          <w:color w:val="000000" w:themeColor="text1"/>
        </w:rPr>
      </w:pPr>
      <w:r w:rsidRPr="007F02A1">
        <w:rPr>
          <w:color w:val="000000" w:themeColor="text1"/>
        </w:rPr>
        <w:t>Qualitative data analysis is inductive: data are examined, interpreted, and progressively developed into propositions or analytic categories (Creswell, 2009). The analysis involves the following steps:</w:t>
      </w:r>
    </w:p>
    <w:tbl>
      <w:tblPr>
        <w:tblStyle w:val="TableGrid"/>
        <w:tblW w:w="0" w:type="auto"/>
        <w:jc w:val="center"/>
        <w:tblLayout w:type="fixed"/>
        <w:tblLook w:val="04A0" w:firstRow="1" w:lastRow="0" w:firstColumn="1" w:lastColumn="0" w:noHBand="0" w:noVBand="1"/>
      </w:tblPr>
      <w:tblGrid>
        <w:gridCol w:w="2880"/>
        <w:gridCol w:w="7343"/>
      </w:tblGrid>
      <w:tr w:rsidR="00290C91" w:rsidRPr="007F02A1" w14:paraId="09355971" w14:textId="77777777" w:rsidTr="007F02A1">
        <w:trPr>
          <w:tblHeader/>
          <w:jc w:val="center"/>
        </w:trPr>
        <w:tc>
          <w:tcPr>
            <w:tcW w:w="2880" w:type="dxa"/>
            <w:shd w:val="clear" w:color="auto" w:fill="D9D9D9" w:themeFill="background1" w:themeFillShade="D9"/>
            <w:tcMar>
              <w:top w:w="80" w:type="dxa"/>
              <w:left w:w="80" w:type="dxa"/>
              <w:bottom w:w="80" w:type="dxa"/>
              <w:right w:w="80" w:type="dxa"/>
            </w:tcMar>
          </w:tcPr>
          <w:p w14:paraId="2FD8F6AE" w14:textId="77777777" w:rsidR="00290C91" w:rsidRPr="007F02A1" w:rsidRDefault="00000000" w:rsidP="007F02A1">
            <w:pPr>
              <w:jc w:val="center"/>
              <w:rPr>
                <w:color w:val="000000" w:themeColor="text1"/>
              </w:rPr>
            </w:pPr>
            <w:r w:rsidRPr="007F02A1">
              <w:rPr>
                <w:b/>
                <w:color w:val="000000" w:themeColor="text1"/>
                <w:sz w:val="18"/>
              </w:rPr>
              <w:t>Step</w:t>
            </w:r>
          </w:p>
        </w:tc>
        <w:tc>
          <w:tcPr>
            <w:tcW w:w="7343" w:type="dxa"/>
            <w:shd w:val="clear" w:color="auto" w:fill="D9D9D9" w:themeFill="background1" w:themeFillShade="D9"/>
            <w:tcMar>
              <w:top w:w="80" w:type="dxa"/>
              <w:left w:w="80" w:type="dxa"/>
              <w:bottom w:w="80" w:type="dxa"/>
              <w:right w:w="80" w:type="dxa"/>
            </w:tcMar>
          </w:tcPr>
          <w:p w14:paraId="317C50D2" w14:textId="77777777" w:rsidR="00290C91" w:rsidRPr="007F02A1" w:rsidRDefault="00000000" w:rsidP="007F02A1">
            <w:pPr>
              <w:jc w:val="center"/>
              <w:rPr>
                <w:color w:val="000000" w:themeColor="text1"/>
              </w:rPr>
            </w:pPr>
            <w:r w:rsidRPr="007F02A1">
              <w:rPr>
                <w:b/>
                <w:color w:val="000000" w:themeColor="text1"/>
                <w:sz w:val="18"/>
              </w:rPr>
              <w:t>Description</w:t>
            </w:r>
          </w:p>
        </w:tc>
      </w:tr>
      <w:tr w:rsidR="00290C91" w:rsidRPr="007F02A1" w14:paraId="278096BA" w14:textId="77777777">
        <w:trPr>
          <w:jc w:val="center"/>
        </w:trPr>
        <w:tc>
          <w:tcPr>
            <w:tcW w:w="2880" w:type="dxa"/>
            <w:tcMar>
              <w:top w:w="80" w:type="dxa"/>
              <w:left w:w="80" w:type="dxa"/>
              <w:bottom w:w="80" w:type="dxa"/>
              <w:right w:w="80" w:type="dxa"/>
            </w:tcMar>
          </w:tcPr>
          <w:p w14:paraId="5EB4ECA9" w14:textId="77777777" w:rsidR="00290C91" w:rsidRPr="007F02A1" w:rsidRDefault="00000000" w:rsidP="007F02A1">
            <w:pPr>
              <w:rPr>
                <w:color w:val="000000" w:themeColor="text1"/>
              </w:rPr>
            </w:pPr>
            <w:r w:rsidRPr="007F02A1">
              <w:rPr>
                <w:color w:val="000000" w:themeColor="text1"/>
                <w:sz w:val="18"/>
              </w:rPr>
              <w:t>Data reduction</w:t>
            </w:r>
          </w:p>
        </w:tc>
        <w:tc>
          <w:tcPr>
            <w:tcW w:w="7343" w:type="dxa"/>
            <w:tcMar>
              <w:top w:w="80" w:type="dxa"/>
              <w:left w:w="80" w:type="dxa"/>
              <w:bottom w:w="80" w:type="dxa"/>
              <w:right w:w="80" w:type="dxa"/>
            </w:tcMar>
          </w:tcPr>
          <w:p w14:paraId="5DE7FA77" w14:textId="77777777" w:rsidR="00290C91" w:rsidRPr="007F02A1" w:rsidRDefault="00000000" w:rsidP="007F02A1">
            <w:pPr>
              <w:rPr>
                <w:color w:val="000000" w:themeColor="text1"/>
              </w:rPr>
            </w:pPr>
            <w:r w:rsidRPr="007F02A1">
              <w:rPr>
                <w:color w:val="000000" w:themeColor="text1"/>
                <w:sz w:val="18"/>
              </w:rPr>
              <w:t>Summarizing, selecting key materials, and focusing on important aspects of the data.</w:t>
            </w:r>
          </w:p>
        </w:tc>
      </w:tr>
      <w:tr w:rsidR="00290C91" w:rsidRPr="007F02A1" w14:paraId="73825B8C" w14:textId="77777777">
        <w:trPr>
          <w:jc w:val="center"/>
        </w:trPr>
        <w:tc>
          <w:tcPr>
            <w:tcW w:w="2880" w:type="dxa"/>
            <w:tcMar>
              <w:top w:w="80" w:type="dxa"/>
              <w:left w:w="80" w:type="dxa"/>
              <w:bottom w:w="80" w:type="dxa"/>
              <w:right w:w="80" w:type="dxa"/>
            </w:tcMar>
          </w:tcPr>
          <w:p w14:paraId="0B231BD7" w14:textId="77777777" w:rsidR="00290C91" w:rsidRPr="007F02A1" w:rsidRDefault="00000000" w:rsidP="007F02A1">
            <w:pPr>
              <w:rPr>
                <w:color w:val="000000" w:themeColor="text1"/>
              </w:rPr>
            </w:pPr>
            <w:r w:rsidRPr="007F02A1">
              <w:rPr>
                <w:color w:val="000000" w:themeColor="text1"/>
                <w:sz w:val="18"/>
              </w:rPr>
              <w:t>Data display</w:t>
            </w:r>
          </w:p>
        </w:tc>
        <w:tc>
          <w:tcPr>
            <w:tcW w:w="7343" w:type="dxa"/>
            <w:tcMar>
              <w:top w:w="80" w:type="dxa"/>
              <w:left w:w="80" w:type="dxa"/>
              <w:bottom w:w="80" w:type="dxa"/>
              <w:right w:w="80" w:type="dxa"/>
            </w:tcMar>
          </w:tcPr>
          <w:p w14:paraId="5CEFB868" w14:textId="77777777" w:rsidR="00290C91" w:rsidRPr="007F02A1" w:rsidRDefault="00000000" w:rsidP="007F02A1">
            <w:pPr>
              <w:rPr>
                <w:color w:val="000000" w:themeColor="text1"/>
              </w:rPr>
            </w:pPr>
            <w:r w:rsidRPr="007F02A1">
              <w:rPr>
                <w:color w:val="000000" w:themeColor="text1"/>
                <w:sz w:val="18"/>
              </w:rPr>
              <w:t>Presenting data in brief descriptions, tables, matrices, or other organized forms.</w:t>
            </w:r>
          </w:p>
        </w:tc>
      </w:tr>
      <w:tr w:rsidR="00290C91" w:rsidRPr="007F02A1" w14:paraId="49052FB7" w14:textId="77777777">
        <w:trPr>
          <w:jc w:val="center"/>
        </w:trPr>
        <w:tc>
          <w:tcPr>
            <w:tcW w:w="2880" w:type="dxa"/>
            <w:tcMar>
              <w:top w:w="80" w:type="dxa"/>
              <w:left w:w="80" w:type="dxa"/>
              <w:bottom w:w="80" w:type="dxa"/>
              <w:right w:w="80" w:type="dxa"/>
            </w:tcMar>
          </w:tcPr>
          <w:p w14:paraId="6AFF0E08" w14:textId="77777777" w:rsidR="00290C91" w:rsidRPr="007F02A1" w:rsidRDefault="00000000" w:rsidP="007F02A1">
            <w:pPr>
              <w:rPr>
                <w:color w:val="000000" w:themeColor="text1"/>
              </w:rPr>
            </w:pPr>
            <w:r w:rsidRPr="007F02A1">
              <w:rPr>
                <w:color w:val="000000" w:themeColor="text1"/>
                <w:sz w:val="18"/>
              </w:rPr>
              <w:t>Conclusion drawing</w:t>
            </w:r>
          </w:p>
        </w:tc>
        <w:tc>
          <w:tcPr>
            <w:tcW w:w="7343" w:type="dxa"/>
            <w:tcMar>
              <w:top w:w="80" w:type="dxa"/>
              <w:left w:w="80" w:type="dxa"/>
              <w:bottom w:w="80" w:type="dxa"/>
              <w:right w:w="80" w:type="dxa"/>
            </w:tcMar>
          </w:tcPr>
          <w:p w14:paraId="55CA32A1" w14:textId="77777777" w:rsidR="00290C91" w:rsidRPr="007F02A1" w:rsidRDefault="00000000" w:rsidP="007F02A1">
            <w:pPr>
              <w:rPr>
                <w:color w:val="000000" w:themeColor="text1"/>
              </w:rPr>
            </w:pPr>
            <w:r w:rsidRPr="007F02A1">
              <w:rPr>
                <w:color w:val="000000" w:themeColor="text1"/>
                <w:sz w:val="18"/>
              </w:rPr>
              <w:t>Developing credible conclusions that respond to the research questions.</w:t>
            </w:r>
          </w:p>
        </w:tc>
      </w:tr>
      <w:tr w:rsidR="00290C91" w:rsidRPr="007F02A1" w14:paraId="1E343010" w14:textId="77777777">
        <w:trPr>
          <w:jc w:val="center"/>
        </w:trPr>
        <w:tc>
          <w:tcPr>
            <w:tcW w:w="2880" w:type="dxa"/>
            <w:tcMar>
              <w:top w:w="80" w:type="dxa"/>
              <w:left w:w="80" w:type="dxa"/>
              <w:bottom w:w="80" w:type="dxa"/>
              <w:right w:w="80" w:type="dxa"/>
            </w:tcMar>
          </w:tcPr>
          <w:p w14:paraId="67046887" w14:textId="77777777" w:rsidR="00290C91" w:rsidRPr="007F02A1" w:rsidRDefault="00000000" w:rsidP="007F02A1">
            <w:pPr>
              <w:rPr>
                <w:color w:val="000000" w:themeColor="text1"/>
              </w:rPr>
            </w:pPr>
            <w:r w:rsidRPr="007F02A1">
              <w:rPr>
                <w:color w:val="000000" w:themeColor="text1"/>
                <w:sz w:val="18"/>
              </w:rPr>
              <w:t>Verification</w:t>
            </w:r>
          </w:p>
        </w:tc>
        <w:tc>
          <w:tcPr>
            <w:tcW w:w="7343" w:type="dxa"/>
            <w:tcMar>
              <w:top w:w="80" w:type="dxa"/>
              <w:left w:w="80" w:type="dxa"/>
              <w:bottom w:w="80" w:type="dxa"/>
              <w:right w:w="80" w:type="dxa"/>
            </w:tcMar>
          </w:tcPr>
          <w:p w14:paraId="2F2AF636" w14:textId="77777777" w:rsidR="00290C91" w:rsidRPr="007F02A1" w:rsidRDefault="00000000" w:rsidP="007F02A1">
            <w:pPr>
              <w:rPr>
                <w:color w:val="000000" w:themeColor="text1"/>
              </w:rPr>
            </w:pPr>
            <w:r w:rsidRPr="007F02A1">
              <w:rPr>
                <w:color w:val="000000" w:themeColor="text1"/>
                <w:sz w:val="18"/>
              </w:rPr>
              <w:t>Repeating the analytic process to strengthen interpretations and trace the data back to their sources.</w:t>
            </w:r>
          </w:p>
        </w:tc>
      </w:tr>
    </w:tbl>
    <w:p w14:paraId="5324A35D" w14:textId="77777777" w:rsidR="00290C91" w:rsidRPr="007F02A1" w:rsidRDefault="00290C91" w:rsidP="007F02A1">
      <w:pPr>
        <w:spacing w:after="0" w:line="240" w:lineRule="auto"/>
        <w:rPr>
          <w:color w:val="000000" w:themeColor="text1"/>
        </w:rPr>
      </w:pPr>
    </w:p>
    <w:p w14:paraId="3F9C008D" w14:textId="77777777" w:rsidR="00290C91" w:rsidRPr="007F02A1" w:rsidRDefault="00000000" w:rsidP="007F02A1">
      <w:pPr>
        <w:pStyle w:val="Heading2"/>
        <w:spacing w:before="0" w:line="240" w:lineRule="auto"/>
        <w:rPr>
          <w:color w:val="000000" w:themeColor="text1"/>
        </w:rPr>
      </w:pPr>
      <w:r w:rsidRPr="007F02A1">
        <w:rPr>
          <w:rFonts w:ascii="Times New Roman" w:hAnsi="Times New Roman"/>
          <w:color w:val="000000" w:themeColor="text1"/>
          <w:sz w:val="24"/>
        </w:rPr>
        <w:t>C. Thematic Analysis Pseudo-code</w:t>
      </w:r>
    </w:p>
    <w:p w14:paraId="5ECDEBED" w14:textId="77777777" w:rsidR="00290C91" w:rsidRPr="007F02A1" w:rsidRDefault="00000000" w:rsidP="007F02A1">
      <w:pPr>
        <w:spacing w:after="0" w:line="240" w:lineRule="auto"/>
        <w:rPr>
          <w:color w:val="000000" w:themeColor="text1"/>
        </w:rPr>
      </w:pPr>
      <w:r w:rsidRPr="007F02A1">
        <w:rPr>
          <w:color w:val="000000" w:themeColor="text1"/>
        </w:rPr>
        <w:t>The following procedural outline is adapted from Braun and Clarke (2006).</w:t>
      </w:r>
    </w:p>
    <w:tbl>
      <w:tblPr>
        <w:tblStyle w:val="TableGrid"/>
        <w:tblW w:w="0" w:type="auto"/>
        <w:jc w:val="center"/>
        <w:tblLayout w:type="fixed"/>
        <w:tblLook w:val="04A0" w:firstRow="1" w:lastRow="0" w:firstColumn="1" w:lastColumn="0" w:noHBand="0" w:noVBand="1"/>
      </w:tblPr>
      <w:tblGrid>
        <w:gridCol w:w="792"/>
        <w:gridCol w:w="3096"/>
        <w:gridCol w:w="6336"/>
      </w:tblGrid>
      <w:tr w:rsidR="00290C91" w:rsidRPr="007F02A1" w14:paraId="1597C660" w14:textId="77777777" w:rsidTr="007F02A1">
        <w:trPr>
          <w:tblHeader/>
          <w:jc w:val="center"/>
        </w:trPr>
        <w:tc>
          <w:tcPr>
            <w:tcW w:w="792" w:type="dxa"/>
            <w:shd w:val="clear" w:color="auto" w:fill="D9D9D9" w:themeFill="background1" w:themeFillShade="D9"/>
            <w:tcMar>
              <w:top w:w="80" w:type="dxa"/>
              <w:left w:w="80" w:type="dxa"/>
              <w:bottom w:w="80" w:type="dxa"/>
              <w:right w:w="80" w:type="dxa"/>
            </w:tcMar>
          </w:tcPr>
          <w:p w14:paraId="1CE0C09C" w14:textId="77777777" w:rsidR="00290C91" w:rsidRPr="007F02A1" w:rsidRDefault="00000000" w:rsidP="007F02A1">
            <w:pPr>
              <w:jc w:val="center"/>
              <w:rPr>
                <w:color w:val="000000" w:themeColor="text1"/>
              </w:rPr>
            </w:pPr>
            <w:r w:rsidRPr="007F02A1">
              <w:rPr>
                <w:b/>
                <w:color w:val="000000" w:themeColor="text1"/>
                <w:sz w:val="17"/>
              </w:rPr>
              <w:t>Step</w:t>
            </w:r>
          </w:p>
        </w:tc>
        <w:tc>
          <w:tcPr>
            <w:tcW w:w="3096" w:type="dxa"/>
            <w:shd w:val="clear" w:color="auto" w:fill="D9D9D9" w:themeFill="background1" w:themeFillShade="D9"/>
            <w:tcMar>
              <w:top w:w="80" w:type="dxa"/>
              <w:left w:w="80" w:type="dxa"/>
              <w:bottom w:w="80" w:type="dxa"/>
              <w:right w:w="80" w:type="dxa"/>
            </w:tcMar>
          </w:tcPr>
          <w:p w14:paraId="7549EE85" w14:textId="77777777" w:rsidR="00290C91" w:rsidRPr="007F02A1" w:rsidRDefault="00000000" w:rsidP="007F02A1">
            <w:pPr>
              <w:jc w:val="center"/>
              <w:rPr>
                <w:color w:val="000000" w:themeColor="text1"/>
              </w:rPr>
            </w:pPr>
            <w:r w:rsidRPr="007F02A1">
              <w:rPr>
                <w:b/>
                <w:color w:val="000000" w:themeColor="text1"/>
                <w:sz w:val="17"/>
              </w:rPr>
              <w:t>Phase</w:t>
            </w:r>
          </w:p>
        </w:tc>
        <w:tc>
          <w:tcPr>
            <w:tcW w:w="6336" w:type="dxa"/>
            <w:shd w:val="clear" w:color="auto" w:fill="D9D9D9" w:themeFill="background1" w:themeFillShade="D9"/>
            <w:tcMar>
              <w:top w:w="80" w:type="dxa"/>
              <w:left w:w="80" w:type="dxa"/>
              <w:bottom w:w="80" w:type="dxa"/>
              <w:right w:w="80" w:type="dxa"/>
            </w:tcMar>
          </w:tcPr>
          <w:p w14:paraId="305059F5" w14:textId="77777777" w:rsidR="00290C91" w:rsidRPr="007F02A1" w:rsidRDefault="00000000" w:rsidP="007F02A1">
            <w:pPr>
              <w:jc w:val="center"/>
              <w:rPr>
                <w:color w:val="000000" w:themeColor="text1"/>
              </w:rPr>
            </w:pPr>
            <w:r w:rsidRPr="007F02A1">
              <w:rPr>
                <w:b/>
                <w:color w:val="000000" w:themeColor="text1"/>
                <w:sz w:val="17"/>
              </w:rPr>
              <w:t>Procedure</w:t>
            </w:r>
          </w:p>
        </w:tc>
      </w:tr>
      <w:tr w:rsidR="00290C91" w:rsidRPr="007F02A1" w14:paraId="65F264EF" w14:textId="77777777">
        <w:trPr>
          <w:jc w:val="center"/>
        </w:trPr>
        <w:tc>
          <w:tcPr>
            <w:tcW w:w="792" w:type="dxa"/>
            <w:tcMar>
              <w:top w:w="80" w:type="dxa"/>
              <w:left w:w="80" w:type="dxa"/>
              <w:bottom w:w="80" w:type="dxa"/>
              <w:right w:w="80" w:type="dxa"/>
            </w:tcMar>
          </w:tcPr>
          <w:p w14:paraId="7AA21774" w14:textId="77777777" w:rsidR="00290C91" w:rsidRPr="007F02A1" w:rsidRDefault="00000000" w:rsidP="00093C98">
            <w:pPr>
              <w:jc w:val="center"/>
              <w:rPr>
                <w:color w:val="000000" w:themeColor="text1"/>
              </w:rPr>
            </w:pPr>
            <w:r w:rsidRPr="007F02A1">
              <w:rPr>
                <w:color w:val="000000" w:themeColor="text1"/>
                <w:sz w:val="17"/>
              </w:rPr>
              <w:t>1</w:t>
            </w:r>
          </w:p>
        </w:tc>
        <w:tc>
          <w:tcPr>
            <w:tcW w:w="3096" w:type="dxa"/>
            <w:tcMar>
              <w:top w:w="80" w:type="dxa"/>
              <w:left w:w="80" w:type="dxa"/>
              <w:bottom w:w="80" w:type="dxa"/>
              <w:right w:w="80" w:type="dxa"/>
            </w:tcMar>
          </w:tcPr>
          <w:p w14:paraId="376AC164" w14:textId="77777777" w:rsidR="00290C91" w:rsidRPr="007F02A1" w:rsidRDefault="00000000" w:rsidP="007F02A1">
            <w:pPr>
              <w:rPr>
                <w:color w:val="000000" w:themeColor="text1"/>
              </w:rPr>
            </w:pPr>
            <w:r w:rsidRPr="007F02A1">
              <w:rPr>
                <w:color w:val="000000" w:themeColor="text1"/>
                <w:sz w:val="17"/>
              </w:rPr>
              <w:t>Familiarization with the data</w:t>
            </w:r>
          </w:p>
        </w:tc>
        <w:tc>
          <w:tcPr>
            <w:tcW w:w="6336" w:type="dxa"/>
            <w:tcMar>
              <w:top w:w="80" w:type="dxa"/>
              <w:left w:w="80" w:type="dxa"/>
              <w:bottom w:w="80" w:type="dxa"/>
              <w:right w:w="80" w:type="dxa"/>
            </w:tcMar>
          </w:tcPr>
          <w:p w14:paraId="1589E3BC" w14:textId="77777777" w:rsidR="00290C91" w:rsidRPr="007F02A1" w:rsidRDefault="00000000" w:rsidP="007F02A1">
            <w:pPr>
              <w:rPr>
                <w:color w:val="000000" w:themeColor="text1"/>
              </w:rPr>
            </w:pPr>
            <w:r w:rsidRPr="007F02A1">
              <w:rPr>
                <w:color w:val="000000" w:themeColor="text1"/>
                <w:sz w:val="17"/>
              </w:rPr>
              <w:t>Read the transcripts repeatedly and note initial ideas.</w:t>
            </w:r>
          </w:p>
        </w:tc>
      </w:tr>
      <w:tr w:rsidR="00290C91" w:rsidRPr="007F02A1" w14:paraId="0C95D117" w14:textId="77777777">
        <w:trPr>
          <w:jc w:val="center"/>
        </w:trPr>
        <w:tc>
          <w:tcPr>
            <w:tcW w:w="792" w:type="dxa"/>
            <w:tcMar>
              <w:top w:w="80" w:type="dxa"/>
              <w:left w:w="80" w:type="dxa"/>
              <w:bottom w:w="80" w:type="dxa"/>
              <w:right w:w="80" w:type="dxa"/>
            </w:tcMar>
          </w:tcPr>
          <w:p w14:paraId="1F170329" w14:textId="77777777" w:rsidR="00290C91" w:rsidRPr="007F02A1" w:rsidRDefault="00000000" w:rsidP="00093C98">
            <w:pPr>
              <w:jc w:val="center"/>
              <w:rPr>
                <w:color w:val="000000" w:themeColor="text1"/>
              </w:rPr>
            </w:pPr>
            <w:r w:rsidRPr="007F02A1">
              <w:rPr>
                <w:color w:val="000000" w:themeColor="text1"/>
                <w:sz w:val="17"/>
              </w:rPr>
              <w:t>2</w:t>
            </w:r>
          </w:p>
        </w:tc>
        <w:tc>
          <w:tcPr>
            <w:tcW w:w="3096" w:type="dxa"/>
            <w:tcMar>
              <w:top w:w="80" w:type="dxa"/>
              <w:left w:w="80" w:type="dxa"/>
              <w:bottom w:w="80" w:type="dxa"/>
              <w:right w:w="80" w:type="dxa"/>
            </w:tcMar>
          </w:tcPr>
          <w:p w14:paraId="50E109AB" w14:textId="77777777" w:rsidR="00290C91" w:rsidRPr="007F02A1" w:rsidRDefault="00000000" w:rsidP="007F02A1">
            <w:pPr>
              <w:rPr>
                <w:color w:val="000000" w:themeColor="text1"/>
              </w:rPr>
            </w:pPr>
            <w:r w:rsidRPr="007F02A1">
              <w:rPr>
                <w:color w:val="000000" w:themeColor="text1"/>
                <w:sz w:val="17"/>
              </w:rPr>
              <w:t>Generate initial codes</w:t>
            </w:r>
          </w:p>
        </w:tc>
        <w:tc>
          <w:tcPr>
            <w:tcW w:w="6336" w:type="dxa"/>
            <w:tcMar>
              <w:top w:w="80" w:type="dxa"/>
              <w:left w:w="80" w:type="dxa"/>
              <w:bottom w:w="80" w:type="dxa"/>
              <w:right w:w="80" w:type="dxa"/>
            </w:tcMar>
          </w:tcPr>
          <w:p w14:paraId="643CD3CA" w14:textId="77777777" w:rsidR="00290C91" w:rsidRPr="007F02A1" w:rsidRDefault="00000000" w:rsidP="007F02A1">
            <w:pPr>
              <w:rPr>
                <w:color w:val="000000" w:themeColor="text1"/>
              </w:rPr>
            </w:pPr>
            <w:r w:rsidRPr="007F02A1">
              <w:rPr>
                <w:color w:val="000000" w:themeColor="text1"/>
                <w:sz w:val="17"/>
              </w:rPr>
              <w:t>Code the entire dataset systematically and collect relevant data under each code.</w:t>
            </w:r>
          </w:p>
        </w:tc>
      </w:tr>
      <w:tr w:rsidR="00290C91" w:rsidRPr="007F02A1" w14:paraId="26160EBD" w14:textId="77777777">
        <w:trPr>
          <w:jc w:val="center"/>
        </w:trPr>
        <w:tc>
          <w:tcPr>
            <w:tcW w:w="792" w:type="dxa"/>
            <w:tcMar>
              <w:top w:w="80" w:type="dxa"/>
              <w:left w:w="80" w:type="dxa"/>
              <w:bottom w:w="80" w:type="dxa"/>
              <w:right w:w="80" w:type="dxa"/>
            </w:tcMar>
          </w:tcPr>
          <w:p w14:paraId="6A8317A0" w14:textId="77777777" w:rsidR="00290C91" w:rsidRPr="007F02A1" w:rsidRDefault="00000000" w:rsidP="00093C98">
            <w:pPr>
              <w:jc w:val="center"/>
              <w:rPr>
                <w:color w:val="000000" w:themeColor="text1"/>
              </w:rPr>
            </w:pPr>
            <w:r w:rsidRPr="007F02A1">
              <w:rPr>
                <w:color w:val="000000" w:themeColor="text1"/>
                <w:sz w:val="17"/>
              </w:rPr>
              <w:t>3</w:t>
            </w:r>
          </w:p>
        </w:tc>
        <w:tc>
          <w:tcPr>
            <w:tcW w:w="3096" w:type="dxa"/>
            <w:tcMar>
              <w:top w:w="80" w:type="dxa"/>
              <w:left w:w="80" w:type="dxa"/>
              <w:bottom w:w="80" w:type="dxa"/>
              <w:right w:w="80" w:type="dxa"/>
            </w:tcMar>
          </w:tcPr>
          <w:p w14:paraId="422E3EC6" w14:textId="77777777" w:rsidR="00290C91" w:rsidRPr="007F02A1" w:rsidRDefault="00000000" w:rsidP="007F02A1">
            <w:pPr>
              <w:rPr>
                <w:color w:val="000000" w:themeColor="text1"/>
              </w:rPr>
            </w:pPr>
            <w:r w:rsidRPr="007F02A1">
              <w:rPr>
                <w:color w:val="000000" w:themeColor="text1"/>
                <w:sz w:val="17"/>
              </w:rPr>
              <w:t>Search for themes</w:t>
            </w:r>
          </w:p>
        </w:tc>
        <w:tc>
          <w:tcPr>
            <w:tcW w:w="6336" w:type="dxa"/>
            <w:tcMar>
              <w:top w:w="80" w:type="dxa"/>
              <w:left w:w="80" w:type="dxa"/>
              <w:bottom w:w="80" w:type="dxa"/>
              <w:right w:w="80" w:type="dxa"/>
            </w:tcMar>
          </w:tcPr>
          <w:p w14:paraId="032B101E" w14:textId="77777777" w:rsidR="00290C91" w:rsidRPr="007F02A1" w:rsidRDefault="00000000" w:rsidP="007F02A1">
            <w:pPr>
              <w:rPr>
                <w:color w:val="000000" w:themeColor="text1"/>
              </w:rPr>
            </w:pPr>
            <w:r w:rsidRPr="007F02A1">
              <w:rPr>
                <w:color w:val="000000" w:themeColor="text1"/>
                <w:sz w:val="17"/>
              </w:rPr>
              <w:t>Group codes into potential themes and gather all relevant data for each potential theme.</w:t>
            </w:r>
          </w:p>
        </w:tc>
      </w:tr>
      <w:tr w:rsidR="00290C91" w:rsidRPr="007F02A1" w14:paraId="135CAB65" w14:textId="77777777">
        <w:trPr>
          <w:jc w:val="center"/>
        </w:trPr>
        <w:tc>
          <w:tcPr>
            <w:tcW w:w="792" w:type="dxa"/>
            <w:tcMar>
              <w:top w:w="80" w:type="dxa"/>
              <w:left w:w="80" w:type="dxa"/>
              <w:bottom w:w="80" w:type="dxa"/>
              <w:right w:w="80" w:type="dxa"/>
            </w:tcMar>
          </w:tcPr>
          <w:p w14:paraId="37403936" w14:textId="77777777" w:rsidR="00290C91" w:rsidRPr="007F02A1" w:rsidRDefault="00000000" w:rsidP="00093C98">
            <w:pPr>
              <w:jc w:val="center"/>
              <w:rPr>
                <w:color w:val="000000" w:themeColor="text1"/>
              </w:rPr>
            </w:pPr>
            <w:r w:rsidRPr="007F02A1">
              <w:rPr>
                <w:color w:val="000000" w:themeColor="text1"/>
                <w:sz w:val="17"/>
              </w:rPr>
              <w:t>4</w:t>
            </w:r>
          </w:p>
        </w:tc>
        <w:tc>
          <w:tcPr>
            <w:tcW w:w="3096" w:type="dxa"/>
            <w:tcMar>
              <w:top w:w="80" w:type="dxa"/>
              <w:left w:w="80" w:type="dxa"/>
              <w:bottom w:w="80" w:type="dxa"/>
              <w:right w:w="80" w:type="dxa"/>
            </w:tcMar>
          </w:tcPr>
          <w:p w14:paraId="35DFA136" w14:textId="77777777" w:rsidR="00290C91" w:rsidRPr="007F02A1" w:rsidRDefault="00000000" w:rsidP="007F02A1">
            <w:pPr>
              <w:rPr>
                <w:color w:val="000000" w:themeColor="text1"/>
              </w:rPr>
            </w:pPr>
            <w:r w:rsidRPr="007F02A1">
              <w:rPr>
                <w:color w:val="000000" w:themeColor="text1"/>
                <w:sz w:val="17"/>
              </w:rPr>
              <w:t>Review themes</w:t>
            </w:r>
          </w:p>
        </w:tc>
        <w:tc>
          <w:tcPr>
            <w:tcW w:w="6336" w:type="dxa"/>
            <w:tcMar>
              <w:top w:w="80" w:type="dxa"/>
              <w:left w:w="80" w:type="dxa"/>
              <w:bottom w:w="80" w:type="dxa"/>
              <w:right w:w="80" w:type="dxa"/>
            </w:tcMar>
          </w:tcPr>
          <w:p w14:paraId="5F38713A" w14:textId="77777777" w:rsidR="00290C91" w:rsidRPr="007F02A1" w:rsidRDefault="00000000" w:rsidP="007F02A1">
            <w:pPr>
              <w:rPr>
                <w:color w:val="000000" w:themeColor="text1"/>
              </w:rPr>
            </w:pPr>
            <w:r w:rsidRPr="007F02A1">
              <w:rPr>
                <w:color w:val="000000" w:themeColor="text1"/>
                <w:sz w:val="17"/>
              </w:rPr>
              <w:t>Check whether the themes work in relation to the codes and the full dataset; produce a thematic map.</w:t>
            </w:r>
          </w:p>
        </w:tc>
      </w:tr>
      <w:tr w:rsidR="00290C91" w:rsidRPr="007F02A1" w14:paraId="3505CEDC" w14:textId="77777777">
        <w:trPr>
          <w:jc w:val="center"/>
        </w:trPr>
        <w:tc>
          <w:tcPr>
            <w:tcW w:w="792" w:type="dxa"/>
            <w:tcMar>
              <w:top w:w="80" w:type="dxa"/>
              <w:left w:w="80" w:type="dxa"/>
              <w:bottom w:w="80" w:type="dxa"/>
              <w:right w:w="80" w:type="dxa"/>
            </w:tcMar>
          </w:tcPr>
          <w:p w14:paraId="6527F5B1" w14:textId="77777777" w:rsidR="00290C91" w:rsidRPr="007F02A1" w:rsidRDefault="00000000" w:rsidP="00093C98">
            <w:pPr>
              <w:jc w:val="center"/>
              <w:rPr>
                <w:color w:val="000000" w:themeColor="text1"/>
              </w:rPr>
            </w:pPr>
            <w:r w:rsidRPr="007F02A1">
              <w:rPr>
                <w:color w:val="000000" w:themeColor="text1"/>
                <w:sz w:val="17"/>
              </w:rPr>
              <w:t>5</w:t>
            </w:r>
          </w:p>
        </w:tc>
        <w:tc>
          <w:tcPr>
            <w:tcW w:w="3096" w:type="dxa"/>
            <w:tcMar>
              <w:top w:w="80" w:type="dxa"/>
              <w:left w:w="80" w:type="dxa"/>
              <w:bottom w:w="80" w:type="dxa"/>
              <w:right w:w="80" w:type="dxa"/>
            </w:tcMar>
          </w:tcPr>
          <w:p w14:paraId="49096363" w14:textId="77777777" w:rsidR="00290C91" w:rsidRPr="007F02A1" w:rsidRDefault="00000000" w:rsidP="007F02A1">
            <w:pPr>
              <w:rPr>
                <w:color w:val="000000" w:themeColor="text1"/>
              </w:rPr>
            </w:pPr>
            <w:r w:rsidRPr="007F02A1">
              <w:rPr>
                <w:color w:val="000000" w:themeColor="text1"/>
                <w:sz w:val="17"/>
              </w:rPr>
              <w:t>Define and name themes</w:t>
            </w:r>
          </w:p>
        </w:tc>
        <w:tc>
          <w:tcPr>
            <w:tcW w:w="6336" w:type="dxa"/>
            <w:tcMar>
              <w:top w:w="80" w:type="dxa"/>
              <w:left w:w="80" w:type="dxa"/>
              <w:bottom w:w="80" w:type="dxa"/>
              <w:right w:w="80" w:type="dxa"/>
            </w:tcMar>
          </w:tcPr>
          <w:p w14:paraId="0836AFE0" w14:textId="77777777" w:rsidR="00290C91" w:rsidRPr="007F02A1" w:rsidRDefault="00000000" w:rsidP="007F02A1">
            <w:pPr>
              <w:rPr>
                <w:color w:val="000000" w:themeColor="text1"/>
              </w:rPr>
            </w:pPr>
            <w:r w:rsidRPr="007F02A1">
              <w:rPr>
                <w:color w:val="000000" w:themeColor="text1"/>
                <w:sz w:val="17"/>
              </w:rPr>
              <w:t>Refine each theme through ongoing analysis and generate clear definitions and names.</w:t>
            </w:r>
          </w:p>
        </w:tc>
      </w:tr>
      <w:tr w:rsidR="00290C91" w:rsidRPr="007F02A1" w14:paraId="00CD4966" w14:textId="77777777">
        <w:trPr>
          <w:jc w:val="center"/>
        </w:trPr>
        <w:tc>
          <w:tcPr>
            <w:tcW w:w="792" w:type="dxa"/>
            <w:tcMar>
              <w:top w:w="80" w:type="dxa"/>
              <w:left w:w="80" w:type="dxa"/>
              <w:bottom w:w="80" w:type="dxa"/>
              <w:right w:w="80" w:type="dxa"/>
            </w:tcMar>
          </w:tcPr>
          <w:p w14:paraId="3ADDA763" w14:textId="77777777" w:rsidR="00290C91" w:rsidRPr="007F02A1" w:rsidRDefault="00000000" w:rsidP="00093C98">
            <w:pPr>
              <w:jc w:val="center"/>
              <w:rPr>
                <w:color w:val="000000" w:themeColor="text1"/>
              </w:rPr>
            </w:pPr>
            <w:r w:rsidRPr="007F02A1">
              <w:rPr>
                <w:color w:val="000000" w:themeColor="text1"/>
                <w:sz w:val="17"/>
              </w:rPr>
              <w:t>6</w:t>
            </w:r>
          </w:p>
        </w:tc>
        <w:tc>
          <w:tcPr>
            <w:tcW w:w="3096" w:type="dxa"/>
            <w:tcMar>
              <w:top w:w="80" w:type="dxa"/>
              <w:left w:w="80" w:type="dxa"/>
              <w:bottom w:w="80" w:type="dxa"/>
              <w:right w:w="80" w:type="dxa"/>
            </w:tcMar>
          </w:tcPr>
          <w:p w14:paraId="646B5628" w14:textId="77777777" w:rsidR="00290C91" w:rsidRPr="007F02A1" w:rsidRDefault="00000000" w:rsidP="007F02A1">
            <w:pPr>
              <w:rPr>
                <w:color w:val="000000" w:themeColor="text1"/>
              </w:rPr>
            </w:pPr>
            <w:r w:rsidRPr="007F02A1">
              <w:rPr>
                <w:color w:val="000000" w:themeColor="text1"/>
                <w:sz w:val="17"/>
              </w:rPr>
              <w:t>Produce the report</w:t>
            </w:r>
          </w:p>
        </w:tc>
        <w:tc>
          <w:tcPr>
            <w:tcW w:w="6336" w:type="dxa"/>
            <w:tcMar>
              <w:top w:w="80" w:type="dxa"/>
              <w:left w:w="80" w:type="dxa"/>
              <w:bottom w:w="80" w:type="dxa"/>
              <w:right w:w="80" w:type="dxa"/>
            </w:tcMar>
          </w:tcPr>
          <w:p w14:paraId="04D52A88" w14:textId="77777777" w:rsidR="00290C91" w:rsidRPr="007F02A1" w:rsidRDefault="00000000" w:rsidP="007F02A1">
            <w:pPr>
              <w:rPr>
                <w:color w:val="000000" w:themeColor="text1"/>
              </w:rPr>
            </w:pPr>
            <w:r w:rsidRPr="007F02A1">
              <w:rPr>
                <w:color w:val="000000" w:themeColor="text1"/>
                <w:sz w:val="17"/>
              </w:rPr>
              <w:t>Select compelling examples, conduct final analysis, and connect the analysis to the research questions and literature.</w:t>
            </w:r>
          </w:p>
        </w:tc>
      </w:tr>
    </w:tbl>
    <w:p w14:paraId="5E85850D" w14:textId="77777777" w:rsidR="00290C91" w:rsidRPr="007F02A1" w:rsidRDefault="00290C91" w:rsidP="007F02A1">
      <w:pPr>
        <w:spacing w:after="0" w:line="240" w:lineRule="auto"/>
        <w:rPr>
          <w:color w:val="000000" w:themeColor="text1"/>
        </w:rPr>
      </w:pPr>
    </w:p>
    <w:p w14:paraId="434E2A00" w14:textId="77777777" w:rsidR="00290C91" w:rsidRPr="007F02A1" w:rsidRDefault="00000000" w:rsidP="007F02A1">
      <w:pPr>
        <w:pStyle w:val="Heading1"/>
        <w:spacing w:before="0" w:line="240" w:lineRule="auto"/>
        <w:rPr>
          <w:color w:val="000000" w:themeColor="text1"/>
        </w:rPr>
      </w:pPr>
      <w:r w:rsidRPr="007F02A1">
        <w:rPr>
          <w:rFonts w:ascii="Times New Roman" w:hAnsi="Times New Roman"/>
          <w:color w:val="000000" w:themeColor="text1"/>
        </w:rPr>
        <w:t>6. Data Availability Statement</w:t>
      </w:r>
    </w:p>
    <w:p w14:paraId="28AE24FB" w14:textId="77777777" w:rsidR="00290C91" w:rsidRPr="007F02A1" w:rsidRDefault="00000000" w:rsidP="007F02A1">
      <w:pPr>
        <w:spacing w:after="0" w:line="240" w:lineRule="auto"/>
        <w:rPr>
          <w:color w:val="000000" w:themeColor="text1"/>
        </w:rPr>
      </w:pPr>
      <w:r w:rsidRPr="007F02A1">
        <w:rPr>
          <w:color w:val="000000" w:themeColor="text1"/>
        </w:rPr>
        <w:t>The data supporting the findings of this study are available from the corresponding author subject to ethical and confidentiality restrictions.</w:t>
      </w:r>
    </w:p>
    <w:tbl>
      <w:tblPr>
        <w:tblStyle w:val="TableGrid"/>
        <w:tblW w:w="0" w:type="auto"/>
        <w:jc w:val="center"/>
        <w:tblLayout w:type="fixed"/>
        <w:tblLook w:val="04A0" w:firstRow="1" w:lastRow="0" w:firstColumn="1" w:lastColumn="0" w:noHBand="0" w:noVBand="1"/>
      </w:tblPr>
      <w:tblGrid>
        <w:gridCol w:w="3024"/>
        <w:gridCol w:w="7200"/>
      </w:tblGrid>
      <w:tr w:rsidR="00290C91" w:rsidRPr="007F02A1" w14:paraId="3FE6F78A" w14:textId="77777777" w:rsidTr="007F02A1">
        <w:trPr>
          <w:tblHeader/>
          <w:jc w:val="center"/>
        </w:trPr>
        <w:tc>
          <w:tcPr>
            <w:tcW w:w="3024" w:type="dxa"/>
            <w:shd w:val="clear" w:color="auto" w:fill="D9D9D9" w:themeFill="background1" w:themeFillShade="D9"/>
            <w:tcMar>
              <w:top w:w="80" w:type="dxa"/>
              <w:left w:w="80" w:type="dxa"/>
              <w:bottom w:w="80" w:type="dxa"/>
              <w:right w:w="80" w:type="dxa"/>
            </w:tcMar>
          </w:tcPr>
          <w:p w14:paraId="3BCD8900" w14:textId="77777777" w:rsidR="00290C91" w:rsidRPr="007F02A1" w:rsidRDefault="00000000" w:rsidP="007F02A1">
            <w:pPr>
              <w:jc w:val="center"/>
              <w:rPr>
                <w:color w:val="000000" w:themeColor="text1"/>
              </w:rPr>
            </w:pPr>
            <w:r w:rsidRPr="007F02A1">
              <w:rPr>
                <w:b/>
                <w:color w:val="000000" w:themeColor="text1"/>
                <w:sz w:val="18"/>
              </w:rPr>
              <w:t>Category</w:t>
            </w:r>
          </w:p>
        </w:tc>
        <w:tc>
          <w:tcPr>
            <w:tcW w:w="7200" w:type="dxa"/>
            <w:shd w:val="clear" w:color="auto" w:fill="D9D9D9" w:themeFill="background1" w:themeFillShade="D9"/>
            <w:tcMar>
              <w:top w:w="80" w:type="dxa"/>
              <w:left w:w="80" w:type="dxa"/>
              <w:bottom w:w="80" w:type="dxa"/>
              <w:right w:w="80" w:type="dxa"/>
            </w:tcMar>
          </w:tcPr>
          <w:p w14:paraId="570D9A58" w14:textId="77777777" w:rsidR="00290C91" w:rsidRPr="007F02A1" w:rsidRDefault="00000000" w:rsidP="007F02A1">
            <w:pPr>
              <w:jc w:val="center"/>
              <w:rPr>
                <w:color w:val="000000" w:themeColor="text1"/>
              </w:rPr>
            </w:pPr>
            <w:r w:rsidRPr="007F02A1">
              <w:rPr>
                <w:b/>
                <w:color w:val="000000" w:themeColor="text1"/>
                <w:sz w:val="18"/>
              </w:rPr>
              <w:t>Statement</w:t>
            </w:r>
          </w:p>
        </w:tc>
      </w:tr>
      <w:tr w:rsidR="00290C91" w:rsidRPr="007F02A1" w14:paraId="0E090317" w14:textId="77777777">
        <w:trPr>
          <w:jc w:val="center"/>
        </w:trPr>
        <w:tc>
          <w:tcPr>
            <w:tcW w:w="3024" w:type="dxa"/>
            <w:tcMar>
              <w:top w:w="80" w:type="dxa"/>
              <w:left w:w="80" w:type="dxa"/>
              <w:bottom w:w="80" w:type="dxa"/>
              <w:right w:w="80" w:type="dxa"/>
            </w:tcMar>
          </w:tcPr>
          <w:p w14:paraId="1AB32D3F" w14:textId="77777777" w:rsidR="00290C91" w:rsidRPr="006E4662" w:rsidRDefault="00000000" w:rsidP="007F02A1">
            <w:pPr>
              <w:rPr>
                <w:color w:val="000000" w:themeColor="text1"/>
              </w:rPr>
            </w:pPr>
            <w:r w:rsidRPr="006E4662">
              <w:rPr>
                <w:color w:val="000000" w:themeColor="text1"/>
                <w:sz w:val="18"/>
              </w:rPr>
              <w:t>Data available</w:t>
            </w:r>
          </w:p>
        </w:tc>
        <w:tc>
          <w:tcPr>
            <w:tcW w:w="7200" w:type="dxa"/>
            <w:tcMar>
              <w:top w:w="80" w:type="dxa"/>
              <w:left w:w="80" w:type="dxa"/>
              <w:bottom w:w="80" w:type="dxa"/>
              <w:right w:w="80" w:type="dxa"/>
            </w:tcMar>
          </w:tcPr>
          <w:p w14:paraId="66DB81A2" w14:textId="77777777" w:rsidR="00290C91" w:rsidRPr="006E4662" w:rsidRDefault="00000000" w:rsidP="007F02A1">
            <w:pPr>
              <w:rPr>
                <w:color w:val="000000" w:themeColor="text1"/>
              </w:rPr>
            </w:pPr>
            <w:r w:rsidRPr="006E4662">
              <w:rPr>
                <w:color w:val="000000" w:themeColor="text1"/>
                <w:sz w:val="18"/>
              </w:rPr>
              <w:t>Research instruments, including interview guides, observation sheets, and FGD protocols; the coding scheme and analytic framework; and anonymized institutional documents analyzed in the study, where permitted.</w:t>
            </w:r>
          </w:p>
        </w:tc>
      </w:tr>
      <w:tr w:rsidR="00290C91" w:rsidRPr="007F02A1" w14:paraId="74E606A7" w14:textId="77777777">
        <w:trPr>
          <w:jc w:val="center"/>
        </w:trPr>
        <w:tc>
          <w:tcPr>
            <w:tcW w:w="3024" w:type="dxa"/>
            <w:tcMar>
              <w:top w:w="80" w:type="dxa"/>
              <w:left w:w="80" w:type="dxa"/>
              <w:bottom w:w="80" w:type="dxa"/>
              <w:right w:w="80" w:type="dxa"/>
            </w:tcMar>
          </w:tcPr>
          <w:p w14:paraId="0AC837AA" w14:textId="77777777" w:rsidR="00290C91" w:rsidRPr="006E4662" w:rsidRDefault="00000000" w:rsidP="007F02A1">
            <w:pPr>
              <w:rPr>
                <w:color w:val="000000" w:themeColor="text1"/>
              </w:rPr>
            </w:pPr>
            <w:r w:rsidRPr="006E4662">
              <w:rPr>
                <w:color w:val="000000" w:themeColor="text1"/>
                <w:sz w:val="18"/>
              </w:rPr>
              <w:t>Data not publicly available</w:t>
            </w:r>
          </w:p>
        </w:tc>
        <w:tc>
          <w:tcPr>
            <w:tcW w:w="7200" w:type="dxa"/>
            <w:tcMar>
              <w:top w:w="80" w:type="dxa"/>
              <w:left w:w="80" w:type="dxa"/>
              <w:bottom w:w="80" w:type="dxa"/>
              <w:right w:w="80" w:type="dxa"/>
            </w:tcMar>
          </w:tcPr>
          <w:p w14:paraId="3E0C31FA" w14:textId="77777777" w:rsidR="00290C91" w:rsidRPr="006E4662" w:rsidRDefault="00000000" w:rsidP="007F02A1">
            <w:pPr>
              <w:rPr>
                <w:color w:val="000000" w:themeColor="text1"/>
              </w:rPr>
            </w:pPr>
            <w:r w:rsidRPr="006E4662">
              <w:rPr>
                <w:color w:val="000000" w:themeColor="text1"/>
                <w:sz w:val="18"/>
              </w:rPr>
              <w:t>Raw interview and FGD transcripts, audio recordings, and participant-identifying information are not publicly available to protect confidentiality.</w:t>
            </w:r>
          </w:p>
        </w:tc>
      </w:tr>
      <w:tr w:rsidR="00290C91" w:rsidRPr="007F02A1" w14:paraId="4FA18986" w14:textId="77777777">
        <w:trPr>
          <w:jc w:val="center"/>
        </w:trPr>
        <w:tc>
          <w:tcPr>
            <w:tcW w:w="3024" w:type="dxa"/>
            <w:tcMar>
              <w:top w:w="80" w:type="dxa"/>
              <w:left w:w="80" w:type="dxa"/>
              <w:bottom w:w="80" w:type="dxa"/>
              <w:right w:w="80" w:type="dxa"/>
            </w:tcMar>
          </w:tcPr>
          <w:p w14:paraId="379A35C5" w14:textId="77777777" w:rsidR="00290C91" w:rsidRPr="006E4662" w:rsidRDefault="00000000" w:rsidP="007F02A1">
            <w:pPr>
              <w:rPr>
                <w:color w:val="000000" w:themeColor="text1"/>
              </w:rPr>
            </w:pPr>
            <w:r w:rsidRPr="006E4662">
              <w:rPr>
                <w:color w:val="000000" w:themeColor="text1"/>
                <w:sz w:val="18"/>
              </w:rPr>
              <w:t>Data access</w:t>
            </w:r>
          </w:p>
        </w:tc>
        <w:tc>
          <w:tcPr>
            <w:tcW w:w="7200" w:type="dxa"/>
            <w:tcMar>
              <w:top w:w="80" w:type="dxa"/>
              <w:left w:w="80" w:type="dxa"/>
              <w:bottom w:w="80" w:type="dxa"/>
              <w:right w:w="80" w:type="dxa"/>
            </w:tcMar>
          </w:tcPr>
          <w:p w14:paraId="320D9F35" w14:textId="6351D12D" w:rsidR="00290C91" w:rsidRPr="006E4662" w:rsidRDefault="00000000" w:rsidP="007F02A1">
            <w:pPr>
              <w:rPr>
                <w:color w:val="000000" w:themeColor="text1"/>
              </w:rPr>
            </w:pPr>
            <w:r w:rsidRPr="006E4662">
              <w:rPr>
                <w:color w:val="000000" w:themeColor="text1"/>
                <w:sz w:val="18"/>
              </w:rPr>
              <w:t>Anonymized materials supporting the findings may be requested by email: [</w:t>
            </w:r>
            <w:r w:rsidR="002961B6" w:rsidRPr="006E4662">
              <w:rPr>
                <w:color w:val="000000" w:themeColor="text1"/>
                <w:sz w:val="18"/>
              </w:rPr>
              <w:t>andiwahyuirawan@fkip.unmul.ac.id</w:t>
            </w:r>
            <w:r w:rsidRPr="006E4662">
              <w:rPr>
                <w:color w:val="000000" w:themeColor="text1"/>
                <w:sz w:val="18"/>
              </w:rPr>
              <w:t xml:space="preserve">]. </w:t>
            </w:r>
          </w:p>
        </w:tc>
      </w:tr>
      <w:tr w:rsidR="00290C91" w:rsidRPr="007F02A1" w14:paraId="0FF0A5B5" w14:textId="77777777">
        <w:trPr>
          <w:jc w:val="center"/>
        </w:trPr>
        <w:tc>
          <w:tcPr>
            <w:tcW w:w="3024" w:type="dxa"/>
            <w:tcMar>
              <w:top w:w="80" w:type="dxa"/>
              <w:left w:w="80" w:type="dxa"/>
              <w:bottom w:w="80" w:type="dxa"/>
              <w:right w:w="80" w:type="dxa"/>
            </w:tcMar>
          </w:tcPr>
          <w:p w14:paraId="0325A849" w14:textId="77777777" w:rsidR="00290C91" w:rsidRPr="007F02A1" w:rsidRDefault="00000000" w:rsidP="007F02A1">
            <w:pPr>
              <w:rPr>
                <w:color w:val="000000" w:themeColor="text1"/>
              </w:rPr>
            </w:pPr>
            <w:r w:rsidRPr="007F02A1">
              <w:rPr>
                <w:color w:val="000000" w:themeColor="text1"/>
                <w:sz w:val="18"/>
              </w:rPr>
              <w:t>Restrictions</w:t>
            </w:r>
          </w:p>
        </w:tc>
        <w:tc>
          <w:tcPr>
            <w:tcW w:w="7200" w:type="dxa"/>
            <w:tcMar>
              <w:top w:w="80" w:type="dxa"/>
              <w:left w:w="80" w:type="dxa"/>
              <w:bottom w:w="80" w:type="dxa"/>
              <w:right w:w="80" w:type="dxa"/>
            </w:tcMar>
          </w:tcPr>
          <w:p w14:paraId="56B59A63" w14:textId="77777777" w:rsidR="00290C91" w:rsidRPr="007F02A1" w:rsidRDefault="00000000" w:rsidP="007F02A1">
            <w:pPr>
              <w:rPr>
                <w:color w:val="000000" w:themeColor="text1"/>
              </w:rPr>
            </w:pPr>
            <w:r w:rsidRPr="007F02A1">
              <w:rPr>
                <w:color w:val="000000" w:themeColor="text1"/>
                <w:sz w:val="18"/>
              </w:rPr>
              <w:t>Raw data are not shared publicly because of participant confidentiality and ethical consent requirements (Tracy, 2010). Any shared data will be fully anonymized, with names and institutional identifiers replaced by pseudonyms.</w:t>
            </w:r>
          </w:p>
        </w:tc>
      </w:tr>
    </w:tbl>
    <w:p w14:paraId="1E11BDCA" w14:textId="77777777" w:rsidR="00290C91" w:rsidRPr="007F02A1" w:rsidRDefault="00290C91" w:rsidP="007F02A1">
      <w:pPr>
        <w:spacing w:after="0" w:line="240" w:lineRule="auto"/>
        <w:rPr>
          <w:color w:val="000000" w:themeColor="text1"/>
        </w:rPr>
      </w:pPr>
    </w:p>
    <w:p w14:paraId="29AAA83B" w14:textId="77777777" w:rsidR="00290C91" w:rsidRPr="007F02A1" w:rsidRDefault="00000000" w:rsidP="007F02A1">
      <w:pPr>
        <w:pStyle w:val="Heading1"/>
        <w:spacing w:before="0" w:line="240" w:lineRule="auto"/>
        <w:rPr>
          <w:color w:val="000000" w:themeColor="text1"/>
        </w:rPr>
      </w:pPr>
      <w:r w:rsidRPr="007F02A1">
        <w:rPr>
          <w:rFonts w:ascii="Times New Roman" w:hAnsi="Times New Roman"/>
          <w:color w:val="000000" w:themeColor="text1"/>
        </w:rPr>
        <w:t>7. References</w:t>
      </w:r>
    </w:p>
    <w:p w14:paraId="3F26AF4D" w14:textId="77777777" w:rsidR="007F02A1" w:rsidRPr="007F02A1" w:rsidRDefault="007F02A1" w:rsidP="007F02A1">
      <w:pPr>
        <w:spacing w:after="0" w:line="240" w:lineRule="auto"/>
        <w:ind w:left="432" w:hanging="432"/>
        <w:jc w:val="both"/>
        <w:rPr>
          <w:color w:val="000000" w:themeColor="text1"/>
          <w:sz w:val="20"/>
          <w:szCs w:val="20"/>
        </w:rPr>
      </w:pPr>
      <w:r w:rsidRPr="007F02A1">
        <w:rPr>
          <w:color w:val="000000" w:themeColor="text1"/>
          <w:sz w:val="20"/>
          <w:szCs w:val="20"/>
        </w:rPr>
        <w:t xml:space="preserve">Braun, V., &amp; Clarke, V. (2006). Using thematic analysis in psychology. </w:t>
      </w:r>
      <w:r w:rsidRPr="007F02A1">
        <w:rPr>
          <w:rStyle w:val="Emphasis"/>
          <w:color w:val="000000" w:themeColor="text1"/>
          <w:sz w:val="20"/>
          <w:szCs w:val="20"/>
        </w:rPr>
        <w:t>Qualitative Research in Psychology, 3</w:t>
      </w:r>
      <w:r w:rsidRPr="007F02A1">
        <w:rPr>
          <w:color w:val="000000" w:themeColor="text1"/>
          <w:sz w:val="20"/>
          <w:szCs w:val="20"/>
        </w:rPr>
        <w:t>(2), 77–101.</w:t>
      </w:r>
    </w:p>
    <w:p w14:paraId="7B4486D4" w14:textId="77777777" w:rsidR="007F02A1" w:rsidRPr="007F02A1" w:rsidRDefault="007F02A1" w:rsidP="007F02A1">
      <w:pPr>
        <w:spacing w:after="0" w:line="240" w:lineRule="auto"/>
        <w:ind w:left="432" w:hanging="432"/>
        <w:jc w:val="both"/>
        <w:rPr>
          <w:color w:val="000000" w:themeColor="text1"/>
          <w:sz w:val="20"/>
          <w:szCs w:val="20"/>
        </w:rPr>
      </w:pPr>
      <w:proofErr w:type="spellStart"/>
      <w:r w:rsidRPr="007F02A1">
        <w:rPr>
          <w:color w:val="000000" w:themeColor="text1"/>
          <w:sz w:val="20"/>
          <w:szCs w:val="20"/>
        </w:rPr>
        <w:t>Carspecken</w:t>
      </w:r>
      <w:proofErr w:type="spellEnd"/>
      <w:r w:rsidRPr="007F02A1">
        <w:rPr>
          <w:color w:val="000000" w:themeColor="text1"/>
          <w:sz w:val="20"/>
          <w:szCs w:val="20"/>
        </w:rPr>
        <w:t xml:space="preserve">, P. F. (1996). </w:t>
      </w:r>
      <w:r w:rsidRPr="007F02A1">
        <w:rPr>
          <w:rStyle w:val="Emphasis"/>
          <w:color w:val="000000" w:themeColor="text1"/>
          <w:sz w:val="20"/>
          <w:szCs w:val="20"/>
        </w:rPr>
        <w:t>Critical ethnography in educational research</w:t>
      </w:r>
      <w:r w:rsidRPr="007F02A1">
        <w:rPr>
          <w:color w:val="000000" w:themeColor="text1"/>
          <w:sz w:val="20"/>
          <w:szCs w:val="20"/>
        </w:rPr>
        <w:t>. Routledge.</w:t>
      </w:r>
    </w:p>
    <w:p w14:paraId="384D02D6" w14:textId="77777777" w:rsidR="007F02A1" w:rsidRPr="007F02A1" w:rsidRDefault="007F02A1" w:rsidP="007F02A1">
      <w:pPr>
        <w:spacing w:after="0" w:line="240" w:lineRule="auto"/>
        <w:ind w:left="432" w:hanging="432"/>
        <w:jc w:val="both"/>
        <w:rPr>
          <w:color w:val="000000" w:themeColor="text1"/>
          <w:sz w:val="20"/>
          <w:szCs w:val="20"/>
        </w:rPr>
      </w:pPr>
      <w:r w:rsidRPr="007F02A1">
        <w:rPr>
          <w:color w:val="000000" w:themeColor="text1"/>
          <w:sz w:val="20"/>
          <w:szCs w:val="20"/>
        </w:rPr>
        <w:t xml:space="preserve">Charmaz, K. (2014). </w:t>
      </w:r>
      <w:r w:rsidRPr="007F02A1">
        <w:rPr>
          <w:rStyle w:val="Emphasis"/>
          <w:color w:val="000000" w:themeColor="text1"/>
          <w:sz w:val="20"/>
          <w:szCs w:val="20"/>
        </w:rPr>
        <w:t>Constructing grounded theory</w:t>
      </w:r>
      <w:r w:rsidRPr="007F02A1">
        <w:rPr>
          <w:color w:val="000000" w:themeColor="text1"/>
          <w:sz w:val="20"/>
          <w:szCs w:val="20"/>
        </w:rPr>
        <w:t xml:space="preserve"> (2nd ed.). Sage.</w:t>
      </w:r>
    </w:p>
    <w:p w14:paraId="3EB15DDD" w14:textId="77777777" w:rsidR="007F02A1" w:rsidRPr="007F02A1" w:rsidRDefault="007F02A1" w:rsidP="007F02A1">
      <w:pPr>
        <w:spacing w:after="0" w:line="240" w:lineRule="auto"/>
        <w:ind w:left="432" w:hanging="432"/>
        <w:jc w:val="both"/>
        <w:rPr>
          <w:color w:val="000000" w:themeColor="text1"/>
          <w:sz w:val="20"/>
          <w:szCs w:val="20"/>
        </w:rPr>
      </w:pPr>
      <w:r w:rsidRPr="007F02A1">
        <w:rPr>
          <w:color w:val="000000" w:themeColor="text1"/>
          <w:sz w:val="20"/>
          <w:szCs w:val="20"/>
        </w:rPr>
        <w:t xml:space="preserve">Creswell, J. W. (2009). </w:t>
      </w:r>
      <w:r w:rsidRPr="007F02A1">
        <w:rPr>
          <w:rStyle w:val="Emphasis"/>
          <w:color w:val="000000" w:themeColor="text1"/>
          <w:sz w:val="20"/>
          <w:szCs w:val="20"/>
        </w:rPr>
        <w:t xml:space="preserve">Research design: Qualitative, quantitative, and mixed methods </w:t>
      </w:r>
      <w:proofErr w:type="gramStart"/>
      <w:r w:rsidRPr="007F02A1">
        <w:rPr>
          <w:rStyle w:val="Emphasis"/>
          <w:color w:val="000000" w:themeColor="text1"/>
          <w:sz w:val="20"/>
          <w:szCs w:val="20"/>
        </w:rPr>
        <w:t>approaches</w:t>
      </w:r>
      <w:proofErr w:type="gramEnd"/>
      <w:r w:rsidRPr="007F02A1">
        <w:rPr>
          <w:color w:val="000000" w:themeColor="text1"/>
          <w:sz w:val="20"/>
          <w:szCs w:val="20"/>
        </w:rPr>
        <w:t xml:space="preserve"> (3rd ed.). Sage.</w:t>
      </w:r>
    </w:p>
    <w:p w14:paraId="27DBCC90" w14:textId="33EDA3CA" w:rsidR="007F02A1" w:rsidRPr="007F02A1" w:rsidRDefault="007F02A1" w:rsidP="007F02A1">
      <w:pPr>
        <w:spacing w:after="0" w:line="240" w:lineRule="auto"/>
        <w:ind w:left="432" w:hanging="432"/>
        <w:jc w:val="both"/>
        <w:rPr>
          <w:color w:val="000000" w:themeColor="text1"/>
          <w:sz w:val="20"/>
          <w:szCs w:val="20"/>
        </w:rPr>
      </w:pPr>
      <w:r w:rsidRPr="007F02A1">
        <w:rPr>
          <w:color w:val="000000" w:themeColor="text1"/>
          <w:sz w:val="20"/>
          <w:szCs w:val="20"/>
        </w:rPr>
        <w:t xml:space="preserve">Foucault, M. (1980). </w:t>
      </w:r>
      <w:r w:rsidRPr="007F02A1">
        <w:rPr>
          <w:rStyle w:val="Emphasis"/>
          <w:color w:val="000000" w:themeColor="text1"/>
          <w:sz w:val="20"/>
          <w:szCs w:val="20"/>
        </w:rPr>
        <w:t>Power/knowledge: Selected interviews and other writings 1972–1977</w:t>
      </w:r>
      <w:r w:rsidRPr="007F02A1">
        <w:rPr>
          <w:color w:val="000000" w:themeColor="text1"/>
          <w:sz w:val="20"/>
          <w:szCs w:val="20"/>
        </w:rPr>
        <w:t>. Pantheon.</w:t>
      </w:r>
    </w:p>
    <w:p w14:paraId="36436D9B" w14:textId="77777777" w:rsidR="007F02A1" w:rsidRPr="007F02A1" w:rsidRDefault="007F02A1" w:rsidP="007F02A1">
      <w:pPr>
        <w:pStyle w:val="NormalWeb"/>
        <w:spacing w:before="0" w:beforeAutospacing="0" w:after="0" w:afterAutospacing="0"/>
        <w:ind w:left="709" w:hanging="720"/>
        <w:jc w:val="both"/>
        <w:rPr>
          <w:color w:val="000000" w:themeColor="text1"/>
          <w:sz w:val="20"/>
          <w:szCs w:val="20"/>
        </w:rPr>
      </w:pPr>
      <w:r w:rsidRPr="007F02A1">
        <w:rPr>
          <w:color w:val="000000" w:themeColor="text1"/>
          <w:sz w:val="20"/>
          <w:szCs w:val="20"/>
        </w:rPr>
        <w:t xml:space="preserve">Foucault, M. (1982). The subject and power. </w:t>
      </w:r>
      <w:r w:rsidRPr="007F02A1">
        <w:rPr>
          <w:rStyle w:val="Emphasis"/>
          <w:color w:val="000000" w:themeColor="text1"/>
          <w:sz w:val="20"/>
          <w:szCs w:val="20"/>
        </w:rPr>
        <w:t>Critical Inquiry, 8</w:t>
      </w:r>
      <w:r w:rsidRPr="007F02A1">
        <w:rPr>
          <w:color w:val="000000" w:themeColor="text1"/>
          <w:sz w:val="20"/>
          <w:szCs w:val="20"/>
        </w:rPr>
        <w:t>(4), 777–795.</w:t>
      </w:r>
    </w:p>
    <w:p w14:paraId="53D09D1D" w14:textId="77777777" w:rsidR="007F02A1" w:rsidRPr="007F02A1" w:rsidRDefault="007F02A1" w:rsidP="007F02A1">
      <w:pPr>
        <w:pStyle w:val="NormalWeb"/>
        <w:spacing w:before="0" w:beforeAutospacing="0" w:after="0" w:afterAutospacing="0"/>
        <w:ind w:left="709" w:hanging="720"/>
        <w:jc w:val="both"/>
        <w:rPr>
          <w:color w:val="000000" w:themeColor="text1"/>
          <w:sz w:val="20"/>
          <w:szCs w:val="20"/>
        </w:rPr>
      </w:pPr>
      <w:r w:rsidRPr="007F02A1">
        <w:rPr>
          <w:color w:val="000000" w:themeColor="text1"/>
          <w:sz w:val="20"/>
          <w:szCs w:val="20"/>
        </w:rPr>
        <w:t xml:space="preserve">Freire, P. (2000). </w:t>
      </w:r>
      <w:r w:rsidRPr="007F02A1">
        <w:rPr>
          <w:rStyle w:val="Emphasis"/>
          <w:color w:val="000000" w:themeColor="text1"/>
          <w:sz w:val="20"/>
          <w:szCs w:val="20"/>
        </w:rPr>
        <w:t>Pedagogy of the oppressed</w:t>
      </w:r>
      <w:r w:rsidRPr="007F02A1">
        <w:rPr>
          <w:color w:val="000000" w:themeColor="text1"/>
          <w:sz w:val="20"/>
          <w:szCs w:val="20"/>
        </w:rPr>
        <w:t>. Continuum. (Original work published 1970)</w:t>
      </w:r>
    </w:p>
    <w:p w14:paraId="05283828" w14:textId="77777777" w:rsidR="007F02A1" w:rsidRPr="007F02A1" w:rsidRDefault="007F02A1" w:rsidP="007F02A1">
      <w:pPr>
        <w:pStyle w:val="NormalWeb"/>
        <w:spacing w:before="0" w:beforeAutospacing="0" w:after="0" w:afterAutospacing="0"/>
        <w:ind w:left="709" w:hanging="720"/>
        <w:jc w:val="both"/>
        <w:rPr>
          <w:color w:val="000000" w:themeColor="text1"/>
          <w:sz w:val="20"/>
          <w:szCs w:val="20"/>
        </w:rPr>
      </w:pPr>
      <w:r w:rsidRPr="007F02A1">
        <w:rPr>
          <w:color w:val="000000" w:themeColor="text1"/>
          <w:sz w:val="20"/>
          <w:szCs w:val="20"/>
        </w:rPr>
        <w:t xml:space="preserve">Irawan, A. W. (2025). </w:t>
      </w:r>
      <w:proofErr w:type="spellStart"/>
      <w:r w:rsidRPr="007F02A1">
        <w:rPr>
          <w:rStyle w:val="Emphasis"/>
          <w:color w:val="000000" w:themeColor="text1"/>
          <w:sz w:val="20"/>
          <w:szCs w:val="20"/>
        </w:rPr>
        <w:t>Kerangka</w:t>
      </w:r>
      <w:proofErr w:type="spellEnd"/>
      <w:r w:rsidRPr="007F02A1">
        <w:rPr>
          <w:rStyle w:val="Emphasis"/>
          <w:color w:val="000000" w:themeColor="text1"/>
          <w:sz w:val="20"/>
          <w:szCs w:val="20"/>
        </w:rPr>
        <w:t xml:space="preserve"> </w:t>
      </w:r>
      <w:proofErr w:type="spellStart"/>
      <w:r w:rsidRPr="007F02A1">
        <w:rPr>
          <w:rStyle w:val="Emphasis"/>
          <w:color w:val="000000" w:themeColor="text1"/>
          <w:sz w:val="20"/>
          <w:szCs w:val="20"/>
        </w:rPr>
        <w:t>kerja</w:t>
      </w:r>
      <w:proofErr w:type="spellEnd"/>
      <w:r w:rsidRPr="007F02A1">
        <w:rPr>
          <w:rStyle w:val="Emphasis"/>
          <w:color w:val="000000" w:themeColor="text1"/>
          <w:sz w:val="20"/>
          <w:szCs w:val="20"/>
        </w:rPr>
        <w:t xml:space="preserve"> </w:t>
      </w:r>
      <w:proofErr w:type="spellStart"/>
      <w:r w:rsidRPr="007F02A1">
        <w:rPr>
          <w:rStyle w:val="Emphasis"/>
          <w:color w:val="000000" w:themeColor="text1"/>
          <w:sz w:val="20"/>
          <w:szCs w:val="20"/>
        </w:rPr>
        <w:t>bimbingan</w:t>
      </w:r>
      <w:proofErr w:type="spellEnd"/>
      <w:r w:rsidRPr="007F02A1">
        <w:rPr>
          <w:rStyle w:val="Emphasis"/>
          <w:color w:val="000000" w:themeColor="text1"/>
          <w:sz w:val="20"/>
          <w:szCs w:val="20"/>
        </w:rPr>
        <w:t xml:space="preserve"> </w:t>
      </w:r>
      <w:proofErr w:type="spellStart"/>
      <w:r w:rsidRPr="007F02A1">
        <w:rPr>
          <w:rStyle w:val="Emphasis"/>
          <w:color w:val="000000" w:themeColor="text1"/>
          <w:sz w:val="20"/>
          <w:szCs w:val="20"/>
        </w:rPr>
        <w:t>berbasis</w:t>
      </w:r>
      <w:proofErr w:type="spellEnd"/>
      <w:r w:rsidRPr="007F02A1">
        <w:rPr>
          <w:rStyle w:val="Emphasis"/>
          <w:color w:val="000000" w:themeColor="text1"/>
          <w:sz w:val="20"/>
          <w:szCs w:val="20"/>
        </w:rPr>
        <w:t xml:space="preserve"> </w:t>
      </w:r>
      <w:proofErr w:type="spellStart"/>
      <w:r w:rsidRPr="007F02A1">
        <w:rPr>
          <w:rStyle w:val="Emphasis"/>
          <w:color w:val="000000" w:themeColor="text1"/>
          <w:sz w:val="20"/>
          <w:szCs w:val="20"/>
        </w:rPr>
        <w:t>pedagogi</w:t>
      </w:r>
      <w:proofErr w:type="spellEnd"/>
      <w:r w:rsidRPr="007F02A1">
        <w:rPr>
          <w:rStyle w:val="Emphasis"/>
          <w:color w:val="000000" w:themeColor="text1"/>
          <w:sz w:val="20"/>
          <w:szCs w:val="20"/>
        </w:rPr>
        <w:t xml:space="preserve"> </w:t>
      </w:r>
      <w:proofErr w:type="spellStart"/>
      <w:r w:rsidRPr="007F02A1">
        <w:rPr>
          <w:rStyle w:val="Emphasis"/>
          <w:color w:val="000000" w:themeColor="text1"/>
          <w:sz w:val="20"/>
          <w:szCs w:val="20"/>
        </w:rPr>
        <w:t>kritis</w:t>
      </w:r>
      <w:proofErr w:type="spellEnd"/>
      <w:r w:rsidRPr="007F02A1">
        <w:rPr>
          <w:rStyle w:val="Emphasis"/>
          <w:color w:val="000000" w:themeColor="text1"/>
          <w:sz w:val="20"/>
          <w:szCs w:val="20"/>
        </w:rPr>
        <w:t xml:space="preserve"> </w:t>
      </w:r>
      <w:proofErr w:type="spellStart"/>
      <w:r w:rsidRPr="007F02A1">
        <w:rPr>
          <w:rStyle w:val="Emphasis"/>
          <w:color w:val="000000" w:themeColor="text1"/>
          <w:sz w:val="20"/>
          <w:szCs w:val="20"/>
        </w:rPr>
        <w:t>untuk</w:t>
      </w:r>
      <w:proofErr w:type="spellEnd"/>
      <w:r w:rsidRPr="007F02A1">
        <w:rPr>
          <w:rStyle w:val="Emphasis"/>
          <w:color w:val="000000" w:themeColor="text1"/>
          <w:sz w:val="20"/>
          <w:szCs w:val="20"/>
        </w:rPr>
        <w:t xml:space="preserve"> </w:t>
      </w:r>
      <w:proofErr w:type="spellStart"/>
      <w:r w:rsidRPr="007F02A1">
        <w:rPr>
          <w:rStyle w:val="Emphasis"/>
          <w:color w:val="000000" w:themeColor="text1"/>
          <w:sz w:val="20"/>
          <w:szCs w:val="20"/>
        </w:rPr>
        <w:t>menangani</w:t>
      </w:r>
      <w:proofErr w:type="spellEnd"/>
      <w:r w:rsidRPr="007F02A1">
        <w:rPr>
          <w:rStyle w:val="Emphasis"/>
          <w:color w:val="000000" w:themeColor="text1"/>
          <w:sz w:val="20"/>
          <w:szCs w:val="20"/>
        </w:rPr>
        <w:t xml:space="preserve"> </w:t>
      </w:r>
      <w:proofErr w:type="spellStart"/>
      <w:r w:rsidRPr="007F02A1">
        <w:rPr>
          <w:rStyle w:val="Emphasis"/>
          <w:color w:val="000000" w:themeColor="text1"/>
          <w:sz w:val="20"/>
          <w:szCs w:val="20"/>
        </w:rPr>
        <w:t>mikroagresi</w:t>
      </w:r>
      <w:proofErr w:type="spellEnd"/>
      <w:r w:rsidRPr="007F02A1">
        <w:rPr>
          <w:rStyle w:val="Emphasis"/>
          <w:color w:val="000000" w:themeColor="text1"/>
          <w:sz w:val="20"/>
          <w:szCs w:val="20"/>
        </w:rPr>
        <w:t xml:space="preserve"> gender pada </w:t>
      </w:r>
      <w:proofErr w:type="spellStart"/>
      <w:r w:rsidRPr="007F02A1">
        <w:rPr>
          <w:rStyle w:val="Emphasis"/>
          <w:color w:val="000000" w:themeColor="text1"/>
          <w:sz w:val="20"/>
          <w:szCs w:val="20"/>
        </w:rPr>
        <w:t>mahasiswa</w:t>
      </w:r>
      <w:proofErr w:type="spellEnd"/>
      <w:r w:rsidRPr="007F02A1">
        <w:rPr>
          <w:rStyle w:val="Emphasis"/>
          <w:color w:val="000000" w:themeColor="text1"/>
          <w:sz w:val="20"/>
          <w:szCs w:val="20"/>
        </w:rPr>
        <w:t xml:space="preserve"> </w:t>
      </w:r>
      <w:proofErr w:type="spellStart"/>
      <w:r w:rsidRPr="007F02A1">
        <w:rPr>
          <w:rStyle w:val="Emphasis"/>
          <w:color w:val="000000" w:themeColor="text1"/>
          <w:sz w:val="20"/>
          <w:szCs w:val="20"/>
        </w:rPr>
        <w:t>melalui</w:t>
      </w:r>
      <w:proofErr w:type="spellEnd"/>
      <w:r w:rsidRPr="007F02A1">
        <w:rPr>
          <w:rStyle w:val="Emphasis"/>
          <w:color w:val="000000" w:themeColor="text1"/>
          <w:sz w:val="20"/>
          <w:szCs w:val="20"/>
        </w:rPr>
        <w:t xml:space="preserve"> </w:t>
      </w:r>
      <w:proofErr w:type="spellStart"/>
      <w:r w:rsidRPr="007F02A1">
        <w:rPr>
          <w:rStyle w:val="Emphasis"/>
          <w:color w:val="000000" w:themeColor="text1"/>
          <w:sz w:val="20"/>
          <w:szCs w:val="20"/>
        </w:rPr>
        <w:t>analisis</w:t>
      </w:r>
      <w:proofErr w:type="spellEnd"/>
      <w:r w:rsidRPr="007F02A1">
        <w:rPr>
          <w:rStyle w:val="Emphasis"/>
          <w:color w:val="000000" w:themeColor="text1"/>
          <w:sz w:val="20"/>
          <w:szCs w:val="20"/>
        </w:rPr>
        <w:t xml:space="preserve"> </w:t>
      </w:r>
      <w:proofErr w:type="spellStart"/>
      <w:r w:rsidRPr="007F02A1">
        <w:rPr>
          <w:rStyle w:val="Emphasis"/>
          <w:color w:val="000000" w:themeColor="text1"/>
          <w:sz w:val="20"/>
          <w:szCs w:val="20"/>
        </w:rPr>
        <w:t>wacana</w:t>
      </w:r>
      <w:proofErr w:type="spellEnd"/>
      <w:r w:rsidRPr="007F02A1">
        <w:rPr>
          <w:rStyle w:val="Emphasis"/>
          <w:color w:val="000000" w:themeColor="text1"/>
          <w:sz w:val="20"/>
          <w:szCs w:val="20"/>
        </w:rPr>
        <w:t xml:space="preserve"> Michel Foucault</w:t>
      </w:r>
      <w:r w:rsidRPr="007F02A1">
        <w:rPr>
          <w:color w:val="000000" w:themeColor="text1"/>
          <w:sz w:val="20"/>
          <w:szCs w:val="20"/>
        </w:rPr>
        <w:t xml:space="preserve"> [Dissertation, Universitas Pendidikan Indonesia].</w:t>
      </w:r>
    </w:p>
    <w:p w14:paraId="72FF091B" w14:textId="77777777" w:rsidR="007F02A1" w:rsidRPr="007F02A1" w:rsidRDefault="007F02A1" w:rsidP="007F02A1">
      <w:pPr>
        <w:pStyle w:val="NormalWeb"/>
        <w:spacing w:before="0" w:beforeAutospacing="0" w:after="0" w:afterAutospacing="0"/>
        <w:ind w:left="709" w:hanging="720"/>
        <w:jc w:val="both"/>
        <w:rPr>
          <w:color w:val="000000" w:themeColor="text1"/>
          <w:sz w:val="20"/>
          <w:szCs w:val="20"/>
        </w:rPr>
      </w:pPr>
      <w:r w:rsidRPr="007F02A1">
        <w:rPr>
          <w:color w:val="000000" w:themeColor="text1"/>
          <w:sz w:val="20"/>
          <w:szCs w:val="20"/>
        </w:rPr>
        <w:t xml:space="preserve">Irawan, A. W., Habsy, B. A., &amp; </w:t>
      </w:r>
      <w:proofErr w:type="spellStart"/>
      <w:r w:rsidRPr="007F02A1">
        <w:rPr>
          <w:color w:val="000000" w:themeColor="text1"/>
          <w:sz w:val="20"/>
          <w:szCs w:val="20"/>
        </w:rPr>
        <w:t>Amedome</w:t>
      </w:r>
      <w:proofErr w:type="spellEnd"/>
      <w:r w:rsidRPr="007F02A1">
        <w:rPr>
          <w:color w:val="000000" w:themeColor="text1"/>
          <w:sz w:val="20"/>
          <w:szCs w:val="20"/>
        </w:rPr>
        <w:t xml:space="preserve">, S. N. (2025). Non-neutral </w:t>
      </w:r>
      <w:proofErr w:type="spellStart"/>
      <w:r w:rsidRPr="007F02A1">
        <w:rPr>
          <w:color w:val="000000" w:themeColor="text1"/>
          <w:sz w:val="20"/>
          <w:szCs w:val="20"/>
        </w:rPr>
        <w:t>counseling</w:t>
      </w:r>
      <w:proofErr w:type="spellEnd"/>
      <w:r w:rsidRPr="007F02A1">
        <w:rPr>
          <w:color w:val="000000" w:themeColor="text1"/>
          <w:sz w:val="20"/>
          <w:szCs w:val="20"/>
        </w:rPr>
        <w:t xml:space="preserve"> and guidance services: Understanding forms of gender microaggressions in schools. </w:t>
      </w:r>
      <w:proofErr w:type="spellStart"/>
      <w:r w:rsidRPr="007F02A1">
        <w:rPr>
          <w:rStyle w:val="Emphasis"/>
          <w:color w:val="000000" w:themeColor="text1"/>
          <w:sz w:val="20"/>
          <w:szCs w:val="20"/>
        </w:rPr>
        <w:t>Pamomong</w:t>
      </w:r>
      <w:proofErr w:type="spellEnd"/>
      <w:r w:rsidRPr="007F02A1">
        <w:rPr>
          <w:rStyle w:val="Emphasis"/>
          <w:color w:val="000000" w:themeColor="text1"/>
          <w:sz w:val="20"/>
          <w:szCs w:val="20"/>
        </w:rPr>
        <w:t xml:space="preserve">: Journal of Islamic Educational </w:t>
      </w:r>
      <w:proofErr w:type="spellStart"/>
      <w:r w:rsidRPr="007F02A1">
        <w:rPr>
          <w:rStyle w:val="Emphasis"/>
          <w:color w:val="000000" w:themeColor="text1"/>
          <w:sz w:val="20"/>
          <w:szCs w:val="20"/>
        </w:rPr>
        <w:t>Counseling</w:t>
      </w:r>
      <w:proofErr w:type="spellEnd"/>
      <w:r w:rsidRPr="007F02A1">
        <w:rPr>
          <w:rStyle w:val="Emphasis"/>
          <w:color w:val="000000" w:themeColor="text1"/>
          <w:sz w:val="20"/>
          <w:szCs w:val="20"/>
        </w:rPr>
        <w:t>, 6</w:t>
      </w:r>
      <w:r w:rsidRPr="007F02A1">
        <w:rPr>
          <w:color w:val="000000" w:themeColor="text1"/>
          <w:sz w:val="20"/>
          <w:szCs w:val="20"/>
        </w:rPr>
        <w:t>(1), 104–123.</w:t>
      </w:r>
    </w:p>
    <w:p w14:paraId="3D0D41F3" w14:textId="77777777" w:rsidR="007F02A1" w:rsidRPr="007F02A1" w:rsidRDefault="007F02A1" w:rsidP="007F02A1">
      <w:pPr>
        <w:pStyle w:val="NormalWeb"/>
        <w:spacing w:before="0" w:beforeAutospacing="0" w:after="0" w:afterAutospacing="0"/>
        <w:ind w:left="709" w:hanging="720"/>
        <w:jc w:val="both"/>
        <w:rPr>
          <w:color w:val="000000" w:themeColor="text1"/>
          <w:sz w:val="20"/>
          <w:szCs w:val="20"/>
        </w:rPr>
      </w:pPr>
      <w:r w:rsidRPr="007F02A1">
        <w:rPr>
          <w:color w:val="000000" w:themeColor="text1"/>
          <w:sz w:val="20"/>
          <w:szCs w:val="20"/>
        </w:rPr>
        <w:t xml:space="preserve">Merriam, S. B., &amp; Tisdell, E. J. (2016). </w:t>
      </w:r>
      <w:r w:rsidRPr="007F02A1">
        <w:rPr>
          <w:rStyle w:val="Emphasis"/>
          <w:color w:val="000000" w:themeColor="text1"/>
          <w:sz w:val="20"/>
          <w:szCs w:val="20"/>
        </w:rPr>
        <w:t>Qualitative research: A guide to design and implementation</w:t>
      </w:r>
      <w:r w:rsidRPr="007F02A1">
        <w:rPr>
          <w:color w:val="000000" w:themeColor="text1"/>
          <w:sz w:val="20"/>
          <w:szCs w:val="20"/>
        </w:rPr>
        <w:t xml:space="preserve"> (4th ed.). Jossey-Bass.</w:t>
      </w:r>
    </w:p>
    <w:p w14:paraId="40A7EBE8" w14:textId="77777777" w:rsidR="007F02A1" w:rsidRPr="007F02A1" w:rsidRDefault="007F02A1" w:rsidP="007F02A1">
      <w:pPr>
        <w:pStyle w:val="NormalWeb"/>
        <w:spacing w:before="0" w:beforeAutospacing="0" w:after="0" w:afterAutospacing="0"/>
        <w:ind w:left="709" w:hanging="720"/>
        <w:jc w:val="both"/>
        <w:rPr>
          <w:color w:val="000000" w:themeColor="text1"/>
          <w:sz w:val="20"/>
          <w:szCs w:val="20"/>
        </w:rPr>
      </w:pPr>
      <w:r w:rsidRPr="007F02A1">
        <w:rPr>
          <w:color w:val="000000" w:themeColor="text1"/>
          <w:sz w:val="20"/>
          <w:szCs w:val="20"/>
        </w:rPr>
        <w:t xml:space="preserve">Nadal, K. L., Issa, M. A., Leon, J., </w:t>
      </w:r>
      <w:proofErr w:type="spellStart"/>
      <w:r w:rsidRPr="007F02A1">
        <w:rPr>
          <w:color w:val="000000" w:themeColor="text1"/>
          <w:sz w:val="20"/>
          <w:szCs w:val="20"/>
        </w:rPr>
        <w:t>Meterko</w:t>
      </w:r>
      <w:proofErr w:type="spellEnd"/>
      <w:r w:rsidRPr="007F02A1">
        <w:rPr>
          <w:color w:val="000000" w:themeColor="text1"/>
          <w:sz w:val="20"/>
          <w:szCs w:val="20"/>
        </w:rPr>
        <w:t xml:space="preserve">, V., Wideman, M., &amp; Wong, Y. (2011). Sexual orientation microaggressions: “Death by a thousand cuts” for lesbian, gay, and bisexual youth. </w:t>
      </w:r>
      <w:r w:rsidRPr="007F02A1">
        <w:rPr>
          <w:rStyle w:val="Emphasis"/>
          <w:color w:val="000000" w:themeColor="text1"/>
          <w:sz w:val="20"/>
          <w:szCs w:val="20"/>
        </w:rPr>
        <w:t>Journal of LGBT Youth, 8</w:t>
      </w:r>
      <w:r w:rsidRPr="007F02A1">
        <w:rPr>
          <w:color w:val="000000" w:themeColor="text1"/>
          <w:sz w:val="20"/>
          <w:szCs w:val="20"/>
        </w:rPr>
        <w:t>(3), 234–259.</w:t>
      </w:r>
    </w:p>
    <w:p w14:paraId="0511FAF4" w14:textId="77777777" w:rsidR="007F02A1" w:rsidRPr="007F02A1" w:rsidRDefault="007F02A1" w:rsidP="007F02A1">
      <w:pPr>
        <w:pStyle w:val="NormalWeb"/>
        <w:spacing w:before="0" w:beforeAutospacing="0" w:after="0" w:afterAutospacing="0"/>
        <w:ind w:left="709" w:hanging="720"/>
        <w:jc w:val="both"/>
        <w:rPr>
          <w:color w:val="000000" w:themeColor="text1"/>
          <w:sz w:val="20"/>
          <w:szCs w:val="20"/>
        </w:rPr>
      </w:pPr>
      <w:r w:rsidRPr="007F02A1">
        <w:rPr>
          <w:color w:val="000000" w:themeColor="text1"/>
          <w:sz w:val="20"/>
          <w:szCs w:val="20"/>
        </w:rPr>
        <w:t xml:space="preserve">Patton, M. Q. (2015). </w:t>
      </w:r>
      <w:r w:rsidRPr="007F02A1">
        <w:rPr>
          <w:rStyle w:val="Emphasis"/>
          <w:color w:val="000000" w:themeColor="text1"/>
          <w:sz w:val="20"/>
          <w:szCs w:val="20"/>
        </w:rPr>
        <w:t>Qualitative research and evaluation methods</w:t>
      </w:r>
      <w:r w:rsidRPr="007F02A1">
        <w:rPr>
          <w:color w:val="000000" w:themeColor="text1"/>
          <w:sz w:val="20"/>
          <w:szCs w:val="20"/>
        </w:rPr>
        <w:t xml:space="preserve"> (4th ed.). Sage.</w:t>
      </w:r>
    </w:p>
    <w:p w14:paraId="1DD503B0" w14:textId="77777777" w:rsidR="007F02A1" w:rsidRPr="007F02A1" w:rsidRDefault="007F02A1" w:rsidP="007F02A1">
      <w:pPr>
        <w:pStyle w:val="NormalWeb"/>
        <w:spacing w:before="0" w:beforeAutospacing="0" w:after="0" w:afterAutospacing="0"/>
        <w:ind w:left="709" w:hanging="720"/>
        <w:jc w:val="both"/>
        <w:rPr>
          <w:color w:val="000000" w:themeColor="text1"/>
          <w:sz w:val="20"/>
          <w:szCs w:val="20"/>
        </w:rPr>
      </w:pPr>
      <w:r w:rsidRPr="007F02A1">
        <w:rPr>
          <w:color w:val="000000" w:themeColor="text1"/>
          <w:sz w:val="20"/>
          <w:szCs w:val="20"/>
        </w:rPr>
        <w:t xml:space="preserve">Rafli, M., Latif, S., &amp; Umar, N. F. (2023). </w:t>
      </w:r>
      <w:proofErr w:type="spellStart"/>
      <w:r w:rsidRPr="007F02A1">
        <w:rPr>
          <w:color w:val="000000" w:themeColor="text1"/>
          <w:sz w:val="20"/>
          <w:szCs w:val="20"/>
        </w:rPr>
        <w:t>Pengembangan</w:t>
      </w:r>
      <w:proofErr w:type="spellEnd"/>
      <w:r w:rsidRPr="007F02A1">
        <w:rPr>
          <w:color w:val="000000" w:themeColor="text1"/>
          <w:sz w:val="20"/>
          <w:szCs w:val="20"/>
        </w:rPr>
        <w:t xml:space="preserve"> </w:t>
      </w:r>
      <w:proofErr w:type="spellStart"/>
      <w:r w:rsidRPr="007F02A1">
        <w:rPr>
          <w:color w:val="000000" w:themeColor="text1"/>
          <w:sz w:val="20"/>
          <w:szCs w:val="20"/>
        </w:rPr>
        <w:t>panduan</w:t>
      </w:r>
      <w:proofErr w:type="spellEnd"/>
      <w:r w:rsidRPr="007F02A1">
        <w:rPr>
          <w:color w:val="000000" w:themeColor="text1"/>
          <w:sz w:val="20"/>
          <w:szCs w:val="20"/>
        </w:rPr>
        <w:t xml:space="preserve"> digital </w:t>
      </w:r>
      <w:proofErr w:type="spellStart"/>
      <w:r w:rsidRPr="007F02A1">
        <w:rPr>
          <w:color w:val="000000" w:themeColor="text1"/>
          <w:sz w:val="20"/>
          <w:szCs w:val="20"/>
        </w:rPr>
        <w:t>berbasis</w:t>
      </w:r>
      <w:proofErr w:type="spellEnd"/>
      <w:r w:rsidRPr="007F02A1">
        <w:rPr>
          <w:color w:val="000000" w:themeColor="text1"/>
          <w:sz w:val="20"/>
          <w:szCs w:val="20"/>
        </w:rPr>
        <w:t xml:space="preserve"> </w:t>
      </w:r>
      <w:proofErr w:type="spellStart"/>
      <w:r w:rsidRPr="007F02A1">
        <w:rPr>
          <w:color w:val="000000" w:themeColor="text1"/>
          <w:sz w:val="20"/>
          <w:szCs w:val="20"/>
        </w:rPr>
        <w:t>klarifikasi</w:t>
      </w:r>
      <w:proofErr w:type="spellEnd"/>
      <w:r w:rsidRPr="007F02A1">
        <w:rPr>
          <w:color w:val="000000" w:themeColor="text1"/>
          <w:sz w:val="20"/>
          <w:szCs w:val="20"/>
        </w:rPr>
        <w:t xml:space="preserve"> </w:t>
      </w:r>
      <w:proofErr w:type="spellStart"/>
      <w:r w:rsidRPr="007F02A1">
        <w:rPr>
          <w:color w:val="000000" w:themeColor="text1"/>
          <w:sz w:val="20"/>
          <w:szCs w:val="20"/>
        </w:rPr>
        <w:t>nilai</w:t>
      </w:r>
      <w:proofErr w:type="spellEnd"/>
      <w:r w:rsidRPr="007F02A1">
        <w:rPr>
          <w:color w:val="000000" w:themeColor="text1"/>
          <w:sz w:val="20"/>
          <w:szCs w:val="20"/>
        </w:rPr>
        <w:t xml:space="preserve"> </w:t>
      </w:r>
      <w:proofErr w:type="spellStart"/>
      <w:r w:rsidRPr="007F02A1">
        <w:rPr>
          <w:color w:val="000000" w:themeColor="text1"/>
          <w:sz w:val="20"/>
          <w:szCs w:val="20"/>
        </w:rPr>
        <w:t>empatik</w:t>
      </w:r>
      <w:proofErr w:type="spellEnd"/>
      <w:r w:rsidRPr="007F02A1">
        <w:rPr>
          <w:color w:val="000000" w:themeColor="text1"/>
          <w:sz w:val="20"/>
          <w:szCs w:val="20"/>
        </w:rPr>
        <w:t xml:space="preserve"> </w:t>
      </w:r>
      <w:proofErr w:type="spellStart"/>
      <w:r w:rsidRPr="007F02A1">
        <w:rPr>
          <w:color w:val="000000" w:themeColor="text1"/>
          <w:sz w:val="20"/>
          <w:szCs w:val="20"/>
        </w:rPr>
        <w:t>pencegahan</w:t>
      </w:r>
      <w:proofErr w:type="spellEnd"/>
      <w:r w:rsidRPr="007F02A1">
        <w:rPr>
          <w:color w:val="000000" w:themeColor="text1"/>
          <w:sz w:val="20"/>
          <w:szCs w:val="20"/>
        </w:rPr>
        <w:t xml:space="preserve"> </w:t>
      </w:r>
      <w:proofErr w:type="spellStart"/>
      <w:r w:rsidRPr="007F02A1">
        <w:rPr>
          <w:color w:val="000000" w:themeColor="text1"/>
          <w:sz w:val="20"/>
          <w:szCs w:val="20"/>
        </w:rPr>
        <w:t>mikroagresi</w:t>
      </w:r>
      <w:proofErr w:type="spellEnd"/>
      <w:r w:rsidRPr="007F02A1">
        <w:rPr>
          <w:color w:val="000000" w:themeColor="text1"/>
          <w:sz w:val="20"/>
          <w:szCs w:val="20"/>
        </w:rPr>
        <w:t xml:space="preserve"> bias gender guru di </w:t>
      </w:r>
      <w:proofErr w:type="spellStart"/>
      <w:r w:rsidRPr="007F02A1">
        <w:rPr>
          <w:color w:val="000000" w:themeColor="text1"/>
          <w:sz w:val="20"/>
          <w:szCs w:val="20"/>
        </w:rPr>
        <w:t>sekolah</w:t>
      </w:r>
      <w:proofErr w:type="spellEnd"/>
      <w:r w:rsidRPr="007F02A1">
        <w:rPr>
          <w:color w:val="000000" w:themeColor="text1"/>
          <w:sz w:val="20"/>
          <w:szCs w:val="20"/>
        </w:rPr>
        <w:t xml:space="preserve"> </w:t>
      </w:r>
      <w:proofErr w:type="spellStart"/>
      <w:r w:rsidRPr="007F02A1">
        <w:rPr>
          <w:color w:val="000000" w:themeColor="text1"/>
          <w:sz w:val="20"/>
          <w:szCs w:val="20"/>
        </w:rPr>
        <w:t>dasar</w:t>
      </w:r>
      <w:proofErr w:type="spellEnd"/>
      <w:r w:rsidRPr="007F02A1">
        <w:rPr>
          <w:color w:val="000000" w:themeColor="text1"/>
          <w:sz w:val="20"/>
          <w:szCs w:val="20"/>
        </w:rPr>
        <w:t xml:space="preserve">. </w:t>
      </w:r>
      <w:r w:rsidRPr="007F02A1">
        <w:rPr>
          <w:rStyle w:val="Emphasis"/>
          <w:color w:val="000000" w:themeColor="text1"/>
          <w:sz w:val="20"/>
          <w:szCs w:val="20"/>
        </w:rPr>
        <w:t xml:space="preserve">Indonesian Journal of Educational </w:t>
      </w:r>
      <w:proofErr w:type="spellStart"/>
      <w:r w:rsidRPr="007F02A1">
        <w:rPr>
          <w:rStyle w:val="Emphasis"/>
          <w:color w:val="000000" w:themeColor="text1"/>
          <w:sz w:val="20"/>
          <w:szCs w:val="20"/>
        </w:rPr>
        <w:t>Counseling</w:t>
      </w:r>
      <w:proofErr w:type="spellEnd"/>
      <w:r w:rsidRPr="007F02A1">
        <w:rPr>
          <w:rStyle w:val="Emphasis"/>
          <w:color w:val="000000" w:themeColor="text1"/>
          <w:sz w:val="20"/>
          <w:szCs w:val="20"/>
        </w:rPr>
        <w:t>, 7</w:t>
      </w:r>
      <w:r w:rsidRPr="007F02A1">
        <w:rPr>
          <w:color w:val="000000" w:themeColor="text1"/>
          <w:sz w:val="20"/>
          <w:szCs w:val="20"/>
        </w:rPr>
        <w:t>(2), 286–296.</w:t>
      </w:r>
    </w:p>
    <w:p w14:paraId="0FFB2E63" w14:textId="77777777" w:rsidR="007F02A1" w:rsidRPr="007F02A1" w:rsidRDefault="007F02A1" w:rsidP="007F02A1">
      <w:pPr>
        <w:pStyle w:val="NormalWeb"/>
        <w:spacing w:before="0" w:beforeAutospacing="0" w:after="0" w:afterAutospacing="0"/>
        <w:ind w:left="709" w:hanging="720"/>
        <w:jc w:val="both"/>
        <w:rPr>
          <w:color w:val="000000" w:themeColor="text1"/>
          <w:sz w:val="20"/>
          <w:szCs w:val="20"/>
        </w:rPr>
      </w:pPr>
      <w:r w:rsidRPr="007F02A1">
        <w:rPr>
          <w:color w:val="000000" w:themeColor="text1"/>
          <w:sz w:val="20"/>
          <w:szCs w:val="20"/>
        </w:rPr>
        <w:t xml:space="preserve">Sue, D. W., Capodilupo, C. M., Torino, G. C., Bucceri, J. M. B., Holder, A. M. B., Nadal, K. L., &amp; Esquilin, M. (2007). Racial microaggressions in everyday life. </w:t>
      </w:r>
      <w:r w:rsidRPr="007F02A1">
        <w:rPr>
          <w:rStyle w:val="Emphasis"/>
          <w:color w:val="000000" w:themeColor="text1"/>
          <w:sz w:val="20"/>
          <w:szCs w:val="20"/>
        </w:rPr>
        <w:t>American Psychologist, 62</w:t>
      </w:r>
      <w:r w:rsidRPr="007F02A1">
        <w:rPr>
          <w:color w:val="000000" w:themeColor="text1"/>
          <w:sz w:val="20"/>
          <w:szCs w:val="20"/>
        </w:rPr>
        <w:t>(4), 271–286.</w:t>
      </w:r>
    </w:p>
    <w:p w14:paraId="322F4F54" w14:textId="77777777" w:rsidR="007F02A1" w:rsidRPr="007F02A1" w:rsidRDefault="007F02A1" w:rsidP="007F02A1">
      <w:pPr>
        <w:pStyle w:val="NormalWeb"/>
        <w:spacing w:before="0" w:beforeAutospacing="0" w:after="0" w:afterAutospacing="0"/>
        <w:ind w:left="709" w:hanging="720"/>
        <w:jc w:val="both"/>
        <w:rPr>
          <w:color w:val="000000" w:themeColor="text1"/>
          <w:sz w:val="20"/>
          <w:szCs w:val="20"/>
        </w:rPr>
      </w:pPr>
      <w:r w:rsidRPr="007F02A1">
        <w:rPr>
          <w:color w:val="000000" w:themeColor="text1"/>
          <w:sz w:val="20"/>
          <w:szCs w:val="20"/>
        </w:rPr>
        <w:t xml:space="preserve">Tracy, S. J. (2010). Qualitative quality: Eight “big-tent” criteria for excellent qualitative research. </w:t>
      </w:r>
      <w:r w:rsidRPr="007F02A1">
        <w:rPr>
          <w:rStyle w:val="Emphasis"/>
          <w:color w:val="000000" w:themeColor="text1"/>
          <w:sz w:val="20"/>
          <w:szCs w:val="20"/>
        </w:rPr>
        <w:t>Qualitative Inquiry, 16</w:t>
      </w:r>
      <w:r w:rsidRPr="007F02A1">
        <w:rPr>
          <w:color w:val="000000" w:themeColor="text1"/>
          <w:sz w:val="20"/>
          <w:szCs w:val="20"/>
        </w:rPr>
        <w:t>(10), 837–851.</w:t>
      </w:r>
    </w:p>
    <w:p w14:paraId="5C03084E" w14:textId="77777777" w:rsidR="007F02A1" w:rsidRPr="007F02A1" w:rsidRDefault="007F02A1" w:rsidP="007F02A1">
      <w:pPr>
        <w:pStyle w:val="NormalWeb"/>
        <w:spacing w:before="0" w:beforeAutospacing="0" w:after="0" w:afterAutospacing="0"/>
        <w:ind w:left="709" w:hanging="720"/>
        <w:jc w:val="both"/>
        <w:rPr>
          <w:color w:val="000000" w:themeColor="text1"/>
          <w:sz w:val="20"/>
          <w:szCs w:val="20"/>
        </w:rPr>
      </w:pPr>
      <w:r w:rsidRPr="007F02A1">
        <w:rPr>
          <w:color w:val="000000" w:themeColor="text1"/>
          <w:sz w:val="20"/>
          <w:szCs w:val="20"/>
        </w:rPr>
        <w:t xml:space="preserve">Willig, C. (2013). </w:t>
      </w:r>
      <w:r w:rsidRPr="007F02A1">
        <w:rPr>
          <w:rStyle w:val="Emphasis"/>
          <w:color w:val="000000" w:themeColor="text1"/>
          <w:sz w:val="20"/>
          <w:szCs w:val="20"/>
        </w:rPr>
        <w:t>Introducing qualitative research in psychology</w:t>
      </w:r>
      <w:r w:rsidRPr="007F02A1">
        <w:rPr>
          <w:color w:val="000000" w:themeColor="text1"/>
          <w:sz w:val="20"/>
          <w:szCs w:val="20"/>
        </w:rPr>
        <w:t xml:space="preserve"> (3rd ed.). Open University Press.</w:t>
      </w:r>
    </w:p>
    <w:p w14:paraId="0799D067" w14:textId="77777777" w:rsidR="007F02A1" w:rsidRPr="007F02A1" w:rsidRDefault="007F02A1" w:rsidP="007F02A1">
      <w:pPr>
        <w:spacing w:after="0" w:line="240" w:lineRule="auto"/>
        <w:ind w:left="709" w:hanging="720"/>
        <w:jc w:val="both"/>
        <w:rPr>
          <w:color w:val="000000" w:themeColor="text1"/>
          <w:sz w:val="20"/>
          <w:szCs w:val="20"/>
        </w:rPr>
      </w:pPr>
    </w:p>
    <w:sectPr w:rsidR="007F02A1" w:rsidRPr="007F02A1" w:rsidSect="00034616">
      <w:pgSz w:w="11906" w:h="16838"/>
      <w:pgMar w:top="964" w:right="907" w:bottom="964" w:left="90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40F46" w14:textId="77777777" w:rsidR="008D4B99" w:rsidRDefault="008D4B99">
      <w:pPr>
        <w:spacing w:after="0" w:line="240" w:lineRule="auto"/>
      </w:pPr>
      <w:r>
        <w:separator/>
      </w:r>
    </w:p>
  </w:endnote>
  <w:endnote w:type="continuationSeparator" w:id="0">
    <w:p w14:paraId="684A613D" w14:textId="77777777" w:rsidR="008D4B99" w:rsidRDefault="008D4B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06FB8" w14:textId="77777777" w:rsidR="008D4B99" w:rsidRDefault="008D4B99">
      <w:pPr>
        <w:spacing w:after="0" w:line="240" w:lineRule="auto"/>
      </w:pPr>
      <w:r>
        <w:separator/>
      </w:r>
    </w:p>
  </w:footnote>
  <w:footnote w:type="continuationSeparator" w:id="0">
    <w:p w14:paraId="32BF9CF9" w14:textId="77777777" w:rsidR="008D4B99" w:rsidRDefault="008D4B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8956787"/>
    <w:multiLevelType w:val="hybridMultilevel"/>
    <w:tmpl w:val="E08CECFE"/>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08B4634"/>
    <w:multiLevelType w:val="hybridMultilevel"/>
    <w:tmpl w:val="5FD61256"/>
    <w:lvl w:ilvl="0" w:tplc="87BA57D0">
      <w:start w:val="3"/>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13DC0441"/>
    <w:multiLevelType w:val="hybridMultilevel"/>
    <w:tmpl w:val="1FB0FA70"/>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C8748B6"/>
    <w:multiLevelType w:val="hybridMultilevel"/>
    <w:tmpl w:val="10BC44B2"/>
    <w:lvl w:ilvl="0" w:tplc="C0228D1E">
      <w:start w:val="1"/>
      <w:numFmt w:val="upperLetter"/>
      <w:lvlText w:val="%1."/>
      <w:lvlJc w:val="left"/>
      <w:pPr>
        <w:ind w:left="720" w:hanging="360"/>
      </w:pPr>
      <w:rPr>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2DA653E"/>
    <w:multiLevelType w:val="hybridMultilevel"/>
    <w:tmpl w:val="8C2C0608"/>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CBD3BE0"/>
    <w:multiLevelType w:val="hybridMultilevel"/>
    <w:tmpl w:val="6C124F82"/>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513F225A"/>
    <w:multiLevelType w:val="hybridMultilevel"/>
    <w:tmpl w:val="CC627F10"/>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7C2F59F8"/>
    <w:multiLevelType w:val="hybridMultilevel"/>
    <w:tmpl w:val="85C07578"/>
    <w:lvl w:ilvl="0" w:tplc="6CAA14D4">
      <w:start w:val="3"/>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2126464695">
    <w:abstractNumId w:val="8"/>
  </w:num>
  <w:num w:numId="2" w16cid:durableId="1301035165">
    <w:abstractNumId w:val="6"/>
  </w:num>
  <w:num w:numId="3" w16cid:durableId="2092849767">
    <w:abstractNumId w:val="5"/>
  </w:num>
  <w:num w:numId="4" w16cid:durableId="116027276">
    <w:abstractNumId w:val="4"/>
  </w:num>
  <w:num w:numId="5" w16cid:durableId="1648776229">
    <w:abstractNumId w:val="7"/>
  </w:num>
  <w:num w:numId="6" w16cid:durableId="893737778">
    <w:abstractNumId w:val="3"/>
  </w:num>
  <w:num w:numId="7" w16cid:durableId="1555432102">
    <w:abstractNumId w:val="2"/>
  </w:num>
  <w:num w:numId="8" w16cid:durableId="2099446661">
    <w:abstractNumId w:val="1"/>
  </w:num>
  <w:num w:numId="9" w16cid:durableId="1844008599">
    <w:abstractNumId w:val="0"/>
  </w:num>
  <w:num w:numId="10" w16cid:durableId="381369759">
    <w:abstractNumId w:val="7"/>
    <w:lvlOverride w:ilvl="0">
      <w:startOverride w:val="1"/>
    </w:lvlOverride>
  </w:num>
  <w:num w:numId="11" w16cid:durableId="67189249">
    <w:abstractNumId w:val="9"/>
  </w:num>
  <w:num w:numId="12" w16cid:durableId="981538895">
    <w:abstractNumId w:val="15"/>
  </w:num>
  <w:num w:numId="13" w16cid:durableId="1366827543">
    <w:abstractNumId w:val="11"/>
  </w:num>
  <w:num w:numId="14" w16cid:durableId="1275405872">
    <w:abstractNumId w:val="13"/>
  </w:num>
  <w:num w:numId="15" w16cid:durableId="2062288200">
    <w:abstractNumId w:val="10"/>
  </w:num>
  <w:num w:numId="16" w16cid:durableId="1341007732">
    <w:abstractNumId w:val="14"/>
  </w:num>
  <w:num w:numId="17" w16cid:durableId="79373935">
    <w:abstractNumId w:val="16"/>
  </w:num>
  <w:num w:numId="18" w16cid:durableId="17945942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rM0NTM2MbEwBiILQyUdpeDU4uLM/DyQAsNaAC4bz4UsAAAA"/>
  </w:docVars>
  <w:rsids>
    <w:rsidRoot w:val="00B47730"/>
    <w:rsid w:val="00034616"/>
    <w:rsid w:val="00052C68"/>
    <w:rsid w:val="0006063C"/>
    <w:rsid w:val="00093C98"/>
    <w:rsid w:val="0015074B"/>
    <w:rsid w:val="0015481C"/>
    <w:rsid w:val="00290C91"/>
    <w:rsid w:val="002961B6"/>
    <w:rsid w:val="0029639D"/>
    <w:rsid w:val="00326F90"/>
    <w:rsid w:val="003D59C2"/>
    <w:rsid w:val="003E7893"/>
    <w:rsid w:val="0052452D"/>
    <w:rsid w:val="00574E76"/>
    <w:rsid w:val="005E0596"/>
    <w:rsid w:val="006A47AA"/>
    <w:rsid w:val="006E4662"/>
    <w:rsid w:val="00711436"/>
    <w:rsid w:val="007410BA"/>
    <w:rsid w:val="007706C8"/>
    <w:rsid w:val="007F02A1"/>
    <w:rsid w:val="007F0C55"/>
    <w:rsid w:val="007F31B7"/>
    <w:rsid w:val="008877ED"/>
    <w:rsid w:val="008D4B99"/>
    <w:rsid w:val="00A42DAA"/>
    <w:rsid w:val="00AA1D8D"/>
    <w:rsid w:val="00AD3D19"/>
    <w:rsid w:val="00B47730"/>
    <w:rsid w:val="00C6045F"/>
    <w:rsid w:val="00C9479E"/>
    <w:rsid w:val="00CB0664"/>
    <w:rsid w:val="00CD4566"/>
    <w:rsid w:val="00D77E2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1C06F6"/>
  <w14:defaultImageDpi w14:val="300"/>
  <w15:docId w15:val="{2C5B83A4-218C-4B16-A434-4A3946AF6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7F02A1"/>
    <w:pPr>
      <w:spacing w:before="100" w:beforeAutospacing="1" w:after="100" w:afterAutospacing="1" w:line="240" w:lineRule="auto"/>
    </w:pPr>
    <w:rPr>
      <w:rFonts w:eastAsia="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834</Words>
  <Characters>4760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pkbm sinergi berdaya</cp:lastModifiedBy>
  <cp:revision>5</cp:revision>
  <dcterms:created xsi:type="dcterms:W3CDTF">2026-06-26T15:08:00Z</dcterms:created>
  <dcterms:modified xsi:type="dcterms:W3CDTF">2026-06-28T03:49:00Z</dcterms:modified>
  <cp:category/>
</cp:coreProperties>
</file>