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8D4D" w14:textId="77777777" w:rsidR="00BA2C3F" w:rsidRPr="00BA2C3F" w:rsidRDefault="00BA2C3F" w:rsidP="00BA2C3F">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BA2C3F">
        <w:rPr>
          <w:rFonts w:ascii="Segoe UI" w:eastAsia="Times New Roman" w:hAnsi="Segoe UI" w:cs="Segoe UI"/>
          <w:b/>
          <w:bCs/>
          <w:color w:val="0F1115"/>
          <w:kern w:val="36"/>
          <w:sz w:val="36"/>
          <w:szCs w:val="36"/>
          <w:lang w:eastAsia="en-ID"/>
          <w14:ligatures w14:val="none"/>
        </w:rPr>
        <w:t>INTERVIEW TRANSCRIPT</w:t>
      </w:r>
    </w:p>
    <w:p w14:paraId="6A658C07" w14:textId="67FD580F" w:rsidR="00BA2C3F" w:rsidRPr="00BA2C3F" w:rsidRDefault="00BA2C3F" w:rsidP="00BA2C3F">
      <w:pPr>
        <w:shd w:val="clear" w:color="auto" w:fill="FFFFFF"/>
        <w:spacing w:before="240" w:after="240" w:line="240" w:lineRule="auto"/>
        <w:rPr>
          <w:rFonts w:ascii="Segoe UI" w:eastAsia="Times New Roman" w:hAnsi="Segoe UI" w:cs="Segoe UI"/>
          <w:color w:val="0F1115"/>
          <w:kern w:val="0"/>
          <w:lang w:eastAsia="en-ID"/>
          <w14:ligatures w14:val="none"/>
        </w:rPr>
      </w:pPr>
      <w:r w:rsidRPr="00BA2C3F">
        <w:rPr>
          <w:rFonts w:ascii="Segoe UI" w:eastAsia="Times New Roman" w:hAnsi="Segoe UI" w:cs="Segoe UI"/>
          <w:b/>
          <w:bCs/>
          <w:color w:val="0F1115"/>
          <w:kern w:val="0"/>
          <w:lang w:eastAsia="en-ID"/>
          <w14:ligatures w14:val="none"/>
        </w:rPr>
        <w:t xml:space="preserve">Transcript </w:t>
      </w:r>
      <w:proofErr w:type="gramStart"/>
      <w:r w:rsidRPr="00BA2C3F">
        <w:rPr>
          <w:rFonts w:ascii="Segoe UI" w:eastAsia="Times New Roman" w:hAnsi="Segoe UI" w:cs="Segoe UI"/>
          <w:b/>
          <w:bCs/>
          <w:color w:val="0F1115"/>
          <w:kern w:val="0"/>
          <w:lang w:eastAsia="en-ID"/>
          <w14:ligatures w14:val="none"/>
        </w:rPr>
        <w:t>Code:</w:t>
      </w:r>
      <w:r w:rsidRPr="00BA2C3F">
        <w:rPr>
          <w:rFonts w:ascii="Segoe UI" w:eastAsia="Times New Roman" w:hAnsi="Segoe UI" w:cs="Segoe UI"/>
          <w:color w:val="0F1115"/>
          <w:kern w:val="0"/>
          <w:lang w:eastAsia="en-ID"/>
          <w14:ligatures w14:val="none"/>
        </w:rPr>
        <w:t>[</w:t>
      </w:r>
      <w:proofErr w:type="gramEnd"/>
      <w:r w:rsidRPr="00BA2C3F">
        <w:rPr>
          <w:rFonts w:ascii="Segoe UI" w:eastAsia="Times New Roman" w:hAnsi="Segoe UI" w:cs="Segoe UI"/>
          <w:color w:val="0F1115"/>
          <w:kern w:val="0"/>
          <w:lang w:eastAsia="en-ID"/>
          <w14:ligatures w14:val="none"/>
        </w:rPr>
        <w:t>W10-BUYUNI-DOSEN]</w:t>
      </w:r>
      <w:r w:rsidRPr="00BA2C3F">
        <w:rPr>
          <w:rFonts w:ascii="Segoe UI" w:eastAsia="Times New Roman" w:hAnsi="Segoe UI" w:cs="Segoe UI"/>
          <w:color w:val="0F1115"/>
          <w:kern w:val="0"/>
          <w:lang w:eastAsia="en-ID"/>
          <w14:ligatures w14:val="none"/>
        </w:rPr>
        <w:br/>
      </w:r>
      <w:proofErr w:type="spellStart"/>
      <w:proofErr w:type="gramStart"/>
      <w:r w:rsidRPr="00BA2C3F">
        <w:rPr>
          <w:rFonts w:ascii="Segoe UI" w:eastAsia="Times New Roman" w:hAnsi="Segoe UI" w:cs="Segoe UI"/>
          <w:b/>
          <w:bCs/>
          <w:color w:val="0F1115"/>
          <w:kern w:val="0"/>
          <w:lang w:eastAsia="en-ID"/>
          <w14:ligatures w14:val="none"/>
        </w:rPr>
        <w:t>Informant:</w:t>
      </w:r>
      <w:r w:rsidRPr="00BA2C3F">
        <w:rPr>
          <w:rFonts w:ascii="Segoe UI" w:eastAsia="Times New Roman" w:hAnsi="Segoe UI" w:cs="Segoe UI"/>
          <w:color w:val="0F1115"/>
          <w:kern w:val="0"/>
          <w:lang w:eastAsia="en-ID"/>
          <w14:ligatures w14:val="none"/>
        </w:rPr>
        <w:t>Ms</w:t>
      </w:r>
      <w:proofErr w:type="spellEnd"/>
      <w:r w:rsidRPr="00BA2C3F">
        <w:rPr>
          <w:rFonts w:ascii="Segoe UI" w:eastAsia="Times New Roman" w:hAnsi="Segoe UI" w:cs="Segoe UI"/>
          <w:color w:val="0F1115"/>
          <w:kern w:val="0"/>
          <w:lang w:eastAsia="en-ID"/>
          <w14:ligatures w14:val="none"/>
        </w:rPr>
        <w:t>.</w:t>
      </w:r>
      <w:proofErr w:type="gramEnd"/>
      <w:r w:rsidRPr="00BA2C3F">
        <w:rPr>
          <w:rFonts w:ascii="Segoe UI" w:eastAsia="Times New Roman" w:hAnsi="Segoe UI" w:cs="Segoe UI"/>
          <w:color w:val="0F1115"/>
          <w:kern w:val="0"/>
          <w:lang w:eastAsia="en-ID"/>
          <w14:ligatures w14:val="none"/>
        </w:rPr>
        <w:t xml:space="preserve"> Yuni (pseudonym), Lecturer at the Faculty of Teacher Training and Education in Java (Urban)</w:t>
      </w:r>
      <w:r w:rsidRPr="00BA2C3F">
        <w:rPr>
          <w:rFonts w:ascii="Segoe UI" w:eastAsia="Times New Roman" w:hAnsi="Segoe UI" w:cs="Segoe UI"/>
          <w:color w:val="0F1115"/>
          <w:kern w:val="0"/>
          <w:lang w:eastAsia="en-ID"/>
          <w14:ligatures w14:val="none"/>
        </w:rPr>
        <w:br/>
      </w:r>
      <w:r w:rsidRPr="00BA2C3F">
        <w:rPr>
          <w:rFonts w:ascii="Segoe UI" w:eastAsia="Times New Roman" w:hAnsi="Segoe UI" w:cs="Segoe UI"/>
          <w:b/>
          <w:bCs/>
          <w:color w:val="0F1115"/>
          <w:kern w:val="0"/>
          <w:lang w:eastAsia="en-ID"/>
          <w14:ligatures w14:val="none"/>
        </w:rPr>
        <w:t xml:space="preserve">Interview </w:t>
      </w:r>
      <w:proofErr w:type="spellStart"/>
      <w:proofErr w:type="gramStart"/>
      <w:r w:rsidRPr="00BA2C3F">
        <w:rPr>
          <w:rFonts w:ascii="Segoe UI" w:eastAsia="Times New Roman" w:hAnsi="Segoe UI" w:cs="Segoe UI"/>
          <w:b/>
          <w:bCs/>
          <w:color w:val="0F1115"/>
          <w:kern w:val="0"/>
          <w:lang w:eastAsia="en-ID"/>
          <w14:ligatures w14:val="none"/>
        </w:rPr>
        <w:t>Date:</w:t>
      </w:r>
      <w:r w:rsidRPr="00BA2C3F">
        <w:rPr>
          <w:rFonts w:ascii="Segoe UI" w:eastAsia="Times New Roman" w:hAnsi="Segoe UI" w:cs="Segoe UI"/>
          <w:color w:val="0F1115"/>
          <w:kern w:val="0"/>
          <w:lang w:eastAsia="en-ID"/>
          <w14:ligatures w14:val="none"/>
        </w:rPr>
        <w:t>April</w:t>
      </w:r>
      <w:proofErr w:type="spellEnd"/>
      <w:proofErr w:type="gramEnd"/>
      <w:r w:rsidRPr="00BA2C3F">
        <w:rPr>
          <w:rFonts w:ascii="Segoe UI" w:eastAsia="Times New Roman" w:hAnsi="Segoe UI" w:cs="Segoe UI"/>
          <w:color w:val="0F1115"/>
          <w:kern w:val="0"/>
          <w:lang w:eastAsia="en-ID"/>
          <w14:ligatures w14:val="none"/>
        </w:rPr>
        <w:t xml:space="preserve"> 8, 202</w:t>
      </w:r>
      <w:r w:rsidR="00DE6779">
        <w:rPr>
          <w:rFonts w:ascii="Segoe UI" w:eastAsia="Times New Roman" w:hAnsi="Segoe UI" w:cs="Segoe UI"/>
          <w:color w:val="0F1115"/>
          <w:kern w:val="0"/>
          <w:lang w:eastAsia="en-ID"/>
          <w14:ligatures w14:val="none"/>
        </w:rPr>
        <w:t>6</w:t>
      </w:r>
      <w:r w:rsidRPr="00BA2C3F">
        <w:rPr>
          <w:rFonts w:ascii="Segoe UI" w:eastAsia="Times New Roman" w:hAnsi="Segoe UI" w:cs="Segoe UI"/>
          <w:color w:val="0F1115"/>
          <w:kern w:val="0"/>
          <w:lang w:eastAsia="en-ID"/>
          <w14:ligatures w14:val="none"/>
        </w:rPr>
        <w:br/>
      </w:r>
      <w:proofErr w:type="spellStart"/>
      <w:proofErr w:type="gramStart"/>
      <w:r w:rsidRPr="00BA2C3F">
        <w:rPr>
          <w:rFonts w:ascii="Segoe UI" w:eastAsia="Times New Roman" w:hAnsi="Segoe UI" w:cs="Segoe UI"/>
          <w:b/>
          <w:bCs/>
          <w:color w:val="0F1115"/>
          <w:kern w:val="0"/>
          <w:lang w:eastAsia="en-ID"/>
          <w14:ligatures w14:val="none"/>
        </w:rPr>
        <w:t>Location:</w:t>
      </w:r>
      <w:r w:rsidRPr="00BA2C3F">
        <w:rPr>
          <w:rFonts w:ascii="Segoe UI" w:eastAsia="Times New Roman" w:hAnsi="Segoe UI" w:cs="Segoe UI"/>
          <w:color w:val="0F1115"/>
          <w:kern w:val="0"/>
          <w:lang w:eastAsia="en-ID"/>
          <w14:ligatures w14:val="none"/>
        </w:rPr>
        <w:t>Lecturer's</w:t>
      </w:r>
      <w:proofErr w:type="spellEnd"/>
      <w:proofErr w:type="gramEnd"/>
      <w:r w:rsidRPr="00BA2C3F">
        <w:rPr>
          <w:rFonts w:ascii="Segoe UI" w:eastAsia="Times New Roman" w:hAnsi="Segoe UI" w:cs="Segoe UI"/>
          <w:color w:val="0F1115"/>
          <w:kern w:val="0"/>
          <w:lang w:eastAsia="en-ID"/>
          <w14:ligatures w14:val="none"/>
        </w:rPr>
        <w:t xml:space="preserve"> room of the Faculty of Teacher Training and Education</w:t>
      </w:r>
      <w:r w:rsidRPr="00BA2C3F">
        <w:rPr>
          <w:rFonts w:ascii="Segoe UI" w:eastAsia="Times New Roman" w:hAnsi="Segoe UI" w:cs="Segoe UI"/>
          <w:color w:val="0F1115"/>
          <w:kern w:val="0"/>
          <w:lang w:eastAsia="en-ID"/>
          <w14:ligatures w14:val="none"/>
        </w:rPr>
        <w:br/>
      </w:r>
      <w:proofErr w:type="spellStart"/>
      <w:proofErr w:type="gramStart"/>
      <w:r w:rsidRPr="00BA2C3F">
        <w:rPr>
          <w:rFonts w:ascii="Segoe UI" w:eastAsia="Times New Roman" w:hAnsi="Segoe UI" w:cs="Segoe UI"/>
          <w:b/>
          <w:bCs/>
          <w:color w:val="0F1115"/>
          <w:kern w:val="0"/>
          <w:lang w:eastAsia="en-ID"/>
          <w14:ligatures w14:val="none"/>
        </w:rPr>
        <w:t>Interviewer:</w:t>
      </w:r>
      <w:r w:rsidRPr="00BA2C3F">
        <w:rPr>
          <w:rFonts w:ascii="Segoe UI" w:eastAsia="Times New Roman" w:hAnsi="Segoe UI" w:cs="Segoe UI"/>
          <w:color w:val="0F1115"/>
          <w:kern w:val="0"/>
          <w:lang w:eastAsia="en-ID"/>
          <w14:ligatures w14:val="none"/>
        </w:rPr>
        <w:t>Researcher</w:t>
      </w:r>
      <w:proofErr w:type="spellEnd"/>
      <w:proofErr w:type="gramEnd"/>
      <w:r w:rsidRPr="00BA2C3F">
        <w:rPr>
          <w:rFonts w:ascii="Segoe UI" w:eastAsia="Times New Roman" w:hAnsi="Segoe UI" w:cs="Segoe UI"/>
          <w:color w:val="0F1115"/>
          <w:kern w:val="0"/>
          <w:lang w:eastAsia="en-ID"/>
          <w14:ligatures w14:val="none"/>
        </w:rPr>
        <w:t xml:space="preserve"> (P)</w:t>
      </w:r>
      <w:r w:rsidRPr="00BA2C3F">
        <w:rPr>
          <w:rFonts w:ascii="Segoe UI" w:eastAsia="Times New Roman" w:hAnsi="Segoe UI" w:cs="Segoe UI"/>
          <w:color w:val="0F1115"/>
          <w:kern w:val="0"/>
          <w:lang w:eastAsia="en-ID"/>
          <w14:ligatures w14:val="none"/>
        </w:rPr>
        <w:br/>
      </w:r>
      <w:r w:rsidRPr="00BA2C3F">
        <w:rPr>
          <w:rFonts w:ascii="Segoe UI" w:eastAsia="Times New Roman" w:hAnsi="Segoe UI" w:cs="Segoe UI"/>
          <w:b/>
          <w:bCs/>
          <w:color w:val="0F1115"/>
          <w:kern w:val="0"/>
          <w:lang w:eastAsia="en-ID"/>
          <w14:ligatures w14:val="none"/>
        </w:rPr>
        <w:t xml:space="preserve">Recording </w:t>
      </w:r>
      <w:proofErr w:type="spellStart"/>
      <w:proofErr w:type="gramStart"/>
      <w:r w:rsidRPr="00BA2C3F">
        <w:rPr>
          <w:rFonts w:ascii="Segoe UI" w:eastAsia="Times New Roman" w:hAnsi="Segoe UI" w:cs="Segoe UI"/>
          <w:b/>
          <w:bCs/>
          <w:color w:val="0F1115"/>
          <w:kern w:val="0"/>
          <w:lang w:eastAsia="en-ID"/>
          <w14:ligatures w14:val="none"/>
        </w:rPr>
        <w:t>Status:</w:t>
      </w:r>
      <w:r w:rsidRPr="00BA2C3F">
        <w:rPr>
          <w:rFonts w:ascii="Segoe UI" w:eastAsia="Times New Roman" w:hAnsi="Segoe UI" w:cs="Segoe UI"/>
          <w:color w:val="0F1115"/>
          <w:kern w:val="0"/>
          <w:lang w:eastAsia="en-ID"/>
          <w14:ligatures w14:val="none"/>
        </w:rPr>
        <w:t>Audio</w:t>
      </w:r>
      <w:proofErr w:type="spellEnd"/>
      <w:proofErr w:type="gramEnd"/>
      <w:r w:rsidRPr="00BA2C3F">
        <w:rPr>
          <w:rFonts w:ascii="Segoe UI" w:eastAsia="Times New Roman" w:hAnsi="Segoe UI" w:cs="Segoe UI"/>
          <w:color w:val="0F1115"/>
          <w:kern w:val="0"/>
          <w:lang w:eastAsia="en-ID"/>
          <w14:ligatures w14:val="none"/>
        </w:rPr>
        <w:t xml:space="preserve">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3978"/>
        <w:gridCol w:w="3693"/>
      </w:tblGrid>
      <w:tr w:rsidR="000503A1" w:rsidRPr="00BA2C3F" w14:paraId="251035F6" w14:textId="77777777" w:rsidTr="000503A1">
        <w:trPr>
          <w:tblHeader/>
        </w:trPr>
        <w:tc>
          <w:tcPr>
            <w:tcW w:w="0" w:type="auto"/>
            <w:tcMar>
              <w:top w:w="150" w:type="dxa"/>
              <w:left w:w="240" w:type="dxa"/>
              <w:bottom w:w="150" w:type="dxa"/>
              <w:right w:w="240" w:type="dxa"/>
            </w:tcMar>
            <w:vAlign w:val="center"/>
            <w:hideMark/>
          </w:tcPr>
          <w:p w14:paraId="69559E3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14A491D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087C568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b/>
                <w:bCs/>
                <w:kern w:val="0"/>
                <w:sz w:val="23"/>
                <w:szCs w:val="23"/>
                <w:lang w:eastAsia="en-ID"/>
                <w14:ligatures w14:val="none"/>
              </w:rPr>
              <w:t>Analytical Notes</w:t>
            </w:r>
          </w:p>
        </w:tc>
      </w:tr>
      <w:tr w:rsidR="000503A1" w:rsidRPr="00BA2C3F" w14:paraId="260B101C" w14:textId="77777777" w:rsidTr="000503A1">
        <w:tc>
          <w:tcPr>
            <w:tcW w:w="0" w:type="auto"/>
            <w:tcMar>
              <w:top w:w="150" w:type="dxa"/>
              <w:left w:w="240" w:type="dxa"/>
              <w:bottom w:w="150" w:type="dxa"/>
              <w:right w:w="240" w:type="dxa"/>
            </w:tcMar>
            <w:vAlign w:val="center"/>
            <w:hideMark/>
          </w:tcPr>
          <w:p w14:paraId="7748D08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747BD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Good afternoon, Mrs. Yuni.</w:t>
            </w:r>
          </w:p>
        </w:tc>
        <w:tc>
          <w:tcPr>
            <w:tcW w:w="0" w:type="auto"/>
            <w:tcMar>
              <w:top w:w="150" w:type="dxa"/>
              <w:left w:w="240" w:type="dxa"/>
              <w:bottom w:w="150" w:type="dxa"/>
              <w:right w:w="0" w:type="dxa"/>
            </w:tcMar>
            <w:vAlign w:val="center"/>
            <w:hideMark/>
          </w:tcPr>
          <w:p w14:paraId="72BF0AB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Initial greeting, respectful tone</w:t>
            </w:r>
          </w:p>
        </w:tc>
      </w:tr>
      <w:tr w:rsidR="000503A1" w:rsidRPr="00BA2C3F" w14:paraId="0B2E96DA" w14:textId="77777777" w:rsidTr="000503A1">
        <w:tc>
          <w:tcPr>
            <w:tcW w:w="0" w:type="auto"/>
            <w:tcMar>
              <w:top w:w="150" w:type="dxa"/>
              <w:left w:w="240" w:type="dxa"/>
              <w:bottom w:w="150" w:type="dxa"/>
              <w:right w:w="240" w:type="dxa"/>
            </w:tcMar>
            <w:vAlign w:val="center"/>
            <w:hideMark/>
          </w:tcPr>
          <w:p w14:paraId="6D2AE2F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15104A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Good afternoon, Miss. Please have a seat.</w:t>
            </w:r>
          </w:p>
        </w:tc>
        <w:tc>
          <w:tcPr>
            <w:tcW w:w="0" w:type="auto"/>
            <w:tcMar>
              <w:top w:w="150" w:type="dxa"/>
              <w:left w:w="240" w:type="dxa"/>
              <w:bottom w:w="150" w:type="dxa"/>
              <w:right w:w="0" w:type="dxa"/>
            </w:tcMar>
            <w:vAlign w:val="center"/>
            <w:hideMark/>
          </w:tcPr>
          <w:p w14:paraId="3C2C511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Polite, friendly, inviting response</w:t>
            </w:r>
          </w:p>
        </w:tc>
      </w:tr>
      <w:tr w:rsidR="000503A1" w:rsidRPr="00BA2C3F" w14:paraId="72A061D5" w14:textId="77777777" w:rsidTr="000503A1">
        <w:tc>
          <w:tcPr>
            <w:tcW w:w="0" w:type="auto"/>
            <w:tcMar>
              <w:top w:w="150" w:type="dxa"/>
              <w:left w:w="240" w:type="dxa"/>
              <w:bottom w:w="150" w:type="dxa"/>
              <w:right w:w="240" w:type="dxa"/>
            </w:tcMar>
            <w:vAlign w:val="center"/>
            <w:hideMark/>
          </w:tcPr>
          <w:p w14:paraId="4C8008D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6DEE7D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Thank you, ma'am. Sorry I'm a bit late in the day.</w:t>
            </w:r>
          </w:p>
        </w:tc>
        <w:tc>
          <w:tcPr>
            <w:tcW w:w="0" w:type="auto"/>
            <w:tcMar>
              <w:top w:w="150" w:type="dxa"/>
              <w:left w:w="240" w:type="dxa"/>
              <w:bottom w:w="150" w:type="dxa"/>
              <w:right w:w="0" w:type="dxa"/>
            </w:tcMar>
            <w:vAlign w:val="center"/>
            <w:hideMark/>
          </w:tcPr>
          <w:p w14:paraId="1071A3A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Manners, showing respect</w:t>
            </w:r>
          </w:p>
        </w:tc>
      </w:tr>
      <w:tr w:rsidR="000503A1" w:rsidRPr="00BA2C3F" w14:paraId="1C12D3B2" w14:textId="77777777" w:rsidTr="000503A1">
        <w:tc>
          <w:tcPr>
            <w:tcW w:w="0" w:type="auto"/>
            <w:tcMar>
              <w:top w:w="150" w:type="dxa"/>
              <w:left w:w="240" w:type="dxa"/>
              <w:bottom w:w="150" w:type="dxa"/>
              <w:right w:w="240" w:type="dxa"/>
            </w:tcMar>
            <w:vAlign w:val="center"/>
            <w:hideMark/>
          </w:tcPr>
          <w:p w14:paraId="6BBA4FA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58DCA0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Oh, it's okay, Miss. I'm free at this hour. Please feel free to relax.</w:t>
            </w:r>
          </w:p>
        </w:tc>
        <w:tc>
          <w:tcPr>
            <w:tcW w:w="0" w:type="auto"/>
            <w:tcMar>
              <w:top w:w="150" w:type="dxa"/>
              <w:left w:w="240" w:type="dxa"/>
              <w:bottom w:w="150" w:type="dxa"/>
              <w:right w:w="0" w:type="dxa"/>
            </w:tcMar>
            <w:vAlign w:val="center"/>
            <w:hideMark/>
          </w:tcPr>
          <w:p w14:paraId="0B8C2FC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Creating a comfortable atmosphere</w:t>
            </w:r>
          </w:p>
        </w:tc>
      </w:tr>
      <w:tr w:rsidR="000503A1" w:rsidRPr="00BA2C3F" w14:paraId="47A9874E" w14:textId="77777777" w:rsidTr="000503A1">
        <w:tc>
          <w:tcPr>
            <w:tcW w:w="0" w:type="auto"/>
            <w:tcMar>
              <w:top w:w="150" w:type="dxa"/>
              <w:left w:w="240" w:type="dxa"/>
              <w:bottom w:w="150" w:type="dxa"/>
              <w:right w:w="240" w:type="dxa"/>
            </w:tcMar>
            <w:vAlign w:val="center"/>
            <w:hideMark/>
          </w:tcPr>
          <w:p w14:paraId="2F76730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E26E3A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Thank you, Ma'am, for taking the time to interview me. I know Ms. Yuni must be very busy with teaching and research.</w:t>
            </w:r>
          </w:p>
        </w:tc>
        <w:tc>
          <w:tcPr>
            <w:tcW w:w="0" w:type="auto"/>
            <w:tcMar>
              <w:top w:w="150" w:type="dxa"/>
              <w:left w:w="240" w:type="dxa"/>
              <w:bottom w:w="150" w:type="dxa"/>
              <w:right w:w="0" w:type="dxa"/>
            </w:tcMar>
            <w:vAlign w:val="center"/>
            <w:hideMark/>
          </w:tcPr>
          <w:p w14:paraId="64F9366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Building rapport, showing appreciation</w:t>
            </w:r>
          </w:p>
        </w:tc>
      </w:tr>
      <w:tr w:rsidR="000503A1" w:rsidRPr="00BA2C3F" w14:paraId="44A8C543" w14:textId="77777777" w:rsidTr="000503A1">
        <w:tc>
          <w:tcPr>
            <w:tcW w:w="0" w:type="auto"/>
            <w:tcMar>
              <w:top w:w="150" w:type="dxa"/>
              <w:left w:w="240" w:type="dxa"/>
              <w:bottom w:w="150" w:type="dxa"/>
              <w:right w:w="240" w:type="dxa"/>
            </w:tcMar>
            <w:vAlign w:val="center"/>
            <w:hideMark/>
          </w:tcPr>
          <w:p w14:paraId="3BEF602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4880F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Yes, Miss, you're welcome. I'm busy, but this is important. I'm happy to be able to discuss this issue. This is a very important topic and one that is rarely discussed seriously in our academic circles.</w:t>
            </w:r>
          </w:p>
        </w:tc>
        <w:tc>
          <w:tcPr>
            <w:tcW w:w="0" w:type="auto"/>
            <w:tcMar>
              <w:top w:w="150" w:type="dxa"/>
              <w:left w:w="240" w:type="dxa"/>
              <w:bottom w:w="150" w:type="dxa"/>
              <w:right w:w="0" w:type="dxa"/>
            </w:tcMar>
            <w:vAlign w:val="center"/>
            <w:hideMark/>
          </w:tcPr>
          <w:p w14:paraId="1D89A5C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The lecturer shows enthusiasm and concern for the topic.</w:t>
            </w:r>
          </w:p>
        </w:tc>
      </w:tr>
      <w:tr w:rsidR="000503A1" w:rsidRPr="00BA2C3F" w14:paraId="260C7007" w14:textId="77777777" w:rsidTr="000503A1">
        <w:tc>
          <w:tcPr>
            <w:tcW w:w="0" w:type="auto"/>
            <w:tcMar>
              <w:top w:w="150" w:type="dxa"/>
              <w:left w:w="240" w:type="dxa"/>
              <w:bottom w:w="150" w:type="dxa"/>
              <w:right w:w="240" w:type="dxa"/>
            </w:tcMar>
            <w:vAlign w:val="center"/>
            <w:hideMark/>
          </w:tcPr>
          <w:p w14:paraId="57F3579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D73451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Well, that's interesting, ma'am. Why do you think this topic is rarely discussed?</w:t>
            </w:r>
          </w:p>
        </w:tc>
        <w:tc>
          <w:tcPr>
            <w:tcW w:w="0" w:type="auto"/>
            <w:tcMar>
              <w:top w:w="150" w:type="dxa"/>
              <w:left w:w="240" w:type="dxa"/>
              <w:bottom w:w="150" w:type="dxa"/>
              <w:right w:w="0" w:type="dxa"/>
            </w:tcMar>
            <w:vAlign w:val="center"/>
            <w:hideMark/>
          </w:tcPr>
          <w:p w14:paraId="3A2E876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Probing to explore perceptions about the lack of discussion</w:t>
            </w:r>
          </w:p>
        </w:tc>
      </w:tr>
      <w:tr w:rsidR="000503A1" w:rsidRPr="00BA2C3F" w14:paraId="77AF5916" w14:textId="77777777" w:rsidTr="000503A1">
        <w:tc>
          <w:tcPr>
            <w:tcW w:w="0" w:type="auto"/>
            <w:tcMar>
              <w:top w:w="150" w:type="dxa"/>
              <w:left w:w="240" w:type="dxa"/>
              <w:bottom w:w="150" w:type="dxa"/>
              <w:right w:w="240" w:type="dxa"/>
            </w:tcMar>
            <w:vAlign w:val="center"/>
            <w:hideMark/>
          </w:tcPr>
          <w:p w14:paraId="1AEE7FB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AA72743"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[Sighs, smiles wryly]</w:t>
            </w:r>
            <w:r w:rsidRPr="00BA2C3F">
              <w:rPr>
                <w:rFonts w:ascii="Segoe UI" w:eastAsia="Times New Roman" w:hAnsi="Segoe UI" w:cs="Segoe UI"/>
                <w:kern w:val="0"/>
                <w:sz w:val="23"/>
                <w:szCs w:val="23"/>
                <w:lang w:eastAsia="en-ID"/>
                <w14:ligatures w14:val="none"/>
              </w:rPr>
              <w:t xml:space="preserve">Because we're too comfortable with "politeness," Miss. We're afraid of being </w:t>
            </w:r>
            <w:r w:rsidRPr="00BA2C3F">
              <w:rPr>
                <w:rFonts w:ascii="Segoe UI" w:eastAsia="Times New Roman" w:hAnsi="Segoe UI" w:cs="Segoe UI"/>
                <w:kern w:val="0"/>
                <w:sz w:val="23"/>
                <w:szCs w:val="23"/>
                <w:lang w:eastAsia="en-ID"/>
                <w14:ligatures w14:val="none"/>
              </w:rPr>
              <w:lastRenderedPageBreak/>
              <w:t>considered rude or impolite when discussing sensitive matters. Yet, it's precisely behind that politeness that the problem hides. Many academics assume gender issues are resolved because women's participation rates in higher education are high. But they forget that women's daily experiences on campus and in schools are still fraught with subtle barriers. Barriers that are invisible, but very much felt.</w:t>
            </w:r>
          </w:p>
        </w:tc>
        <w:tc>
          <w:tcPr>
            <w:tcW w:w="0" w:type="auto"/>
            <w:tcMar>
              <w:top w:w="150" w:type="dxa"/>
              <w:left w:w="240" w:type="dxa"/>
              <w:bottom w:w="150" w:type="dxa"/>
              <w:right w:w="0" w:type="dxa"/>
            </w:tcMar>
            <w:vAlign w:val="center"/>
            <w:hideMark/>
          </w:tcPr>
          <w:p w14:paraId="099A18A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 xml:space="preserve">Ms. Yuni identified that "politeness" is a barrier to discussing gender issues. She also </w:t>
            </w:r>
            <w:r w:rsidRPr="00BA2C3F">
              <w:rPr>
                <w:rFonts w:ascii="Segoe UI" w:eastAsia="Times New Roman" w:hAnsi="Segoe UI" w:cs="Segoe UI"/>
                <w:i/>
                <w:iCs/>
                <w:kern w:val="0"/>
                <w:sz w:val="23"/>
                <w:szCs w:val="23"/>
                <w:lang w:eastAsia="en-ID"/>
                <w14:ligatures w14:val="none"/>
              </w:rPr>
              <w:lastRenderedPageBreak/>
              <w:t>criticized academics who only look at participation figures without considering qualitative experiences.</w:t>
            </w:r>
          </w:p>
        </w:tc>
      </w:tr>
      <w:tr w:rsidR="000503A1" w:rsidRPr="00BA2C3F" w14:paraId="6A9CC767" w14:textId="77777777" w:rsidTr="000503A1">
        <w:tc>
          <w:tcPr>
            <w:tcW w:w="0" w:type="auto"/>
            <w:tcMar>
              <w:top w:w="150" w:type="dxa"/>
              <w:left w:w="240" w:type="dxa"/>
              <w:bottom w:w="150" w:type="dxa"/>
              <w:right w:w="240" w:type="dxa"/>
            </w:tcMar>
            <w:vAlign w:val="center"/>
            <w:hideMark/>
          </w:tcPr>
          <w:p w14:paraId="2C84F12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323159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as a lecturer at the Faculty of Teacher Training, how do you view gender dynamics on campus and in schools?</w:t>
            </w:r>
          </w:p>
        </w:tc>
        <w:tc>
          <w:tcPr>
            <w:tcW w:w="0" w:type="auto"/>
            <w:tcMar>
              <w:top w:w="150" w:type="dxa"/>
              <w:left w:w="240" w:type="dxa"/>
              <w:bottom w:w="150" w:type="dxa"/>
              <w:right w:w="0" w:type="dxa"/>
            </w:tcMar>
            <w:vAlign w:val="center"/>
            <w:hideMark/>
          </w:tcPr>
          <w:p w14:paraId="740122B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Opening questions about gender dynamics</w:t>
            </w:r>
          </w:p>
        </w:tc>
      </w:tr>
      <w:tr w:rsidR="000503A1" w:rsidRPr="00BA2C3F" w14:paraId="59D6186C" w14:textId="77777777" w:rsidTr="000503A1">
        <w:tc>
          <w:tcPr>
            <w:tcW w:w="0" w:type="auto"/>
            <w:tcMar>
              <w:top w:w="150" w:type="dxa"/>
              <w:left w:w="240" w:type="dxa"/>
              <w:bottom w:w="150" w:type="dxa"/>
              <w:right w:w="240" w:type="dxa"/>
            </w:tcMar>
            <w:vAlign w:val="center"/>
            <w:hideMark/>
          </w:tcPr>
          <w:p w14:paraId="174FD5F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CCFD88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[Takes a deep breath, ponders]</w:t>
            </w:r>
            <w:r w:rsidRPr="00BA2C3F">
              <w:rPr>
                <w:rFonts w:ascii="Segoe UI" w:eastAsia="Times New Roman" w:hAnsi="Segoe UI" w:cs="Segoe UI"/>
                <w:kern w:val="0"/>
                <w:sz w:val="23"/>
                <w:szCs w:val="23"/>
                <w:lang w:eastAsia="en-ID"/>
                <w14:ligatures w14:val="none"/>
              </w:rPr>
              <w:t>Yes, this issue is complex, Miss. We are a society that places great value on politeness. On the one hand, that's good, because there's no open conflict. But on the other hand, that's precisely the problem. For example, in class, a lecturer won't openly say "stupid woman." That won't happen, Miss. Because that's rude, impolite. But often, when a female student answers, the lecturer will say, "Hmm, a lady's answer, huh?" or "Try something more masculine." It happens almost every day, Miss. And what's worse, many lecturers don't realize it's a problem. They think it's just a joke or a subtle dig.</w:t>
            </w:r>
          </w:p>
        </w:tc>
        <w:tc>
          <w:tcPr>
            <w:tcW w:w="0" w:type="auto"/>
            <w:tcMar>
              <w:top w:w="150" w:type="dxa"/>
              <w:left w:w="240" w:type="dxa"/>
              <w:bottom w:w="150" w:type="dxa"/>
              <w:right w:w="0" w:type="dxa"/>
            </w:tcMar>
            <w:vAlign w:val="center"/>
            <w:hideMark/>
          </w:tcPr>
          <w:p w14:paraId="7CB228D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 xml:space="preserve">"Register Inversion": Ms. Yuni identifies that subtle culture is key. Microaggressions don't appear as rudeness, but rather are hidden behind subtle sarcasm. She also highlights the unconsciousness of </w:t>
            </w:r>
            <w:proofErr w:type="spellStart"/>
            <w:r w:rsidRPr="00BA2C3F">
              <w:rPr>
                <w:rFonts w:ascii="Segoe UI" w:eastAsia="Times New Roman" w:hAnsi="Segoe UI" w:cs="Segoe UI"/>
                <w:i/>
                <w:iCs/>
                <w:kern w:val="0"/>
                <w:sz w:val="23"/>
                <w:szCs w:val="23"/>
                <w:lang w:eastAsia="en-ID"/>
                <w14:ligatures w14:val="none"/>
              </w:rPr>
              <w:t>microaggressors</w:t>
            </w:r>
            <w:proofErr w:type="spellEnd"/>
            <w:r w:rsidRPr="00BA2C3F">
              <w:rPr>
                <w:rFonts w:ascii="Segoe UI" w:eastAsia="Times New Roman" w:hAnsi="Segoe UI" w:cs="Segoe UI"/>
                <w:i/>
                <w:iCs/>
                <w:kern w:val="0"/>
                <w:sz w:val="23"/>
                <w:szCs w:val="23"/>
                <w:lang w:eastAsia="en-ID"/>
                <w14:ligatures w14:val="none"/>
              </w:rPr>
              <w:t>.</w:t>
            </w:r>
          </w:p>
        </w:tc>
      </w:tr>
      <w:tr w:rsidR="000503A1" w:rsidRPr="00BA2C3F" w14:paraId="628F337C" w14:textId="77777777" w:rsidTr="000503A1">
        <w:tc>
          <w:tcPr>
            <w:tcW w:w="0" w:type="auto"/>
            <w:tcMar>
              <w:top w:w="150" w:type="dxa"/>
              <w:left w:w="240" w:type="dxa"/>
              <w:bottom w:w="150" w:type="dxa"/>
              <w:right w:w="240" w:type="dxa"/>
            </w:tcMar>
            <w:vAlign w:val="center"/>
            <w:hideMark/>
          </w:tcPr>
          <w:p w14:paraId="470D2D3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5F8B8D7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What does the example of "mothers' answers" mean, Ma'am? I'd like to understand better.</w:t>
            </w:r>
          </w:p>
        </w:tc>
        <w:tc>
          <w:tcPr>
            <w:tcW w:w="0" w:type="auto"/>
            <w:tcMar>
              <w:top w:w="150" w:type="dxa"/>
              <w:left w:w="240" w:type="dxa"/>
              <w:bottom w:w="150" w:type="dxa"/>
              <w:right w:w="0" w:type="dxa"/>
            </w:tcMar>
            <w:vAlign w:val="center"/>
            <w:hideMark/>
          </w:tcPr>
          <w:p w14:paraId="07BFC25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Probing to dig up concrete examples</w:t>
            </w:r>
          </w:p>
        </w:tc>
      </w:tr>
      <w:tr w:rsidR="000503A1" w:rsidRPr="00BA2C3F" w14:paraId="7A7ED3EF" w14:textId="77777777" w:rsidTr="000503A1">
        <w:tc>
          <w:tcPr>
            <w:tcW w:w="0" w:type="auto"/>
            <w:tcMar>
              <w:top w:w="150" w:type="dxa"/>
              <w:left w:w="240" w:type="dxa"/>
              <w:bottom w:w="150" w:type="dxa"/>
              <w:right w:w="240" w:type="dxa"/>
            </w:tcMar>
            <w:vAlign w:val="center"/>
            <w:hideMark/>
          </w:tcPr>
          <w:p w14:paraId="4868729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A01AD4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[Smiles wryly, shakes head]</w:t>
            </w:r>
            <w:r w:rsidRPr="00BA2C3F">
              <w:rPr>
                <w:rFonts w:ascii="Segoe UI" w:eastAsia="Times New Roman" w:hAnsi="Segoe UI" w:cs="Segoe UI"/>
                <w:kern w:val="0"/>
                <w:sz w:val="23"/>
                <w:szCs w:val="23"/>
                <w:lang w:eastAsia="en-ID"/>
                <w14:ligatures w14:val="none"/>
              </w:rPr>
              <w:t>So, here's the thing, Miss. In class, when a female student answers a question from a more emotional or collaborative perspective, the lecturer often says, "Hmm, that's a lady's answer." Even though that answer may be correct and logical, because it's delivered in a way that's not "aggressive" or "assertive," it's considered feminine and less valuable. Conversely, if a male student answers in a strong, direct, and assertive manner, the lecturer will say, "Now that's a good answer!" Even though the substance is the same. I've seen female students answer with very in-depth analysis, but because they delivered it gently, the lecturer called it "a lady's answer." But male students who answer with a shallower analysis, but with a firm tone, are praised.</w:t>
            </w:r>
          </w:p>
        </w:tc>
        <w:tc>
          <w:tcPr>
            <w:tcW w:w="0" w:type="auto"/>
            <w:tcMar>
              <w:top w:w="150" w:type="dxa"/>
              <w:left w:w="240" w:type="dxa"/>
              <w:bottom w:w="150" w:type="dxa"/>
              <w:right w:w="0" w:type="dxa"/>
            </w:tcMar>
            <w:vAlign w:val="center"/>
            <w:hideMark/>
          </w:tcPr>
          <w:p w14:paraId="5D61582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provided a concrete example of how delivery (not substance) is judged based on gender. A "soft" answer is considered less valuable, while a "firm" one is considered more valuable.</w:t>
            </w:r>
          </w:p>
        </w:tc>
      </w:tr>
      <w:tr w:rsidR="000503A1" w:rsidRPr="00BA2C3F" w14:paraId="0A16BB1F" w14:textId="77777777" w:rsidTr="000503A1">
        <w:tc>
          <w:tcPr>
            <w:tcW w:w="0" w:type="auto"/>
            <w:tcMar>
              <w:top w:w="150" w:type="dxa"/>
              <w:left w:w="240" w:type="dxa"/>
              <w:bottom w:w="150" w:type="dxa"/>
              <w:right w:w="240" w:type="dxa"/>
            </w:tcMar>
            <w:vAlign w:val="center"/>
            <w:hideMark/>
          </w:tcPr>
          <w:p w14:paraId="763EC0E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07AEA4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Has Ms. Yuni ever seen the impact of such comments on female students?</w:t>
            </w:r>
          </w:p>
        </w:tc>
        <w:tc>
          <w:tcPr>
            <w:tcW w:w="0" w:type="auto"/>
            <w:tcMar>
              <w:top w:w="150" w:type="dxa"/>
              <w:left w:w="240" w:type="dxa"/>
              <w:bottom w:w="150" w:type="dxa"/>
              <w:right w:w="0" w:type="dxa"/>
            </w:tcMar>
            <w:vAlign w:val="center"/>
            <w:hideMark/>
          </w:tcPr>
          <w:p w14:paraId="667AA4F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Questioning the impact of microaggressions</w:t>
            </w:r>
          </w:p>
        </w:tc>
      </w:tr>
      <w:tr w:rsidR="000503A1" w:rsidRPr="00BA2C3F" w14:paraId="0B04EBFD" w14:textId="77777777" w:rsidTr="000503A1">
        <w:tc>
          <w:tcPr>
            <w:tcW w:w="0" w:type="auto"/>
            <w:tcMar>
              <w:top w:w="150" w:type="dxa"/>
              <w:left w:w="240" w:type="dxa"/>
              <w:bottom w:w="150" w:type="dxa"/>
              <w:right w:w="240" w:type="dxa"/>
            </w:tcMar>
            <w:vAlign w:val="center"/>
            <w:hideMark/>
          </w:tcPr>
          <w:p w14:paraId="3F424EB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DD3A5B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 seriously, voice a little heavy]</w:t>
            </w:r>
            <w:r w:rsidRPr="00BA2C3F">
              <w:rPr>
                <w:rFonts w:ascii="Segoe UI" w:eastAsia="Times New Roman" w:hAnsi="Segoe UI" w:cs="Segoe UI"/>
                <w:kern w:val="0"/>
                <w:sz w:val="23"/>
                <w:szCs w:val="23"/>
                <w:lang w:eastAsia="en-ID"/>
                <w14:ligatures w14:val="none"/>
              </w:rPr>
              <w:t xml:space="preserve">Very often, Miss. I once had a very smart student named Dewi. She was always active in class, always giving insightful answers. But after a few times the lecturer said "ladies' answers" or "try something more masculine," she </w:t>
            </w:r>
            <w:r w:rsidRPr="00BA2C3F">
              <w:rPr>
                <w:rFonts w:ascii="Segoe UI" w:eastAsia="Times New Roman" w:hAnsi="Segoe UI" w:cs="Segoe UI"/>
                <w:kern w:val="0"/>
                <w:sz w:val="23"/>
                <w:szCs w:val="23"/>
                <w:lang w:eastAsia="en-ID"/>
                <w14:ligatures w14:val="none"/>
              </w:rPr>
              <w:lastRenderedPageBreak/>
              <w:t>started to go quiet. She wouldn't talk in class anymore. I asked her why, and she said, "Ma'am, I'm afraid of making mistakes. I'm afraid my answers will be seen as too feminine." It was very sad, Miss. A smart student became quiet because she was afraid of being judged. She lost her voice.</w:t>
            </w:r>
          </w:p>
        </w:tc>
        <w:tc>
          <w:tcPr>
            <w:tcW w:w="0" w:type="auto"/>
            <w:tcMar>
              <w:top w:w="150" w:type="dxa"/>
              <w:left w:w="240" w:type="dxa"/>
              <w:bottom w:w="150" w:type="dxa"/>
              <w:right w:w="0" w:type="dxa"/>
            </w:tcMar>
            <w:vAlign w:val="center"/>
            <w:hideMark/>
          </w:tcPr>
          <w:p w14:paraId="6B893D63"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The impact of microaggressions: an intelligent female student becomes silent for fear of being judged. This is "internalized oppression" that occurs in academic settings. She "loses her voice" due to fear of gender judgment.</w:t>
            </w:r>
          </w:p>
        </w:tc>
      </w:tr>
      <w:tr w:rsidR="000503A1" w:rsidRPr="00BA2C3F" w14:paraId="36F7B322" w14:textId="77777777" w:rsidTr="000503A1">
        <w:tc>
          <w:tcPr>
            <w:tcW w:w="0" w:type="auto"/>
            <w:tcMar>
              <w:top w:w="150" w:type="dxa"/>
              <w:left w:w="240" w:type="dxa"/>
              <w:bottom w:w="150" w:type="dxa"/>
              <w:right w:w="240" w:type="dxa"/>
            </w:tcMar>
            <w:vAlign w:val="center"/>
            <w:hideMark/>
          </w:tcPr>
          <w:p w14:paraId="1ED1A08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B07056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What happened to Dewi next?</w:t>
            </w:r>
          </w:p>
        </w:tc>
        <w:tc>
          <w:tcPr>
            <w:tcW w:w="0" w:type="auto"/>
            <w:tcMar>
              <w:top w:w="150" w:type="dxa"/>
              <w:left w:w="240" w:type="dxa"/>
              <w:bottom w:w="150" w:type="dxa"/>
              <w:right w:w="0" w:type="dxa"/>
            </w:tcMar>
            <w:vAlign w:val="center"/>
            <w:hideMark/>
          </w:tcPr>
          <w:p w14:paraId="0767DF8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the continuation of the case</w:t>
            </w:r>
          </w:p>
        </w:tc>
      </w:tr>
      <w:tr w:rsidR="000503A1" w:rsidRPr="00BA2C3F" w14:paraId="4EF08F73" w14:textId="77777777" w:rsidTr="000503A1">
        <w:tc>
          <w:tcPr>
            <w:tcW w:w="0" w:type="auto"/>
            <w:tcMar>
              <w:top w:w="150" w:type="dxa"/>
              <w:left w:w="240" w:type="dxa"/>
              <w:bottom w:w="150" w:type="dxa"/>
              <w:right w:w="240" w:type="dxa"/>
            </w:tcMar>
            <w:vAlign w:val="center"/>
            <w:hideMark/>
          </w:tcPr>
          <w:p w14:paraId="2FFF34C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C98672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 tried to talk to Dewi about it. I said, "You don't need to be afraid. Your answer was good." But she had already lost her confidence. Eventually, she preferred writing essays to speaking in class. She found a way to still participate without facing gender judgment. But I think it was a huge loss for the class. We lost the valuable perspective of a smart student just because of a few comments that were considered "subtle" and "joking."</w:t>
            </w:r>
          </w:p>
        </w:tc>
        <w:tc>
          <w:tcPr>
            <w:tcW w:w="0" w:type="auto"/>
            <w:tcMar>
              <w:top w:w="150" w:type="dxa"/>
              <w:left w:w="240" w:type="dxa"/>
              <w:bottom w:w="150" w:type="dxa"/>
              <w:right w:w="0" w:type="dxa"/>
            </w:tcMar>
            <w:vAlign w:val="center"/>
            <w:hideMark/>
          </w:tcPr>
          <w:p w14:paraId="2DB9E0C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The student found a coping strategy (writing an essay), but the class lost valuable perspective. This shows that microaggressions harm everyone, not just the victims.</w:t>
            </w:r>
          </w:p>
        </w:tc>
      </w:tr>
      <w:tr w:rsidR="000503A1" w:rsidRPr="00BA2C3F" w14:paraId="2E1CAE0E" w14:textId="77777777" w:rsidTr="000503A1">
        <w:tc>
          <w:tcPr>
            <w:tcW w:w="0" w:type="auto"/>
            <w:tcMar>
              <w:top w:w="150" w:type="dxa"/>
              <w:left w:w="240" w:type="dxa"/>
              <w:bottom w:w="150" w:type="dxa"/>
              <w:right w:w="240" w:type="dxa"/>
            </w:tcMar>
            <w:vAlign w:val="center"/>
            <w:hideMark/>
          </w:tcPr>
          <w:p w14:paraId="34B9E38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A59B6E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are there any other similar cases?</w:t>
            </w:r>
          </w:p>
        </w:tc>
        <w:tc>
          <w:tcPr>
            <w:tcW w:w="0" w:type="auto"/>
            <w:tcMar>
              <w:top w:w="150" w:type="dxa"/>
              <w:left w:w="240" w:type="dxa"/>
              <w:bottom w:w="150" w:type="dxa"/>
              <w:right w:w="0" w:type="dxa"/>
            </w:tcMar>
            <w:vAlign w:val="center"/>
            <w:hideMark/>
          </w:tcPr>
          <w:p w14:paraId="3ECBDE5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Continuing exploration of similar cases</w:t>
            </w:r>
          </w:p>
        </w:tc>
      </w:tr>
      <w:tr w:rsidR="000503A1" w:rsidRPr="00BA2C3F" w14:paraId="0B82AD7D" w14:textId="77777777" w:rsidTr="000503A1">
        <w:tc>
          <w:tcPr>
            <w:tcW w:w="0" w:type="auto"/>
            <w:tcMar>
              <w:top w:w="150" w:type="dxa"/>
              <w:left w:w="240" w:type="dxa"/>
              <w:bottom w:w="150" w:type="dxa"/>
              <w:right w:w="240" w:type="dxa"/>
            </w:tcMar>
            <w:vAlign w:val="center"/>
            <w:hideMark/>
          </w:tcPr>
          <w:p w14:paraId="5A31818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842A92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w:t>
            </w:r>
            <w:r w:rsidRPr="00BA2C3F">
              <w:rPr>
                <w:rFonts w:ascii="Segoe UI" w:eastAsia="Times New Roman" w:hAnsi="Segoe UI" w:cs="Segoe UI"/>
                <w:kern w:val="0"/>
                <w:sz w:val="23"/>
                <w:szCs w:val="23"/>
                <w:lang w:eastAsia="en-ID"/>
                <w14:ligatures w14:val="none"/>
              </w:rPr>
              <w:t xml:space="preserve">There are many, Miss. I have another student, Rini. She's very talented in qualitative research. She has an extraordinary sensitivity to reading social dynamics. But when she presented her research proposal in front of the examiners, a senior lecturer said, "This is too soft, Rini. Research must be assertive, it must be masculine. You're too </w:t>
            </w:r>
            <w:r w:rsidRPr="00BA2C3F">
              <w:rPr>
                <w:rFonts w:ascii="Segoe UI" w:eastAsia="Times New Roman" w:hAnsi="Segoe UI" w:cs="Segoe UI"/>
                <w:kern w:val="0"/>
                <w:sz w:val="23"/>
                <w:szCs w:val="23"/>
                <w:lang w:eastAsia="en-ID"/>
                <w14:ligatures w14:val="none"/>
              </w:rPr>
              <w:lastRenderedPageBreak/>
              <w:t>feminine in your thinking." Rini left the room with tears in her eyes. She came to me and said, "Ma'am, do I have to be a man to be accepted in the academic world?" It was a very painful question, Miss. A talented student begins to doubt her own identity.</w:t>
            </w:r>
          </w:p>
        </w:tc>
        <w:tc>
          <w:tcPr>
            <w:tcW w:w="0" w:type="auto"/>
            <w:tcMar>
              <w:top w:w="150" w:type="dxa"/>
              <w:left w:w="240" w:type="dxa"/>
              <w:bottom w:w="150" w:type="dxa"/>
              <w:right w:w="0" w:type="dxa"/>
            </w:tcMar>
            <w:vAlign w:val="center"/>
            <w:hideMark/>
          </w:tcPr>
          <w:p w14:paraId="705F1A5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An example of a microaggression in an academic context: a senior lecturer criticized Rini's research approach as "too soft" and "too feminine." This is a microinvalidation that casts doubt on a female student's competence based on gender. Rini begins to question her own identity—this is a profound form of internalized oppression.</w:t>
            </w:r>
          </w:p>
        </w:tc>
      </w:tr>
      <w:tr w:rsidR="000503A1" w:rsidRPr="00BA2C3F" w14:paraId="1BDF8D5A" w14:textId="77777777" w:rsidTr="000503A1">
        <w:tc>
          <w:tcPr>
            <w:tcW w:w="0" w:type="auto"/>
            <w:tcMar>
              <w:top w:w="150" w:type="dxa"/>
              <w:left w:w="240" w:type="dxa"/>
              <w:bottom w:w="150" w:type="dxa"/>
              <w:right w:w="240" w:type="dxa"/>
            </w:tcMar>
            <w:vAlign w:val="center"/>
            <w:hideMark/>
          </w:tcPr>
          <w:p w14:paraId="378292A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740E8D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What did Mrs. Yuni say to Rini?</w:t>
            </w:r>
          </w:p>
        </w:tc>
        <w:tc>
          <w:tcPr>
            <w:tcW w:w="0" w:type="auto"/>
            <w:tcMar>
              <w:top w:w="150" w:type="dxa"/>
              <w:left w:w="240" w:type="dxa"/>
              <w:bottom w:w="150" w:type="dxa"/>
              <w:right w:w="0" w:type="dxa"/>
            </w:tcMar>
            <w:vAlign w:val="center"/>
            <w:hideMark/>
          </w:tcPr>
          <w:p w14:paraId="003211B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Mrs. Yuni's response as a supporter</w:t>
            </w:r>
          </w:p>
        </w:tc>
      </w:tr>
      <w:tr w:rsidR="000503A1" w:rsidRPr="00BA2C3F" w14:paraId="3384D2B2" w14:textId="77777777" w:rsidTr="000503A1">
        <w:tc>
          <w:tcPr>
            <w:tcW w:w="0" w:type="auto"/>
            <w:tcMar>
              <w:top w:w="150" w:type="dxa"/>
              <w:left w:w="240" w:type="dxa"/>
              <w:bottom w:w="150" w:type="dxa"/>
              <w:right w:w="240" w:type="dxa"/>
            </w:tcMar>
            <w:vAlign w:val="center"/>
            <w:hideMark/>
          </w:tcPr>
          <w:p w14:paraId="7A1B9D1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066AE9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 said, "Rini, you don't have to be a man. You just have to be yourself. Qualitative research isn't masculine or feminine. It's about depth of understanding, about the ability to read reality. And you have that. Don't let one comment shatter your conviction." But I knew, Miss, that my words weren't enough. The wound was already open. Rini remained hesitant after that. She still completed her research, but with a different spirit.</w:t>
            </w:r>
          </w:p>
        </w:tc>
        <w:tc>
          <w:tcPr>
            <w:tcW w:w="0" w:type="auto"/>
            <w:tcMar>
              <w:top w:w="150" w:type="dxa"/>
              <w:left w:w="240" w:type="dxa"/>
              <w:bottom w:w="150" w:type="dxa"/>
              <w:right w:w="0" w:type="dxa"/>
            </w:tcMar>
            <w:vAlign w:val="center"/>
            <w:hideMark/>
          </w:tcPr>
          <w:p w14:paraId="4E44768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offered moral support but admitted that her words weren't enough to heal the wounds. This demonstrates that a single microaggression can have long-lasting effects.</w:t>
            </w:r>
          </w:p>
        </w:tc>
      </w:tr>
      <w:tr w:rsidR="000503A1" w:rsidRPr="00BA2C3F" w14:paraId="2DAC88C6" w14:textId="77777777" w:rsidTr="000503A1">
        <w:tc>
          <w:tcPr>
            <w:tcW w:w="0" w:type="auto"/>
            <w:tcMar>
              <w:top w:w="150" w:type="dxa"/>
              <w:left w:w="240" w:type="dxa"/>
              <w:bottom w:w="150" w:type="dxa"/>
              <w:right w:w="240" w:type="dxa"/>
            </w:tcMar>
            <w:vAlign w:val="center"/>
            <w:hideMark/>
          </w:tcPr>
          <w:p w14:paraId="02F2A1B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13357A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Did Rini finally finish her research?</w:t>
            </w:r>
          </w:p>
        </w:tc>
        <w:tc>
          <w:tcPr>
            <w:tcW w:w="0" w:type="auto"/>
            <w:tcMar>
              <w:top w:w="150" w:type="dxa"/>
              <w:left w:w="240" w:type="dxa"/>
              <w:bottom w:w="150" w:type="dxa"/>
              <w:right w:w="0" w:type="dxa"/>
            </w:tcMar>
            <w:vAlign w:val="center"/>
            <w:hideMark/>
          </w:tcPr>
          <w:p w14:paraId="19B7726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the final result</w:t>
            </w:r>
          </w:p>
        </w:tc>
      </w:tr>
      <w:tr w:rsidR="000503A1" w:rsidRPr="00BA2C3F" w14:paraId="38431107" w14:textId="77777777" w:rsidTr="000503A1">
        <w:tc>
          <w:tcPr>
            <w:tcW w:w="0" w:type="auto"/>
            <w:tcMar>
              <w:top w:w="150" w:type="dxa"/>
              <w:left w:w="240" w:type="dxa"/>
              <w:bottom w:w="150" w:type="dxa"/>
              <w:right w:w="240" w:type="dxa"/>
            </w:tcMar>
            <w:vAlign w:val="center"/>
            <w:hideMark/>
          </w:tcPr>
          <w:p w14:paraId="7D0E7DA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FF8A8E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Yes, she completed it. But she was no longer enthusiastic about pursuing a master's degree. She said, "Ma'am, I don't want to keep fighting the judgment that I'm too feminine. I'm tired." That's so sad, Ma'am. We lost a potential researcher just because of a senior lecturer's seemingly "subtle" comment.</w:t>
            </w:r>
          </w:p>
        </w:tc>
        <w:tc>
          <w:tcPr>
            <w:tcW w:w="0" w:type="auto"/>
            <w:tcMar>
              <w:top w:w="150" w:type="dxa"/>
              <w:left w:w="240" w:type="dxa"/>
              <w:bottom w:w="150" w:type="dxa"/>
              <w:right w:w="0" w:type="dxa"/>
            </w:tcMar>
            <w:vAlign w:val="center"/>
            <w:hideMark/>
          </w:tcPr>
          <w:p w14:paraId="7175336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Long-term impact of microaggressions: Rini lost her enthusiasm for pursuing an academic career. This is a "leaky pipeline" in academia: talented women leave due to an unsupportive environment.</w:t>
            </w:r>
          </w:p>
        </w:tc>
      </w:tr>
      <w:tr w:rsidR="000503A1" w:rsidRPr="00BA2C3F" w14:paraId="28B7E85D" w14:textId="77777777" w:rsidTr="000503A1">
        <w:tc>
          <w:tcPr>
            <w:tcW w:w="0" w:type="auto"/>
            <w:tcMar>
              <w:top w:w="150" w:type="dxa"/>
              <w:left w:w="240" w:type="dxa"/>
              <w:bottom w:w="150" w:type="dxa"/>
              <w:right w:w="240" w:type="dxa"/>
            </w:tcMar>
            <w:vAlign w:val="center"/>
            <w:hideMark/>
          </w:tcPr>
          <w:p w14:paraId="5B00909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3FB9111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how do you see the role of the Faculty of Teacher Training in developing future teachers?</w:t>
            </w:r>
          </w:p>
        </w:tc>
        <w:tc>
          <w:tcPr>
            <w:tcW w:w="0" w:type="auto"/>
            <w:tcMar>
              <w:top w:w="150" w:type="dxa"/>
              <w:left w:w="240" w:type="dxa"/>
              <w:bottom w:w="150" w:type="dxa"/>
              <w:right w:w="0" w:type="dxa"/>
            </w:tcMar>
            <w:vAlign w:val="center"/>
            <w:hideMark/>
          </w:tcPr>
          <w:p w14:paraId="39D12CF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Transition to faculty role</w:t>
            </w:r>
          </w:p>
        </w:tc>
      </w:tr>
      <w:tr w:rsidR="000503A1" w:rsidRPr="00BA2C3F" w14:paraId="5D4B210B" w14:textId="77777777" w:rsidTr="000503A1">
        <w:tc>
          <w:tcPr>
            <w:tcW w:w="0" w:type="auto"/>
            <w:tcMar>
              <w:top w:w="150" w:type="dxa"/>
              <w:left w:w="240" w:type="dxa"/>
              <w:bottom w:w="150" w:type="dxa"/>
              <w:right w:w="240" w:type="dxa"/>
            </w:tcMar>
            <w:vAlign w:val="center"/>
            <w:hideMark/>
          </w:tcPr>
          <w:p w14:paraId="3FFF0B5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663C84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 seriously]</w:t>
            </w:r>
            <w:r w:rsidRPr="00BA2C3F">
              <w:rPr>
                <w:rFonts w:ascii="Segoe UI" w:eastAsia="Times New Roman" w:hAnsi="Segoe UI" w:cs="Segoe UI"/>
                <w:kern w:val="0"/>
                <w:sz w:val="23"/>
                <w:szCs w:val="23"/>
                <w:lang w:eastAsia="en-ID"/>
                <w14:ligatures w14:val="none"/>
              </w:rPr>
              <w:t>This is a huge responsibility, Ma'am. We're producing future teachers who will teach in schools. If we don't equip them with an understanding of gender issues, they'll bring their biases into the classroom. And the cycle will continue.</w:t>
            </w:r>
          </w:p>
        </w:tc>
        <w:tc>
          <w:tcPr>
            <w:tcW w:w="0" w:type="auto"/>
            <w:tcMar>
              <w:top w:w="150" w:type="dxa"/>
              <w:left w:w="240" w:type="dxa"/>
              <w:bottom w:w="150" w:type="dxa"/>
              <w:right w:w="0" w:type="dxa"/>
            </w:tcMar>
            <w:vAlign w:val="center"/>
            <w:hideMark/>
          </w:tcPr>
          <w:p w14:paraId="2D06147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is aware of the faculty's responsibility in forming prospective teachers.</w:t>
            </w:r>
          </w:p>
        </w:tc>
      </w:tr>
      <w:tr w:rsidR="000503A1" w:rsidRPr="00BA2C3F" w14:paraId="13BD81CA" w14:textId="77777777" w:rsidTr="000503A1">
        <w:tc>
          <w:tcPr>
            <w:tcW w:w="0" w:type="auto"/>
            <w:tcMar>
              <w:top w:w="150" w:type="dxa"/>
              <w:left w:w="240" w:type="dxa"/>
              <w:bottom w:w="150" w:type="dxa"/>
              <w:right w:w="240" w:type="dxa"/>
            </w:tcMar>
            <w:vAlign w:val="center"/>
            <w:hideMark/>
          </w:tcPr>
          <w:p w14:paraId="705F447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1D2E29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Does the curriculum in this faculty cover gender issues?</w:t>
            </w:r>
          </w:p>
        </w:tc>
        <w:tc>
          <w:tcPr>
            <w:tcW w:w="0" w:type="auto"/>
            <w:tcMar>
              <w:top w:w="150" w:type="dxa"/>
              <w:left w:w="240" w:type="dxa"/>
              <w:bottom w:w="150" w:type="dxa"/>
              <w:right w:w="0" w:type="dxa"/>
            </w:tcMar>
            <w:vAlign w:val="center"/>
            <w:hideMark/>
          </w:tcPr>
          <w:p w14:paraId="624BDF2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about the curriculum</w:t>
            </w:r>
          </w:p>
        </w:tc>
      </w:tr>
      <w:tr w:rsidR="000503A1" w:rsidRPr="00BA2C3F" w14:paraId="2D115E2A" w14:textId="77777777" w:rsidTr="000503A1">
        <w:tc>
          <w:tcPr>
            <w:tcW w:w="0" w:type="auto"/>
            <w:tcMar>
              <w:top w:w="150" w:type="dxa"/>
              <w:left w:w="240" w:type="dxa"/>
              <w:bottom w:w="150" w:type="dxa"/>
              <w:right w:w="240" w:type="dxa"/>
            </w:tcMar>
            <w:vAlign w:val="center"/>
            <w:hideMark/>
          </w:tcPr>
          <w:p w14:paraId="02D79CA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4A08EC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[Sigh]</w:t>
            </w:r>
            <w:r w:rsidRPr="00BA2C3F">
              <w:rPr>
                <w:rFonts w:ascii="Segoe UI" w:eastAsia="Times New Roman" w:hAnsi="Segoe UI" w:cs="Segoe UI"/>
                <w:kern w:val="0"/>
                <w:sz w:val="23"/>
                <w:szCs w:val="23"/>
                <w:lang w:eastAsia="en-ID"/>
                <w14:ligatures w14:val="none"/>
              </w:rPr>
              <w:t>It's still very minimal, Miss. There are one or two courses that discuss gender issues, but even those aren't mandatory. Many prospective teachers graduate without ever seriously addressing gender issues. They aren't taught how to identify microaggressions or how to create gender-inclusive classrooms. This is the root of the problem.</w:t>
            </w:r>
          </w:p>
        </w:tc>
        <w:tc>
          <w:tcPr>
            <w:tcW w:w="0" w:type="auto"/>
            <w:tcMar>
              <w:top w:w="150" w:type="dxa"/>
              <w:left w:w="240" w:type="dxa"/>
              <w:bottom w:w="150" w:type="dxa"/>
              <w:right w:w="0" w:type="dxa"/>
            </w:tcMar>
            <w:vAlign w:val="center"/>
            <w:hideMark/>
          </w:tcPr>
          <w:p w14:paraId="3E931EC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identified gaps in the teacher education curriculum</w:t>
            </w:r>
          </w:p>
        </w:tc>
      </w:tr>
      <w:tr w:rsidR="000503A1" w:rsidRPr="00BA2C3F" w14:paraId="4DD9E0B8" w14:textId="77777777" w:rsidTr="000503A1">
        <w:tc>
          <w:tcPr>
            <w:tcW w:w="0" w:type="auto"/>
            <w:tcMar>
              <w:top w:w="150" w:type="dxa"/>
              <w:left w:w="240" w:type="dxa"/>
              <w:bottom w:w="150" w:type="dxa"/>
              <w:right w:w="240" w:type="dxa"/>
            </w:tcMar>
            <w:vAlign w:val="center"/>
            <w:hideMark/>
          </w:tcPr>
          <w:p w14:paraId="1C10B7D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869BE6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What should be done?</w:t>
            </w:r>
          </w:p>
        </w:tc>
        <w:tc>
          <w:tcPr>
            <w:tcW w:w="0" w:type="auto"/>
            <w:tcMar>
              <w:top w:w="150" w:type="dxa"/>
              <w:left w:w="240" w:type="dxa"/>
              <w:bottom w:w="150" w:type="dxa"/>
              <w:right w:w="0" w:type="dxa"/>
            </w:tcMar>
            <w:vAlign w:val="center"/>
            <w:hideMark/>
          </w:tcPr>
          <w:p w14:paraId="1BBA1C3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solutions</w:t>
            </w:r>
          </w:p>
        </w:tc>
      </w:tr>
      <w:tr w:rsidR="000503A1" w:rsidRPr="00BA2C3F" w14:paraId="1C813C82" w14:textId="77777777" w:rsidTr="000503A1">
        <w:tc>
          <w:tcPr>
            <w:tcW w:w="0" w:type="auto"/>
            <w:tcMar>
              <w:top w:w="150" w:type="dxa"/>
              <w:left w:w="240" w:type="dxa"/>
              <w:bottom w:w="150" w:type="dxa"/>
              <w:right w:w="240" w:type="dxa"/>
            </w:tcMar>
            <w:vAlign w:val="center"/>
            <w:hideMark/>
          </w:tcPr>
          <w:p w14:paraId="1420FDC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0B5A74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[Smiling wisely]</w:t>
            </w:r>
            <w:r w:rsidRPr="00BA2C3F">
              <w:rPr>
                <w:rFonts w:ascii="Segoe UI" w:eastAsia="Times New Roman" w:hAnsi="Segoe UI" w:cs="Segoe UI"/>
                <w:kern w:val="0"/>
                <w:sz w:val="23"/>
                <w:szCs w:val="23"/>
                <w:lang w:eastAsia="en-ID"/>
                <w14:ligatures w14:val="none"/>
              </w:rPr>
              <w:t xml:space="preserve">We must revise the curriculum, Ma'am. Gender issues must be an integral part of every course, not just one or two separate courses. Prospective teachers must be equipped with an understanding of how gender bias operates in education. They must be taught how to identify microaggressions and how to respond to them. They must be </w:t>
            </w:r>
            <w:r w:rsidRPr="00BA2C3F">
              <w:rPr>
                <w:rFonts w:ascii="Segoe UI" w:eastAsia="Times New Roman" w:hAnsi="Segoe UI" w:cs="Segoe UI"/>
                <w:kern w:val="0"/>
                <w:sz w:val="23"/>
                <w:szCs w:val="23"/>
                <w:lang w:eastAsia="en-ID"/>
                <w14:ligatures w14:val="none"/>
              </w:rPr>
              <w:lastRenderedPageBreak/>
              <w:t>trained to create gender-inclusive classrooms. This is a long-term investment.</w:t>
            </w:r>
          </w:p>
        </w:tc>
        <w:tc>
          <w:tcPr>
            <w:tcW w:w="0" w:type="auto"/>
            <w:tcMar>
              <w:top w:w="150" w:type="dxa"/>
              <w:left w:w="240" w:type="dxa"/>
              <w:bottom w:w="150" w:type="dxa"/>
              <w:right w:w="0" w:type="dxa"/>
            </w:tcMar>
            <w:vAlign w:val="center"/>
            <w:hideMark/>
          </w:tcPr>
          <w:p w14:paraId="63DFD1D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Ms. Yuni proposed a curriculum revision as a long-term solution.</w:t>
            </w:r>
          </w:p>
        </w:tc>
      </w:tr>
      <w:tr w:rsidR="000503A1" w:rsidRPr="00BA2C3F" w14:paraId="0ED27CD5" w14:textId="77777777" w:rsidTr="000503A1">
        <w:tc>
          <w:tcPr>
            <w:tcW w:w="0" w:type="auto"/>
            <w:tcMar>
              <w:top w:w="150" w:type="dxa"/>
              <w:left w:w="240" w:type="dxa"/>
              <w:bottom w:w="150" w:type="dxa"/>
              <w:right w:w="240" w:type="dxa"/>
            </w:tcMar>
            <w:vAlign w:val="center"/>
            <w:hideMark/>
          </w:tcPr>
          <w:p w14:paraId="4DE9009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EC9482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Are there any barriers to doing that?</w:t>
            </w:r>
          </w:p>
        </w:tc>
        <w:tc>
          <w:tcPr>
            <w:tcW w:w="0" w:type="auto"/>
            <w:tcMar>
              <w:top w:w="150" w:type="dxa"/>
              <w:left w:w="240" w:type="dxa"/>
              <w:bottom w:w="150" w:type="dxa"/>
              <w:right w:w="0" w:type="dxa"/>
            </w:tcMar>
            <w:vAlign w:val="center"/>
            <w:hideMark/>
          </w:tcPr>
          <w:p w14:paraId="0AE1ADB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about obstacles</w:t>
            </w:r>
          </w:p>
        </w:tc>
      </w:tr>
      <w:tr w:rsidR="000503A1" w:rsidRPr="00BA2C3F" w14:paraId="73255727" w14:textId="77777777" w:rsidTr="000503A1">
        <w:tc>
          <w:tcPr>
            <w:tcW w:w="0" w:type="auto"/>
            <w:tcMar>
              <w:top w:w="150" w:type="dxa"/>
              <w:left w:w="240" w:type="dxa"/>
              <w:bottom w:w="150" w:type="dxa"/>
              <w:right w:w="240" w:type="dxa"/>
            </w:tcMar>
            <w:vAlign w:val="center"/>
            <w:hideMark/>
          </w:tcPr>
          <w:p w14:paraId="2960E5C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55CE54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[Sigh]</w:t>
            </w:r>
            <w:r w:rsidRPr="00BA2C3F">
              <w:rPr>
                <w:rFonts w:ascii="Segoe UI" w:eastAsia="Times New Roman" w:hAnsi="Segoe UI" w:cs="Segoe UI"/>
                <w:kern w:val="0"/>
                <w:sz w:val="23"/>
                <w:szCs w:val="23"/>
                <w:lang w:eastAsia="en-ID"/>
                <w14:ligatures w14:val="none"/>
              </w:rPr>
              <w:t>There are many, Miss. First, resistance from senior lecturers. They already have established teaching methods and are reluctant to change. Second, limited resources. We don't have enough lecturers with expertise in gender. Third, institutional culture. This faculty remains deeply patriarchal. Many lecturers don't see gender issues as a problem. They consider it a "Western thing" or a "feminist thing."</w:t>
            </w:r>
          </w:p>
        </w:tc>
        <w:tc>
          <w:tcPr>
            <w:tcW w:w="0" w:type="auto"/>
            <w:tcMar>
              <w:top w:w="150" w:type="dxa"/>
              <w:left w:w="240" w:type="dxa"/>
              <w:bottom w:w="150" w:type="dxa"/>
              <w:right w:w="0" w:type="dxa"/>
            </w:tcMar>
            <w:vAlign w:val="center"/>
            <w:hideMark/>
          </w:tcPr>
          <w:p w14:paraId="57D3CB2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identified the following obstacles: resistance from senior lecturers, limited resources, and a patriarchal institutional culture.</w:t>
            </w:r>
          </w:p>
        </w:tc>
      </w:tr>
      <w:tr w:rsidR="000503A1" w:rsidRPr="00BA2C3F" w14:paraId="27219B3B" w14:textId="77777777" w:rsidTr="000503A1">
        <w:tc>
          <w:tcPr>
            <w:tcW w:w="0" w:type="auto"/>
            <w:tcMar>
              <w:top w:w="150" w:type="dxa"/>
              <w:left w:w="240" w:type="dxa"/>
              <w:bottom w:w="150" w:type="dxa"/>
              <w:right w:w="240" w:type="dxa"/>
            </w:tcMar>
            <w:vAlign w:val="center"/>
            <w:hideMark/>
          </w:tcPr>
          <w:p w14:paraId="20420D3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102CAA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How to overcome these obstacles?</w:t>
            </w:r>
          </w:p>
        </w:tc>
        <w:tc>
          <w:tcPr>
            <w:tcW w:w="0" w:type="auto"/>
            <w:tcMar>
              <w:top w:w="150" w:type="dxa"/>
              <w:left w:w="240" w:type="dxa"/>
              <w:bottom w:w="150" w:type="dxa"/>
              <w:right w:w="0" w:type="dxa"/>
            </w:tcMar>
            <w:vAlign w:val="center"/>
            <w:hideMark/>
          </w:tcPr>
          <w:p w14:paraId="03246AC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strategy</w:t>
            </w:r>
          </w:p>
        </w:tc>
      </w:tr>
      <w:tr w:rsidR="000503A1" w:rsidRPr="00BA2C3F" w14:paraId="2C315882" w14:textId="77777777" w:rsidTr="000503A1">
        <w:tc>
          <w:tcPr>
            <w:tcW w:w="0" w:type="auto"/>
            <w:tcMar>
              <w:top w:w="150" w:type="dxa"/>
              <w:left w:w="240" w:type="dxa"/>
              <w:bottom w:w="150" w:type="dxa"/>
              <w:right w:w="240" w:type="dxa"/>
            </w:tcMar>
            <w:vAlign w:val="center"/>
            <w:hideMark/>
          </w:tcPr>
          <w:p w14:paraId="53C9376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5E51C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[Think]</w:t>
            </w:r>
            <w:r w:rsidRPr="00BA2C3F">
              <w:rPr>
                <w:rFonts w:ascii="Segoe UI" w:eastAsia="Times New Roman" w:hAnsi="Segoe UI" w:cs="Segoe UI"/>
                <w:kern w:val="0"/>
                <w:sz w:val="23"/>
                <w:szCs w:val="23"/>
                <w:lang w:eastAsia="en-ID"/>
                <w14:ligatures w14:val="none"/>
              </w:rPr>
              <w:t>We must use a subtle approach, Ma'am. We can't attack head-on. We must start small. For example, by holding a workshop on gender issues for lecturers. But the title shouldn't be "Gender Equality Workshop," as that will make them defensive. We could call it "Workshop on Improving Teaching Quality." In it, we would gradually introduce the concepts of gender bias and microaggressions. We should also involve senior lecturers in the change process, not make them enemies.</w:t>
            </w:r>
          </w:p>
        </w:tc>
        <w:tc>
          <w:tcPr>
            <w:tcW w:w="0" w:type="auto"/>
            <w:tcMar>
              <w:top w:w="150" w:type="dxa"/>
              <w:left w:w="240" w:type="dxa"/>
              <w:bottom w:w="150" w:type="dxa"/>
              <w:right w:w="0" w:type="dxa"/>
            </w:tcMar>
            <w:vAlign w:val="center"/>
            <w:hideMark/>
          </w:tcPr>
          <w:p w14:paraId="62748C2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proposed a “counter-subtle” approach: using workshop titles that are not immediately threatening, introducing concepts gradually, and involving senior lecturers in the change process.</w:t>
            </w:r>
          </w:p>
        </w:tc>
      </w:tr>
      <w:tr w:rsidR="000503A1" w:rsidRPr="00BA2C3F" w14:paraId="33F1B38D" w14:textId="77777777" w:rsidTr="000503A1">
        <w:tc>
          <w:tcPr>
            <w:tcW w:w="0" w:type="auto"/>
            <w:tcMar>
              <w:top w:w="150" w:type="dxa"/>
              <w:left w:w="240" w:type="dxa"/>
              <w:bottom w:w="150" w:type="dxa"/>
              <w:right w:w="240" w:type="dxa"/>
            </w:tcMar>
            <w:vAlign w:val="center"/>
            <w:hideMark/>
          </w:tcPr>
          <w:p w14:paraId="0BAF308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AE4E0F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Has Ms. Yuni tried this approach?</w:t>
            </w:r>
          </w:p>
        </w:tc>
        <w:tc>
          <w:tcPr>
            <w:tcW w:w="0" w:type="auto"/>
            <w:tcMar>
              <w:top w:w="150" w:type="dxa"/>
              <w:left w:w="240" w:type="dxa"/>
              <w:bottom w:w="150" w:type="dxa"/>
              <w:right w:w="0" w:type="dxa"/>
            </w:tcMar>
            <w:vAlign w:val="center"/>
            <w:hideMark/>
          </w:tcPr>
          <w:p w14:paraId="19963EB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implementation</w:t>
            </w:r>
          </w:p>
        </w:tc>
      </w:tr>
      <w:tr w:rsidR="000503A1" w:rsidRPr="00BA2C3F" w14:paraId="3BCBDE45" w14:textId="77777777" w:rsidTr="000503A1">
        <w:tc>
          <w:tcPr>
            <w:tcW w:w="0" w:type="auto"/>
            <w:tcMar>
              <w:top w:w="150" w:type="dxa"/>
              <w:left w:w="240" w:type="dxa"/>
              <w:bottom w:w="150" w:type="dxa"/>
              <w:right w:w="240" w:type="dxa"/>
            </w:tcMar>
            <w:vAlign w:val="center"/>
            <w:hideMark/>
          </w:tcPr>
          <w:p w14:paraId="44BBFDD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7B061AF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w:t>
            </w:r>
            <w:r w:rsidRPr="00BA2C3F">
              <w:rPr>
                <w:rFonts w:ascii="Segoe UI" w:eastAsia="Times New Roman" w:hAnsi="Segoe UI" w:cs="Segoe UI"/>
                <w:kern w:val="0"/>
                <w:sz w:val="23"/>
                <w:szCs w:val="23"/>
                <w:lang w:eastAsia="en-ID"/>
                <w14:ligatures w14:val="none"/>
              </w:rPr>
              <w:t>Yes, ma'am. I've held several workshops on inclusive teaching. I didn't directly address gender, but I gradually incorporated gender issues. For example, I discussed how to provide gender-neutral feedback. I also discussed how to manage participatory classroom discussions. The response was quite positive. Some lecturers began to realize that they were unconsciously treating female and male students differently. But of course, there's still much work to be done.</w:t>
            </w:r>
          </w:p>
        </w:tc>
        <w:tc>
          <w:tcPr>
            <w:tcW w:w="0" w:type="auto"/>
            <w:tcMar>
              <w:top w:w="150" w:type="dxa"/>
              <w:left w:w="240" w:type="dxa"/>
              <w:bottom w:w="150" w:type="dxa"/>
              <w:right w:w="0" w:type="dxa"/>
            </w:tcMar>
            <w:vAlign w:val="center"/>
            <w:hideMark/>
          </w:tcPr>
          <w:p w14:paraId="3444505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Yanti has begun implementing a "counter-subtle" approach in her faculty.</w:t>
            </w:r>
          </w:p>
        </w:tc>
      </w:tr>
      <w:tr w:rsidR="000503A1" w:rsidRPr="00BA2C3F" w14:paraId="006FE226" w14:textId="77777777" w:rsidTr="000503A1">
        <w:tc>
          <w:tcPr>
            <w:tcW w:w="0" w:type="auto"/>
            <w:tcMar>
              <w:top w:w="150" w:type="dxa"/>
              <w:left w:w="240" w:type="dxa"/>
              <w:bottom w:w="150" w:type="dxa"/>
              <w:right w:w="240" w:type="dxa"/>
            </w:tcMar>
            <w:vAlign w:val="center"/>
            <w:hideMark/>
          </w:tcPr>
          <w:p w14:paraId="7BFB30B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E88E84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Are there any lecturers who refuse?</w:t>
            </w:r>
          </w:p>
        </w:tc>
        <w:tc>
          <w:tcPr>
            <w:tcW w:w="0" w:type="auto"/>
            <w:tcMar>
              <w:top w:w="150" w:type="dxa"/>
              <w:left w:w="240" w:type="dxa"/>
              <w:bottom w:w="150" w:type="dxa"/>
              <w:right w:w="0" w:type="dxa"/>
            </w:tcMar>
            <w:vAlign w:val="center"/>
            <w:hideMark/>
          </w:tcPr>
          <w:p w14:paraId="1544835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resistance</w:t>
            </w:r>
          </w:p>
        </w:tc>
      </w:tr>
      <w:tr w:rsidR="000503A1" w:rsidRPr="00BA2C3F" w14:paraId="1EE70855" w14:textId="77777777" w:rsidTr="000503A1">
        <w:tc>
          <w:tcPr>
            <w:tcW w:w="0" w:type="auto"/>
            <w:tcMar>
              <w:top w:w="150" w:type="dxa"/>
              <w:left w:w="240" w:type="dxa"/>
              <w:bottom w:w="150" w:type="dxa"/>
              <w:right w:w="240" w:type="dxa"/>
            </w:tcMar>
            <w:vAlign w:val="center"/>
            <w:hideMark/>
          </w:tcPr>
          <w:p w14:paraId="3C7C531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8B53E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[Sigh]</w:t>
            </w:r>
            <w:r w:rsidRPr="00BA2C3F">
              <w:rPr>
                <w:rFonts w:ascii="Segoe UI" w:eastAsia="Times New Roman" w:hAnsi="Segoe UI" w:cs="Segoe UI"/>
                <w:kern w:val="0"/>
                <w:sz w:val="23"/>
                <w:szCs w:val="23"/>
                <w:lang w:eastAsia="en-ID"/>
                <w14:ligatures w14:val="none"/>
              </w:rPr>
              <w:t>Yes, ma'am. There were some senior lecturers who didn't want to attend the workshop. They said, "It's not necessary. I've been teaching for decades without any problems." I didn't force them. But I continued holding the workshops, and slowly they began to see the benefits. I also sought allies among younger lecturers who were more open to change.</w:t>
            </w:r>
          </w:p>
        </w:tc>
        <w:tc>
          <w:tcPr>
            <w:tcW w:w="0" w:type="auto"/>
            <w:tcMar>
              <w:top w:w="150" w:type="dxa"/>
              <w:left w:w="240" w:type="dxa"/>
              <w:bottom w:w="150" w:type="dxa"/>
              <w:right w:w="0" w:type="dxa"/>
            </w:tcMar>
            <w:vAlign w:val="center"/>
            <w:hideMark/>
          </w:tcPr>
          <w:p w14:paraId="641F46A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faced resistance but remained consistent with her "counter-subtle" approach.</w:t>
            </w:r>
          </w:p>
        </w:tc>
      </w:tr>
      <w:tr w:rsidR="000503A1" w:rsidRPr="00BA2C3F" w14:paraId="573E4354" w14:textId="77777777" w:rsidTr="000503A1">
        <w:tc>
          <w:tcPr>
            <w:tcW w:w="0" w:type="auto"/>
            <w:tcMar>
              <w:top w:w="150" w:type="dxa"/>
              <w:left w:w="240" w:type="dxa"/>
              <w:bottom w:w="150" w:type="dxa"/>
              <w:right w:w="240" w:type="dxa"/>
            </w:tcMar>
            <w:vAlign w:val="center"/>
            <w:hideMark/>
          </w:tcPr>
          <w:p w14:paraId="07BDFBC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E714B0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how do you see the role of students in this change?</w:t>
            </w:r>
          </w:p>
        </w:tc>
        <w:tc>
          <w:tcPr>
            <w:tcW w:w="0" w:type="auto"/>
            <w:tcMar>
              <w:top w:w="150" w:type="dxa"/>
              <w:left w:w="240" w:type="dxa"/>
              <w:bottom w:w="150" w:type="dxa"/>
              <w:right w:w="0" w:type="dxa"/>
            </w:tcMar>
            <w:vAlign w:val="center"/>
            <w:hideMark/>
          </w:tcPr>
          <w:p w14:paraId="7B5717F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about the role of students</w:t>
            </w:r>
          </w:p>
        </w:tc>
      </w:tr>
      <w:tr w:rsidR="000503A1" w:rsidRPr="00BA2C3F" w14:paraId="7F7ED21F" w14:textId="77777777" w:rsidTr="000503A1">
        <w:tc>
          <w:tcPr>
            <w:tcW w:w="0" w:type="auto"/>
            <w:tcMar>
              <w:top w:w="150" w:type="dxa"/>
              <w:left w:w="240" w:type="dxa"/>
              <w:bottom w:w="150" w:type="dxa"/>
              <w:right w:w="240" w:type="dxa"/>
            </w:tcMar>
            <w:vAlign w:val="center"/>
            <w:hideMark/>
          </w:tcPr>
          <w:p w14:paraId="2FEFAD1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8D0D29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[Smiling brightly]</w:t>
            </w:r>
            <w:r w:rsidRPr="00BA2C3F">
              <w:rPr>
                <w:rFonts w:ascii="Segoe UI" w:eastAsia="Times New Roman" w:hAnsi="Segoe UI" w:cs="Segoe UI"/>
                <w:kern w:val="0"/>
                <w:sz w:val="23"/>
                <w:szCs w:val="23"/>
                <w:lang w:eastAsia="en-ID"/>
                <w14:ligatures w14:val="none"/>
              </w:rPr>
              <w:t xml:space="preserve">Students are key, Miss. They are the next generation. They will be the teachers and lecturers of the future. If we can equip them with a proper understanding of gender </w:t>
            </w:r>
            <w:r w:rsidRPr="00BA2C3F">
              <w:rPr>
                <w:rFonts w:ascii="Segoe UI" w:eastAsia="Times New Roman" w:hAnsi="Segoe UI" w:cs="Segoe UI"/>
                <w:kern w:val="0"/>
                <w:sz w:val="23"/>
                <w:szCs w:val="23"/>
                <w:lang w:eastAsia="en-ID"/>
                <w14:ligatures w14:val="none"/>
              </w:rPr>
              <w:lastRenderedPageBreak/>
              <w:t>issues, they will become extraordinary agents of change. I've seen this in my classes. Students who previously didn't care about gender issues, after participating in class discussions, began to become aware and more critical. They began to question the assumptions they had taken for granted. They began to see the injustices around them. This is the beginning of a bigger change.</w:t>
            </w:r>
          </w:p>
        </w:tc>
        <w:tc>
          <w:tcPr>
            <w:tcW w:w="0" w:type="auto"/>
            <w:tcMar>
              <w:top w:w="150" w:type="dxa"/>
              <w:left w:w="240" w:type="dxa"/>
              <w:bottom w:w="150" w:type="dxa"/>
              <w:right w:w="0" w:type="dxa"/>
            </w:tcMar>
            <w:vAlign w:val="center"/>
            <w:hideMark/>
          </w:tcPr>
          <w:p w14:paraId="1E2B559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Ms. Yuni sees students as the key to change. They are the next generation who will become teachers and lecturers. If equipped with the right understanding, they can become agents of change.</w:t>
            </w:r>
          </w:p>
        </w:tc>
      </w:tr>
      <w:tr w:rsidR="000503A1" w:rsidRPr="00BA2C3F" w14:paraId="3BCD18B7" w14:textId="77777777" w:rsidTr="000503A1">
        <w:tc>
          <w:tcPr>
            <w:tcW w:w="0" w:type="auto"/>
            <w:tcMar>
              <w:top w:w="150" w:type="dxa"/>
              <w:left w:w="240" w:type="dxa"/>
              <w:bottom w:w="150" w:type="dxa"/>
              <w:right w:w="240" w:type="dxa"/>
            </w:tcMar>
            <w:vAlign w:val="center"/>
            <w:hideMark/>
          </w:tcPr>
          <w:p w14:paraId="7A54868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7B9A18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Are there any students who later become gender activists?</w:t>
            </w:r>
          </w:p>
        </w:tc>
        <w:tc>
          <w:tcPr>
            <w:tcW w:w="0" w:type="auto"/>
            <w:tcMar>
              <w:top w:w="150" w:type="dxa"/>
              <w:left w:w="240" w:type="dxa"/>
              <w:bottom w:w="150" w:type="dxa"/>
              <w:right w:w="0" w:type="dxa"/>
            </w:tcMar>
            <w:vAlign w:val="center"/>
            <w:hideMark/>
          </w:tcPr>
          <w:p w14:paraId="4777037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 for examples of inspired students</w:t>
            </w:r>
          </w:p>
        </w:tc>
      </w:tr>
      <w:tr w:rsidR="000503A1" w:rsidRPr="00BA2C3F" w14:paraId="3E3AD179" w14:textId="77777777" w:rsidTr="000503A1">
        <w:tc>
          <w:tcPr>
            <w:tcW w:w="0" w:type="auto"/>
            <w:tcMar>
              <w:top w:w="150" w:type="dxa"/>
              <w:left w:w="240" w:type="dxa"/>
              <w:bottom w:w="150" w:type="dxa"/>
              <w:right w:w="240" w:type="dxa"/>
            </w:tcMar>
            <w:vAlign w:val="center"/>
            <w:hideMark/>
          </w:tcPr>
          <w:p w14:paraId="3AA7986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A8EB99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 proudly]</w:t>
            </w:r>
            <w:r w:rsidRPr="00BA2C3F">
              <w:rPr>
                <w:rFonts w:ascii="Segoe UI" w:eastAsia="Times New Roman" w:hAnsi="Segoe UI" w:cs="Segoe UI"/>
                <w:kern w:val="0"/>
                <w:sz w:val="23"/>
                <w:szCs w:val="23"/>
                <w:lang w:eastAsia="en-ID"/>
                <w14:ligatures w14:val="none"/>
              </w:rPr>
              <w:t>Yes, ma'am. Some of my students have formed discussion groups on gender issues on campus. They hold seminars and workshops on gender equality. They've also begun researching gender issues for their theses. One student researched the experiences of high school students who are restricted by guidance counselors. Her research was excellent. She clearly demonstrated how seemingly good "advice" can limit a student's dreams. That made me very proud. It shows that change is possible.</w:t>
            </w:r>
          </w:p>
        </w:tc>
        <w:tc>
          <w:tcPr>
            <w:tcW w:w="0" w:type="auto"/>
            <w:tcMar>
              <w:top w:w="150" w:type="dxa"/>
              <w:left w:w="240" w:type="dxa"/>
              <w:bottom w:w="150" w:type="dxa"/>
              <w:right w:w="0" w:type="dxa"/>
            </w:tcMar>
            <w:vAlign w:val="center"/>
            <w:hideMark/>
          </w:tcPr>
          <w:p w14:paraId="6073316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provided the example of a student who was inspired to become a gender activist and researcher. This is proof that critical education can produce agents of change.</w:t>
            </w:r>
          </w:p>
        </w:tc>
      </w:tr>
      <w:tr w:rsidR="000503A1" w:rsidRPr="00BA2C3F" w14:paraId="10D685E3" w14:textId="77777777" w:rsidTr="000503A1">
        <w:tc>
          <w:tcPr>
            <w:tcW w:w="0" w:type="auto"/>
            <w:tcMar>
              <w:top w:w="150" w:type="dxa"/>
              <w:left w:w="240" w:type="dxa"/>
              <w:bottom w:w="150" w:type="dxa"/>
              <w:right w:w="240" w:type="dxa"/>
            </w:tcMar>
            <w:vAlign w:val="center"/>
            <w:hideMark/>
          </w:tcPr>
          <w:p w14:paraId="4666091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376A0D3"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how do you see the role of research in this change?</w:t>
            </w:r>
          </w:p>
        </w:tc>
        <w:tc>
          <w:tcPr>
            <w:tcW w:w="0" w:type="auto"/>
            <w:tcMar>
              <w:top w:w="150" w:type="dxa"/>
              <w:left w:w="240" w:type="dxa"/>
              <w:bottom w:w="150" w:type="dxa"/>
              <w:right w:w="0" w:type="dxa"/>
            </w:tcMar>
            <w:vAlign w:val="center"/>
            <w:hideMark/>
          </w:tcPr>
          <w:p w14:paraId="09049BB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about the role of research</w:t>
            </w:r>
          </w:p>
        </w:tc>
      </w:tr>
      <w:tr w:rsidR="000503A1" w:rsidRPr="00BA2C3F" w14:paraId="171E9332" w14:textId="77777777" w:rsidTr="000503A1">
        <w:tc>
          <w:tcPr>
            <w:tcW w:w="0" w:type="auto"/>
            <w:tcMar>
              <w:top w:w="150" w:type="dxa"/>
              <w:left w:w="240" w:type="dxa"/>
              <w:bottom w:w="150" w:type="dxa"/>
              <w:right w:w="240" w:type="dxa"/>
            </w:tcMar>
            <w:vAlign w:val="center"/>
            <w:hideMark/>
          </w:tcPr>
          <w:p w14:paraId="40121EC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233AC6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w:t>
            </w:r>
            <w:r w:rsidRPr="00BA2C3F">
              <w:rPr>
                <w:rFonts w:ascii="Segoe UI" w:eastAsia="Times New Roman" w:hAnsi="Segoe UI" w:cs="Segoe UI"/>
                <w:kern w:val="0"/>
                <w:sz w:val="23"/>
                <w:szCs w:val="23"/>
                <w:lang w:eastAsia="en-ID"/>
                <w14:ligatures w14:val="none"/>
              </w:rPr>
              <w:t xml:space="preserve">Research is crucial, Ma'am. We need empirical evidence to show that this problem is real. We need data to convince policymakers and educators. </w:t>
            </w:r>
            <w:r w:rsidRPr="00BA2C3F">
              <w:rPr>
                <w:rFonts w:ascii="Segoe UI" w:eastAsia="Times New Roman" w:hAnsi="Segoe UI" w:cs="Segoe UI"/>
                <w:kern w:val="0"/>
                <w:sz w:val="23"/>
                <w:szCs w:val="23"/>
                <w:lang w:eastAsia="en-ID"/>
                <w14:ligatures w14:val="none"/>
              </w:rPr>
              <w:lastRenderedPageBreak/>
              <w:t>Research on gender microaggressions is still very limited in Indonesia. We need more research on this topic, across various contexts, in various regions. This study is an excellent first step.</w:t>
            </w:r>
          </w:p>
        </w:tc>
        <w:tc>
          <w:tcPr>
            <w:tcW w:w="0" w:type="auto"/>
            <w:tcMar>
              <w:top w:w="150" w:type="dxa"/>
              <w:left w:w="240" w:type="dxa"/>
              <w:bottom w:w="150" w:type="dxa"/>
              <w:right w:w="0" w:type="dxa"/>
            </w:tcMar>
            <w:vAlign w:val="center"/>
            <w:hideMark/>
          </w:tcPr>
          <w:p w14:paraId="636AE6A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Ms. Yuni emphasized the importance of research to prove the problem and convince policy makers.</w:t>
            </w:r>
          </w:p>
        </w:tc>
      </w:tr>
      <w:tr w:rsidR="000503A1" w:rsidRPr="00BA2C3F" w14:paraId="2FC1C035" w14:textId="77777777" w:rsidTr="000503A1">
        <w:tc>
          <w:tcPr>
            <w:tcW w:w="0" w:type="auto"/>
            <w:tcMar>
              <w:top w:w="150" w:type="dxa"/>
              <w:left w:w="240" w:type="dxa"/>
              <w:bottom w:w="150" w:type="dxa"/>
              <w:right w:w="240" w:type="dxa"/>
            </w:tcMar>
            <w:vAlign w:val="center"/>
            <w:hideMark/>
          </w:tcPr>
          <w:p w14:paraId="580194F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FBCF2A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Does Ms. Yuni have any hopes for this research?</w:t>
            </w:r>
          </w:p>
        </w:tc>
        <w:tc>
          <w:tcPr>
            <w:tcW w:w="0" w:type="auto"/>
            <w:tcMar>
              <w:top w:w="150" w:type="dxa"/>
              <w:left w:w="240" w:type="dxa"/>
              <w:bottom w:w="150" w:type="dxa"/>
              <w:right w:w="0" w:type="dxa"/>
            </w:tcMar>
            <w:vAlign w:val="center"/>
            <w:hideMark/>
          </w:tcPr>
          <w:p w14:paraId="1EB563C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hope</w:t>
            </w:r>
          </w:p>
        </w:tc>
      </w:tr>
      <w:tr w:rsidR="000503A1" w:rsidRPr="00BA2C3F" w14:paraId="05865B2F" w14:textId="77777777" w:rsidTr="000503A1">
        <w:tc>
          <w:tcPr>
            <w:tcW w:w="0" w:type="auto"/>
            <w:tcMar>
              <w:top w:w="150" w:type="dxa"/>
              <w:left w:w="240" w:type="dxa"/>
              <w:bottom w:w="150" w:type="dxa"/>
              <w:right w:w="240" w:type="dxa"/>
            </w:tcMar>
            <w:vAlign w:val="center"/>
            <w:hideMark/>
          </w:tcPr>
          <w:p w14:paraId="4D643A2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91789F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[Smile]</w:t>
            </w:r>
            <w:r w:rsidRPr="00BA2C3F">
              <w:rPr>
                <w:rFonts w:ascii="Segoe UI" w:eastAsia="Times New Roman" w:hAnsi="Segoe UI" w:cs="Segoe UI"/>
                <w:kern w:val="0"/>
                <w:sz w:val="23"/>
                <w:szCs w:val="23"/>
                <w:lang w:eastAsia="en-ID"/>
                <w14:ligatures w14:val="none"/>
              </w:rPr>
              <w:t>I hope this research can be a catalyst for change, Miss. I hope these findings can be read by policymakers, teachers, lecturers, and everyone who cares about education. I hope this research can open many people's eyes to how "subtle power" operates in our education system. And I hope this research can inspire more research on this issue.</w:t>
            </w:r>
          </w:p>
        </w:tc>
        <w:tc>
          <w:tcPr>
            <w:tcW w:w="0" w:type="auto"/>
            <w:tcMar>
              <w:top w:w="150" w:type="dxa"/>
              <w:left w:w="240" w:type="dxa"/>
              <w:bottom w:w="150" w:type="dxa"/>
              <w:right w:w="0" w:type="dxa"/>
            </w:tcMar>
            <w:vAlign w:val="center"/>
            <w:hideMark/>
          </w:tcPr>
          <w:p w14:paraId="371396A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hopes this research will be a trigger for change, open eyes about "subtle power," and inspire more research.</w:t>
            </w:r>
          </w:p>
        </w:tc>
      </w:tr>
      <w:tr w:rsidR="000503A1" w:rsidRPr="00BA2C3F" w14:paraId="54EB602A" w14:textId="77777777" w:rsidTr="000503A1">
        <w:tc>
          <w:tcPr>
            <w:tcW w:w="0" w:type="auto"/>
            <w:tcMar>
              <w:top w:w="150" w:type="dxa"/>
              <w:left w:w="240" w:type="dxa"/>
              <w:bottom w:w="150" w:type="dxa"/>
              <w:right w:w="240" w:type="dxa"/>
            </w:tcMar>
            <w:vAlign w:val="center"/>
            <w:hideMark/>
          </w:tcPr>
          <w:p w14:paraId="4CEC235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A15565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what is your message for lecturers and teachers?</w:t>
            </w:r>
          </w:p>
        </w:tc>
        <w:tc>
          <w:tcPr>
            <w:tcW w:w="0" w:type="auto"/>
            <w:tcMar>
              <w:top w:w="150" w:type="dxa"/>
              <w:left w:w="240" w:type="dxa"/>
              <w:bottom w:w="150" w:type="dxa"/>
              <w:right w:w="0" w:type="dxa"/>
            </w:tcMar>
            <w:vAlign w:val="center"/>
            <w:hideMark/>
          </w:tcPr>
          <w:p w14:paraId="3F9F14B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Questions about messages for educators</w:t>
            </w:r>
          </w:p>
        </w:tc>
      </w:tr>
      <w:tr w:rsidR="000503A1" w:rsidRPr="00BA2C3F" w14:paraId="31DC21E7" w14:textId="77777777" w:rsidTr="000503A1">
        <w:tc>
          <w:tcPr>
            <w:tcW w:w="0" w:type="auto"/>
            <w:tcMar>
              <w:top w:w="150" w:type="dxa"/>
              <w:left w:w="240" w:type="dxa"/>
              <w:bottom w:w="150" w:type="dxa"/>
              <w:right w:w="240" w:type="dxa"/>
            </w:tcMar>
            <w:vAlign w:val="center"/>
            <w:hideMark/>
          </w:tcPr>
          <w:p w14:paraId="5C48353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92E21E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[Nods firmly]</w:t>
            </w:r>
            <w:r w:rsidRPr="00BA2C3F">
              <w:rPr>
                <w:rFonts w:ascii="Segoe UI" w:eastAsia="Times New Roman" w:hAnsi="Segoe UI" w:cs="Segoe UI"/>
                <w:kern w:val="0"/>
                <w:sz w:val="23"/>
                <w:szCs w:val="23"/>
                <w:lang w:eastAsia="en-ID"/>
                <w14:ligatures w14:val="none"/>
              </w:rPr>
              <w:t>I want to say, be aware of the power of your words. Every word you say to your students can be both constructive and destructive. A comment you consider "joking" or "subtle sarcasm" could become a prison for their dreams. So, be careful. Evaluate yourself. Are you truly guiding them, or are you simply projecting your own fears and limitations? And most importantly, don't be afraid to learn new things. Don't be afraid to change your ways. Change isn't easy, but it's our responsibility as educators.</w:t>
            </w:r>
          </w:p>
        </w:tc>
        <w:tc>
          <w:tcPr>
            <w:tcW w:w="0" w:type="auto"/>
            <w:tcMar>
              <w:top w:w="150" w:type="dxa"/>
              <w:left w:w="240" w:type="dxa"/>
              <w:bottom w:w="150" w:type="dxa"/>
              <w:right w:w="0" w:type="dxa"/>
            </w:tcMar>
            <w:vAlign w:val="center"/>
            <w:hideMark/>
          </w:tcPr>
          <w:p w14:paraId="59D740C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delivered a critical and reflective message: realize the power of words; comments can be a prison; self-evaluate; and don't be afraid to learn and change. This is a message that challenges educators to introspect.</w:t>
            </w:r>
          </w:p>
        </w:tc>
      </w:tr>
      <w:tr w:rsidR="000503A1" w:rsidRPr="00BA2C3F" w14:paraId="17442400" w14:textId="77777777" w:rsidTr="000503A1">
        <w:tc>
          <w:tcPr>
            <w:tcW w:w="0" w:type="auto"/>
            <w:tcMar>
              <w:top w:w="150" w:type="dxa"/>
              <w:left w:w="240" w:type="dxa"/>
              <w:bottom w:w="150" w:type="dxa"/>
              <w:right w:w="240" w:type="dxa"/>
            </w:tcMar>
            <w:vAlign w:val="center"/>
            <w:hideMark/>
          </w:tcPr>
          <w:p w14:paraId="4D9EA6A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5A6CD4F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what is your message for young women?</w:t>
            </w:r>
          </w:p>
        </w:tc>
        <w:tc>
          <w:tcPr>
            <w:tcW w:w="0" w:type="auto"/>
            <w:tcMar>
              <w:top w:w="150" w:type="dxa"/>
              <w:left w:w="240" w:type="dxa"/>
              <w:bottom w:w="150" w:type="dxa"/>
              <w:right w:w="0" w:type="dxa"/>
            </w:tcMar>
            <w:vAlign w:val="center"/>
            <w:hideMark/>
          </w:tcPr>
          <w:p w14:paraId="1C34238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Questions about messages for young women</w:t>
            </w:r>
          </w:p>
        </w:tc>
      </w:tr>
      <w:tr w:rsidR="000503A1" w:rsidRPr="00BA2C3F" w14:paraId="3C390735" w14:textId="77777777" w:rsidTr="000503A1">
        <w:tc>
          <w:tcPr>
            <w:tcW w:w="0" w:type="auto"/>
            <w:tcMar>
              <w:top w:w="150" w:type="dxa"/>
              <w:left w:w="240" w:type="dxa"/>
              <w:bottom w:w="150" w:type="dxa"/>
              <w:right w:w="240" w:type="dxa"/>
            </w:tcMar>
            <w:vAlign w:val="center"/>
            <w:hideMark/>
          </w:tcPr>
          <w:p w14:paraId="42A9EAB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B9F357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[Pause, his eyes filled with tears]</w:t>
            </w:r>
            <w:r w:rsidRPr="00BA2C3F">
              <w:rPr>
                <w:rFonts w:ascii="Segoe UI" w:eastAsia="Times New Roman" w:hAnsi="Segoe UI" w:cs="Segoe UI"/>
                <w:kern w:val="0"/>
                <w:sz w:val="23"/>
                <w:szCs w:val="23"/>
                <w:lang w:eastAsia="en-ID"/>
                <w14:ligatures w14:val="none"/>
              </w:rPr>
              <w:t>I want to say, never give up on your dreams. You have the right to be whatever you want to be. Don't let anyone, including lecturers, teachers, parents, or society, limit you with the words "you're a girl, you can't." You can. You are capable. And most importantly, you deserve to be happy with your choices. But I also want to say, you don't have to fight alone. Find supportive friends. Find mentors who can guide you. And remember that every small step you take is part of a bigger struggle.</w:t>
            </w:r>
          </w:p>
        </w:tc>
        <w:tc>
          <w:tcPr>
            <w:tcW w:w="0" w:type="auto"/>
            <w:tcMar>
              <w:top w:w="150" w:type="dxa"/>
              <w:left w:w="240" w:type="dxa"/>
              <w:bottom w:w="150" w:type="dxa"/>
              <w:right w:w="0" w:type="dxa"/>
            </w:tcMar>
            <w:vAlign w:val="center"/>
            <w:hideMark/>
          </w:tcPr>
          <w:p w14:paraId="75D30A2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delivers a powerful and emotional message: don't give up on your dreams, you deserve to be whatever you want to be, you are capable, seek support, and every small step counts. It's an empowering and hopeful message.</w:t>
            </w:r>
          </w:p>
        </w:tc>
      </w:tr>
      <w:tr w:rsidR="000503A1" w:rsidRPr="00BA2C3F" w14:paraId="5BD8D246" w14:textId="77777777" w:rsidTr="000503A1">
        <w:tc>
          <w:tcPr>
            <w:tcW w:w="0" w:type="auto"/>
            <w:tcMar>
              <w:top w:w="150" w:type="dxa"/>
              <w:left w:w="240" w:type="dxa"/>
              <w:bottom w:w="150" w:type="dxa"/>
              <w:right w:w="240" w:type="dxa"/>
            </w:tcMar>
            <w:vAlign w:val="center"/>
            <w:hideMark/>
          </w:tcPr>
          <w:p w14:paraId="2172C24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A9323BC"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what are your hopes for the future of education in Indonesia?</w:t>
            </w:r>
          </w:p>
        </w:tc>
        <w:tc>
          <w:tcPr>
            <w:tcW w:w="0" w:type="auto"/>
            <w:tcMar>
              <w:top w:w="150" w:type="dxa"/>
              <w:left w:w="240" w:type="dxa"/>
              <w:bottom w:w="150" w:type="dxa"/>
              <w:right w:w="0" w:type="dxa"/>
            </w:tcMar>
            <w:vAlign w:val="center"/>
            <w:hideMark/>
          </w:tcPr>
          <w:p w14:paraId="09CEC143"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Asking for future vision</w:t>
            </w:r>
          </w:p>
        </w:tc>
      </w:tr>
      <w:tr w:rsidR="000503A1" w:rsidRPr="00BA2C3F" w14:paraId="33543929" w14:textId="77777777" w:rsidTr="000503A1">
        <w:tc>
          <w:tcPr>
            <w:tcW w:w="0" w:type="auto"/>
            <w:tcMar>
              <w:top w:w="150" w:type="dxa"/>
              <w:left w:w="240" w:type="dxa"/>
              <w:bottom w:w="150" w:type="dxa"/>
              <w:right w:w="240" w:type="dxa"/>
            </w:tcMar>
            <w:vAlign w:val="center"/>
            <w:hideMark/>
          </w:tcPr>
          <w:p w14:paraId="4838807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AA4129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[Smile]</w:t>
            </w:r>
            <w:r w:rsidRPr="00BA2C3F">
              <w:rPr>
                <w:rFonts w:ascii="Segoe UI" w:eastAsia="Times New Roman" w:hAnsi="Segoe UI" w:cs="Segoe UI"/>
                <w:kern w:val="0"/>
                <w:sz w:val="23"/>
                <w:szCs w:val="23"/>
                <w:lang w:eastAsia="en-ID"/>
                <w14:ligatures w14:val="none"/>
              </w:rPr>
              <w:t>I hope that one day, no more female students will lose their voice because of "mothers' answers." I hope that one day, no more female students will be forced to sacrifice their dreams because of the advice of their guidance counselors. I hope that one day, education in Indonesia will truly be a space that liberates, not restricts.</w:t>
            </w:r>
          </w:p>
        </w:tc>
        <w:tc>
          <w:tcPr>
            <w:tcW w:w="0" w:type="auto"/>
            <w:tcMar>
              <w:top w:w="150" w:type="dxa"/>
              <w:left w:w="240" w:type="dxa"/>
              <w:bottom w:w="150" w:type="dxa"/>
              <w:right w:w="0" w:type="dxa"/>
            </w:tcMar>
            <w:vAlign w:val="center"/>
            <w:hideMark/>
          </w:tcPr>
          <w:p w14:paraId="43692243"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expressed her hope: education that liberates, not limits; no more female students losing their voice; no more female students sacrificing their dreams.</w:t>
            </w:r>
          </w:p>
        </w:tc>
      </w:tr>
      <w:tr w:rsidR="000503A1" w:rsidRPr="00BA2C3F" w14:paraId="3E83CADC" w14:textId="77777777" w:rsidTr="000503A1">
        <w:tc>
          <w:tcPr>
            <w:tcW w:w="0" w:type="auto"/>
            <w:tcMar>
              <w:top w:w="150" w:type="dxa"/>
              <w:left w:w="240" w:type="dxa"/>
              <w:bottom w:w="150" w:type="dxa"/>
              <w:right w:w="240" w:type="dxa"/>
            </w:tcMar>
            <w:vAlign w:val="center"/>
            <w:hideMark/>
          </w:tcPr>
          <w:p w14:paraId="42C59E51"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25764E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Ms. Yuni, is there anything else you would like to say?</w:t>
            </w:r>
          </w:p>
        </w:tc>
        <w:tc>
          <w:tcPr>
            <w:tcW w:w="0" w:type="auto"/>
            <w:tcMar>
              <w:top w:w="150" w:type="dxa"/>
              <w:left w:w="240" w:type="dxa"/>
              <w:bottom w:w="150" w:type="dxa"/>
              <w:right w:w="0" w:type="dxa"/>
            </w:tcMar>
            <w:vAlign w:val="center"/>
            <w:hideMark/>
          </w:tcPr>
          <w:p w14:paraId="5DC7368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Make room for the final message</w:t>
            </w:r>
          </w:p>
        </w:tc>
      </w:tr>
      <w:tr w:rsidR="000503A1" w:rsidRPr="00BA2C3F" w14:paraId="6C162A4A" w14:textId="77777777" w:rsidTr="000503A1">
        <w:tc>
          <w:tcPr>
            <w:tcW w:w="0" w:type="auto"/>
            <w:tcMar>
              <w:top w:w="150" w:type="dxa"/>
              <w:left w:w="240" w:type="dxa"/>
              <w:bottom w:w="150" w:type="dxa"/>
              <w:right w:w="240" w:type="dxa"/>
            </w:tcMar>
            <w:vAlign w:val="center"/>
            <w:hideMark/>
          </w:tcPr>
          <w:p w14:paraId="5EEF375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2A8AE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[Pause for a moment, then smile]</w:t>
            </w:r>
            <w:r w:rsidRPr="00BA2C3F">
              <w:rPr>
                <w:rFonts w:ascii="Segoe UI" w:eastAsia="Times New Roman" w:hAnsi="Segoe UI" w:cs="Segoe UI"/>
                <w:kern w:val="0"/>
                <w:sz w:val="23"/>
                <w:szCs w:val="23"/>
                <w:lang w:eastAsia="en-ID"/>
                <w14:ligatures w14:val="none"/>
              </w:rPr>
              <w:t xml:space="preserve">I just want to say thank you, Miss. </w:t>
            </w:r>
            <w:r w:rsidRPr="00BA2C3F">
              <w:rPr>
                <w:rFonts w:ascii="Segoe UI" w:eastAsia="Times New Roman" w:hAnsi="Segoe UI" w:cs="Segoe UI"/>
                <w:kern w:val="0"/>
                <w:sz w:val="23"/>
                <w:szCs w:val="23"/>
                <w:lang w:eastAsia="en-ID"/>
                <w14:ligatures w14:val="none"/>
              </w:rPr>
              <w:lastRenderedPageBreak/>
              <w:t>Thank you for listening. Thank you for raising this issue. I'm confident that with our research and collective efforts, we can create a fairer and more humane education for all.</w:t>
            </w:r>
          </w:p>
        </w:tc>
        <w:tc>
          <w:tcPr>
            <w:tcW w:w="0" w:type="auto"/>
            <w:tcMar>
              <w:top w:w="150" w:type="dxa"/>
              <w:left w:w="240" w:type="dxa"/>
              <w:bottom w:w="150" w:type="dxa"/>
              <w:right w:w="0" w:type="dxa"/>
            </w:tcMar>
            <w:vAlign w:val="center"/>
            <w:hideMark/>
          </w:tcPr>
          <w:p w14:paraId="6D1F7D4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lastRenderedPageBreak/>
              <w:t>Ms. Yuni gave a closing message full of hope and appreciation.</w:t>
            </w:r>
          </w:p>
        </w:tc>
      </w:tr>
      <w:tr w:rsidR="000503A1" w:rsidRPr="00BA2C3F" w14:paraId="58617070" w14:textId="77777777" w:rsidTr="000503A1">
        <w:tc>
          <w:tcPr>
            <w:tcW w:w="0" w:type="auto"/>
            <w:tcMar>
              <w:top w:w="150" w:type="dxa"/>
              <w:left w:w="240" w:type="dxa"/>
              <w:bottom w:w="150" w:type="dxa"/>
              <w:right w:w="240" w:type="dxa"/>
            </w:tcMar>
            <w:vAlign w:val="center"/>
            <w:hideMark/>
          </w:tcPr>
          <w:p w14:paraId="158F7F28"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D0DE78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Thank you so much, Ms. Yuni. I'm truly inspired by your thoughts and struggles.</w:t>
            </w:r>
          </w:p>
        </w:tc>
        <w:tc>
          <w:tcPr>
            <w:tcW w:w="0" w:type="auto"/>
            <w:tcMar>
              <w:top w:w="150" w:type="dxa"/>
              <w:left w:w="240" w:type="dxa"/>
              <w:bottom w:w="150" w:type="dxa"/>
              <w:right w:w="0" w:type="dxa"/>
            </w:tcMar>
            <w:vAlign w:val="center"/>
            <w:hideMark/>
          </w:tcPr>
          <w:p w14:paraId="59777F7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Giving final appreciation</w:t>
            </w:r>
          </w:p>
        </w:tc>
      </w:tr>
      <w:tr w:rsidR="000503A1" w:rsidRPr="00BA2C3F" w14:paraId="5FEE1C93" w14:textId="77777777" w:rsidTr="000503A1">
        <w:tc>
          <w:tcPr>
            <w:tcW w:w="0" w:type="auto"/>
            <w:tcMar>
              <w:top w:w="150" w:type="dxa"/>
              <w:left w:w="240" w:type="dxa"/>
              <w:bottom w:w="150" w:type="dxa"/>
              <w:right w:w="240" w:type="dxa"/>
            </w:tcMar>
            <w:vAlign w:val="center"/>
            <w:hideMark/>
          </w:tcPr>
          <w:p w14:paraId="3FC2CF7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F9E2DC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You're welcome, Miss. Good luck with your research. Don't hesitate to contact me again if there's anything you'd like to discuss.</w:t>
            </w:r>
          </w:p>
        </w:tc>
        <w:tc>
          <w:tcPr>
            <w:tcW w:w="0" w:type="auto"/>
            <w:tcMar>
              <w:top w:w="150" w:type="dxa"/>
              <w:left w:w="240" w:type="dxa"/>
              <w:bottom w:w="150" w:type="dxa"/>
              <w:right w:w="0" w:type="dxa"/>
            </w:tcMar>
            <w:vAlign w:val="center"/>
            <w:hideMark/>
          </w:tcPr>
          <w:p w14:paraId="624DDB97"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Ms. Yuni offers ongoing support</w:t>
            </w:r>
          </w:p>
        </w:tc>
      </w:tr>
      <w:tr w:rsidR="000503A1" w:rsidRPr="00BA2C3F" w14:paraId="097F8338" w14:textId="77777777" w:rsidTr="000503A1">
        <w:tc>
          <w:tcPr>
            <w:tcW w:w="0" w:type="auto"/>
            <w:tcMar>
              <w:top w:w="150" w:type="dxa"/>
              <w:left w:w="240" w:type="dxa"/>
              <w:bottom w:w="150" w:type="dxa"/>
              <w:right w:w="240" w:type="dxa"/>
            </w:tcMar>
            <w:vAlign w:val="center"/>
            <w:hideMark/>
          </w:tcPr>
          <w:p w14:paraId="2800D015"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23B6F2D"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Okay, ma'am. I will convey the results of this research as best as I can.</w:t>
            </w:r>
          </w:p>
        </w:tc>
        <w:tc>
          <w:tcPr>
            <w:tcW w:w="0" w:type="auto"/>
            <w:tcMar>
              <w:top w:w="150" w:type="dxa"/>
              <w:left w:w="240" w:type="dxa"/>
              <w:bottom w:w="150" w:type="dxa"/>
              <w:right w:w="0" w:type="dxa"/>
            </w:tcMar>
            <w:vAlign w:val="center"/>
            <w:hideMark/>
          </w:tcPr>
          <w:p w14:paraId="7D24D80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Closing</w:t>
            </w:r>
          </w:p>
        </w:tc>
      </w:tr>
      <w:tr w:rsidR="000503A1" w:rsidRPr="00BA2C3F" w14:paraId="28863AC9" w14:textId="77777777" w:rsidTr="000503A1">
        <w:tc>
          <w:tcPr>
            <w:tcW w:w="0" w:type="auto"/>
            <w:tcMar>
              <w:top w:w="150" w:type="dxa"/>
              <w:left w:w="240" w:type="dxa"/>
              <w:bottom w:w="150" w:type="dxa"/>
              <w:right w:w="240" w:type="dxa"/>
            </w:tcMar>
            <w:vAlign w:val="center"/>
            <w:hideMark/>
          </w:tcPr>
          <w:p w14:paraId="6BE8DF5E"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FCE165A"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I'm sure you can do it, Miss. Good luck!</w:t>
            </w:r>
          </w:p>
        </w:tc>
        <w:tc>
          <w:tcPr>
            <w:tcW w:w="0" w:type="auto"/>
            <w:tcMar>
              <w:top w:w="150" w:type="dxa"/>
              <w:left w:w="240" w:type="dxa"/>
              <w:bottom w:w="150" w:type="dxa"/>
              <w:right w:w="0" w:type="dxa"/>
            </w:tcMar>
            <w:vAlign w:val="center"/>
            <w:hideMark/>
          </w:tcPr>
          <w:p w14:paraId="003C689F"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Giving encouragement</w:t>
            </w:r>
          </w:p>
        </w:tc>
      </w:tr>
      <w:tr w:rsidR="000503A1" w:rsidRPr="00BA2C3F" w14:paraId="2088E9F4" w14:textId="77777777" w:rsidTr="000503A1">
        <w:tc>
          <w:tcPr>
            <w:tcW w:w="0" w:type="auto"/>
            <w:tcMar>
              <w:top w:w="150" w:type="dxa"/>
              <w:left w:w="240" w:type="dxa"/>
              <w:bottom w:w="150" w:type="dxa"/>
              <w:right w:w="240" w:type="dxa"/>
            </w:tcMar>
            <w:vAlign w:val="center"/>
            <w:hideMark/>
          </w:tcPr>
          <w:p w14:paraId="0634EF02"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7C1CF9B"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Thank you, ma'am. Good afternoon.</w:t>
            </w:r>
          </w:p>
        </w:tc>
        <w:tc>
          <w:tcPr>
            <w:tcW w:w="0" w:type="auto"/>
            <w:tcMar>
              <w:top w:w="150" w:type="dxa"/>
              <w:left w:w="240" w:type="dxa"/>
              <w:bottom w:w="150" w:type="dxa"/>
              <w:right w:w="0" w:type="dxa"/>
            </w:tcMar>
            <w:vAlign w:val="center"/>
            <w:hideMark/>
          </w:tcPr>
          <w:p w14:paraId="214649C6"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closing</w:t>
            </w:r>
          </w:p>
        </w:tc>
      </w:tr>
      <w:tr w:rsidR="000503A1" w:rsidRPr="00BA2C3F" w14:paraId="1813205E" w14:textId="77777777" w:rsidTr="000503A1">
        <w:tc>
          <w:tcPr>
            <w:tcW w:w="0" w:type="auto"/>
            <w:tcMar>
              <w:top w:w="150" w:type="dxa"/>
              <w:left w:w="240" w:type="dxa"/>
              <w:bottom w:w="150" w:type="dxa"/>
              <w:right w:w="240" w:type="dxa"/>
            </w:tcMar>
            <w:vAlign w:val="center"/>
            <w:hideMark/>
          </w:tcPr>
          <w:p w14:paraId="43E34670"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11220A4"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kern w:val="0"/>
                <w:sz w:val="23"/>
                <w:szCs w:val="23"/>
                <w:lang w:eastAsia="en-ID"/>
                <w14:ligatures w14:val="none"/>
              </w:rPr>
              <w:t>Good afternoon, Miss. Be careful on the road.</w:t>
            </w:r>
          </w:p>
        </w:tc>
        <w:tc>
          <w:tcPr>
            <w:tcW w:w="0" w:type="auto"/>
            <w:tcMar>
              <w:top w:w="150" w:type="dxa"/>
              <w:left w:w="240" w:type="dxa"/>
              <w:bottom w:w="150" w:type="dxa"/>
              <w:right w:w="0" w:type="dxa"/>
            </w:tcMar>
            <w:vAlign w:val="center"/>
            <w:hideMark/>
          </w:tcPr>
          <w:p w14:paraId="2F7AE0E9" w14:textId="77777777" w:rsidR="000503A1" w:rsidRPr="00BA2C3F" w:rsidRDefault="000503A1" w:rsidP="000503A1">
            <w:pPr>
              <w:spacing w:after="0" w:line="240" w:lineRule="auto"/>
              <w:rPr>
                <w:rFonts w:ascii="Segoe UI" w:eastAsia="Times New Roman" w:hAnsi="Segoe UI" w:cs="Segoe UI"/>
                <w:kern w:val="0"/>
                <w:sz w:val="23"/>
                <w:szCs w:val="23"/>
                <w:lang w:eastAsia="en-ID"/>
                <w14:ligatures w14:val="none"/>
              </w:rPr>
            </w:pPr>
            <w:r w:rsidRPr="00BA2C3F">
              <w:rPr>
                <w:rFonts w:ascii="Segoe UI" w:eastAsia="Times New Roman" w:hAnsi="Segoe UI" w:cs="Segoe UI"/>
                <w:i/>
                <w:iCs/>
                <w:kern w:val="0"/>
                <w:sz w:val="23"/>
                <w:szCs w:val="23"/>
                <w:lang w:eastAsia="en-ID"/>
                <w14:ligatures w14:val="none"/>
              </w:rPr>
              <w:t>Closing reply</w:t>
            </w:r>
          </w:p>
        </w:tc>
      </w:tr>
    </w:tbl>
    <w:p w14:paraId="30CD6D56"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DQyMDA3NjAwM7NQ0lEKTi0uzszPAykwrAUAxi5yNywAAAA="/>
  </w:docVars>
  <w:rsids>
    <w:rsidRoot w:val="00BA2C3F"/>
    <w:rsid w:val="000503A1"/>
    <w:rsid w:val="00585769"/>
    <w:rsid w:val="00685D2C"/>
    <w:rsid w:val="008F56DB"/>
    <w:rsid w:val="00A42DAA"/>
    <w:rsid w:val="00A560BB"/>
    <w:rsid w:val="00A56B1B"/>
    <w:rsid w:val="00BA2C3F"/>
    <w:rsid w:val="00DE67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6D78"/>
  <w15:chartTrackingRefBased/>
  <w15:docId w15:val="{D72FDE84-7F58-4AC3-ABC0-A12DBB92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2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2C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2C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2C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2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C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2C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2C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2C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2C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2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C3F"/>
    <w:rPr>
      <w:rFonts w:eastAsiaTheme="majorEastAsia" w:cstheme="majorBidi"/>
      <w:color w:val="272727" w:themeColor="text1" w:themeTint="D8"/>
    </w:rPr>
  </w:style>
  <w:style w:type="paragraph" w:styleId="Title">
    <w:name w:val="Title"/>
    <w:basedOn w:val="Normal"/>
    <w:next w:val="Normal"/>
    <w:link w:val="TitleChar"/>
    <w:uiPriority w:val="10"/>
    <w:qFormat/>
    <w:rsid w:val="00BA2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C3F"/>
    <w:pPr>
      <w:spacing w:before="160"/>
      <w:jc w:val="center"/>
    </w:pPr>
    <w:rPr>
      <w:i/>
      <w:iCs/>
      <w:color w:val="404040" w:themeColor="text1" w:themeTint="BF"/>
    </w:rPr>
  </w:style>
  <w:style w:type="character" w:customStyle="1" w:styleId="QuoteChar">
    <w:name w:val="Quote Char"/>
    <w:basedOn w:val="DefaultParagraphFont"/>
    <w:link w:val="Quote"/>
    <w:uiPriority w:val="29"/>
    <w:rsid w:val="00BA2C3F"/>
    <w:rPr>
      <w:i/>
      <w:iCs/>
      <w:color w:val="404040" w:themeColor="text1" w:themeTint="BF"/>
    </w:rPr>
  </w:style>
  <w:style w:type="paragraph" w:styleId="ListParagraph">
    <w:name w:val="List Paragraph"/>
    <w:basedOn w:val="Normal"/>
    <w:uiPriority w:val="34"/>
    <w:qFormat/>
    <w:rsid w:val="00BA2C3F"/>
    <w:pPr>
      <w:ind w:left="720"/>
      <w:contextualSpacing/>
    </w:pPr>
  </w:style>
  <w:style w:type="character" w:styleId="IntenseEmphasis">
    <w:name w:val="Intense Emphasis"/>
    <w:basedOn w:val="DefaultParagraphFont"/>
    <w:uiPriority w:val="21"/>
    <w:qFormat/>
    <w:rsid w:val="00BA2C3F"/>
    <w:rPr>
      <w:i/>
      <w:iCs/>
      <w:color w:val="2F5496" w:themeColor="accent1" w:themeShade="BF"/>
    </w:rPr>
  </w:style>
  <w:style w:type="paragraph" w:styleId="IntenseQuote">
    <w:name w:val="Intense Quote"/>
    <w:basedOn w:val="Normal"/>
    <w:next w:val="Normal"/>
    <w:link w:val="IntenseQuoteChar"/>
    <w:uiPriority w:val="30"/>
    <w:qFormat/>
    <w:rsid w:val="00BA2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2C3F"/>
    <w:rPr>
      <w:i/>
      <w:iCs/>
      <w:color w:val="2F5496" w:themeColor="accent1" w:themeShade="BF"/>
    </w:rPr>
  </w:style>
  <w:style w:type="character" w:styleId="IntenseReference">
    <w:name w:val="Intense Reference"/>
    <w:basedOn w:val="DefaultParagraphFont"/>
    <w:uiPriority w:val="32"/>
    <w:qFormat/>
    <w:rsid w:val="00BA2C3F"/>
    <w:rPr>
      <w:b/>
      <w:bCs/>
      <w:smallCaps/>
      <w:color w:val="2F5496" w:themeColor="accent1" w:themeShade="BF"/>
      <w:spacing w:val="5"/>
    </w:rPr>
  </w:style>
  <w:style w:type="paragraph" w:customStyle="1" w:styleId="ds-markdown-paragraph">
    <w:name w:val="ds-markdown-paragraph"/>
    <w:basedOn w:val="Normal"/>
    <w:rsid w:val="00BA2C3F"/>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BA2C3F"/>
    <w:rPr>
      <w:b/>
      <w:bCs/>
    </w:rPr>
  </w:style>
  <w:style w:type="character" w:styleId="Emphasis">
    <w:name w:val="Emphasis"/>
    <w:basedOn w:val="DefaultParagraphFont"/>
    <w:uiPriority w:val="20"/>
    <w:qFormat/>
    <w:rsid w:val="00BA2C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2669</Words>
  <Characters>15215</Characters>
  <Application>Microsoft Office Word</Application>
  <DocSecurity>0</DocSecurity>
  <Lines>126</Lines>
  <Paragraphs>35</Paragraphs>
  <ScaleCrop>false</ScaleCrop>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4</cp:revision>
  <dcterms:created xsi:type="dcterms:W3CDTF">2026-06-25T22:13:00Z</dcterms:created>
  <dcterms:modified xsi:type="dcterms:W3CDTF">2026-06-27T01:54:00Z</dcterms:modified>
</cp:coreProperties>
</file>