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A6310" w14:textId="77777777" w:rsidR="00B22DED" w:rsidRDefault="00B22DED">
      <w:pPr>
        <w:spacing w:after="240"/>
      </w:pPr>
    </w:p>
    <w:p w14:paraId="311CE20E" w14:textId="77777777" w:rsidR="00B22DED" w:rsidRDefault="00000000">
      <w:pPr>
        <w:spacing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1. Baseline characteristics, hospital course, and discharge disposition among index admissions for non-metastatic versus metastatic gastric cancer</w:t>
      </w:r>
    </w:p>
    <w:p w14:paraId="3C18F1F4" w14:textId="77777777" w:rsidR="00B22DED" w:rsidRDefault="00B22DED">
      <w:pPr>
        <w:spacing w:before="240" w:after="240"/>
        <w:rPr>
          <w:b/>
          <w:bCs/>
        </w:rPr>
      </w:pPr>
    </w:p>
    <w:tbl>
      <w:tblPr>
        <w:tblStyle w:val="a"/>
        <w:tblW w:w="96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1965"/>
        <w:gridCol w:w="2070"/>
        <w:gridCol w:w="1830"/>
      </w:tblGrid>
      <w:tr w:rsidR="00B22DED" w14:paraId="0C52E219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6E054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8C351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Non-metastatic gastric cancer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9DB3C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Metastatic gastric cancer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C5A59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</w:tr>
      <w:tr w:rsidR="00B22DED" w14:paraId="41B164D5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8A3C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Weighted totals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03387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5B642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DD13F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34DF513F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61E7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Index admissions, weighted total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B81F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5,284.5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5A63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3,539.1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67E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NA</w:t>
            </w:r>
          </w:p>
        </w:tc>
      </w:tr>
      <w:tr w:rsidR="00B22DED" w14:paraId="6BE4A5AA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CB95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Index admissions discharged alive, weighted total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0696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4,955.9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8398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3,033.7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06B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NA</w:t>
            </w:r>
          </w:p>
        </w:tc>
      </w:tr>
      <w:tr w:rsidR="00B22DED" w14:paraId="263C0CF5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4642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Readmissions, weighted total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29CC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368.5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681F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366.7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4FFF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NA</w:t>
            </w:r>
          </w:p>
        </w:tc>
      </w:tr>
      <w:tr w:rsidR="00B22DED" w14:paraId="3B2D1DC8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9DA4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Demographic and payer characteristics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72338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EDDE1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2E5F8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1F18B82E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C4E7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Female sex,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BF5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61.87 [59.90–63.81]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A2D9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66.27 [63.87–68.59]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4B9C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0.0052</w:t>
            </w:r>
          </w:p>
        </w:tc>
      </w:tr>
      <w:tr w:rsidR="00B22DED" w14:paraId="015A6EF8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E73D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Age, mean years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8CC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70.75 [70.19–71.31]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8573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65.90 [65.14–66.66]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6467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 w:rsidR="00B22DED" w14:paraId="544EBCF7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DFD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Primary payer,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BC481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E5613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8DCE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 overall</w:t>
            </w:r>
          </w:p>
        </w:tc>
      </w:tr>
      <w:tr w:rsidR="00B22DED" w14:paraId="2D114BA2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43B0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Medicare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9599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69.17 [67.21–71.07]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E5B1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56.54 [53.94–59.11]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FAA4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1FBCD8D1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F487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Medicaid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C31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10.12 [8.93–11.43]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721B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17.35 [15.42–19.45]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4333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5222A1BA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682D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Private insurance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780A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18.62 [17.09–20.26]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F3FC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23.84 [21.58–26.26]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E056A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5F4B42F3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33DD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Self-pay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7BF0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2.09 [1.59–2.75]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7BD7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2.27 [1.54–3.34]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D57B9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6E8BF7CA" w14:textId="77777777">
        <w:trPr>
          <w:trHeight w:val="500"/>
        </w:trPr>
        <w:tc>
          <w:tcPr>
            <w:tcW w:w="9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4FF3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Comorbidity burden</w:t>
            </w:r>
          </w:p>
        </w:tc>
      </w:tr>
      <w:tr w:rsidR="00B22DED" w14:paraId="21B26E24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DEA6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Charlson comorbidity index 0,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6728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1.41 [1.02–1.96]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430E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 [no observations]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41C67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349826FF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822E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Charlson comorbidity index 1,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10C1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1.97 [1.49–2.59]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52A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 [no observations]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3AB86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5BE5D8B1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CCD1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Charlson comorbidity index 2,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4DE0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21.69 [20.09–23.39]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5560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 [no observations]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234F0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187CEF53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6E1B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Charlson comorbidity index ≥3,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E9E3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74.93 [73.18–76.60]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7C72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100.0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FAE4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 overall*</w:t>
            </w:r>
          </w:p>
        </w:tc>
      </w:tr>
      <w:tr w:rsidR="00B22DED" w14:paraId="755F7787" w14:textId="77777777">
        <w:trPr>
          <w:trHeight w:val="500"/>
        </w:trPr>
        <w:tc>
          <w:tcPr>
            <w:tcW w:w="9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F25C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Hospital characteristics</w:t>
            </w:r>
          </w:p>
        </w:tc>
      </w:tr>
      <w:tr w:rsidR="00B22DED" w14:paraId="3541252A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97A8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Hospital bed size,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DF930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D7B1C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89E6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0.0001 overall</w:t>
            </w:r>
          </w:p>
        </w:tc>
      </w:tr>
      <w:tr w:rsidR="00B22DED" w14:paraId="1088008A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B970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Small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C8D3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17.16 [15.33–19.16]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1D23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13.45 [11.52–15.66]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7486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14760C97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9690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Medium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F028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26.15 [24.01–28.41]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14F8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22.94 [20.29–25.83]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07B9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1FDBB0EA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DC22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Large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E9FC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56.69 [54.04–59.31]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4329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63.61 [60.25–66.84]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5A585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1CFEFF54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ED36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Median household income quartile for patient ZIP Code,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1F54F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CA314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905C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0.4924 overall</w:t>
            </w:r>
          </w:p>
        </w:tc>
      </w:tr>
      <w:tr w:rsidR="00B22DED" w14:paraId="0ABFD7B8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60C2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$1–$55,999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D682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27.03 [24.88–29.28]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138F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28.16 [25.40–31.08]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360A9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71EC940B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36CD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$56,000–$70,999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4C9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26.29 [24.41–28.26]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D98F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24.70 [22.35–27.21]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2156B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68D48619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8529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$71,000–$93,999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580F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22.91 [21.14–24.77]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04A5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25.31 [23.11–27.65]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76B9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4774DDD3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966B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≥$94,000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5669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23.78 [21.67–26.04]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D9D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21.83 [19.08–24.87]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CD42F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3D90BF7C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EBDD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Hospital urban-rural category,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4F6C8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C3A2A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0192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0.0606 overall</w:t>
            </w:r>
          </w:p>
        </w:tc>
      </w:tr>
      <w:tr w:rsidR="00B22DED" w14:paraId="0BED7BE8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ED03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Large metropolitan hospital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785F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60.29 [57.57–62.94]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BD58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64.12 [60.75–67.35]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AC894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081CC5CD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7383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Small metropolitan hospital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4740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34.05 [31.52–36.68]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395B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31.54 [28.48–34.77]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38CC8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3D9C0C7B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079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Micropolitan hospital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8F59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4.59 [3.63–5.78]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24B2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3.69 [2.78–4.88]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8123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6DD28AD5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7B2B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Non-metropolitan/non-micropolitan hospital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EC1E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1.08 [0.67–1.73]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1D56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0.65 [0.33–1.28]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588A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58AD803C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5126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Hospital teaching status,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ED699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B90BB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C5E6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0.0005 overall</w:t>
            </w:r>
          </w:p>
        </w:tc>
      </w:tr>
      <w:tr w:rsidR="00B22DED" w14:paraId="4DC48D14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D654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Community hospital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3025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17.15 [15.40–19.06]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DFAF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12.97 [10.99–15.25]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14EB0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47CBCB9A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51BA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Academic hospital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1770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77.19 [75.02–79.21]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13B3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82.69 [80.18–84.94]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877E1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72ABA43C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EBD1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Other/unspecified teaching category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A108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5.66 [4.60–6.96]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7C7D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4.34 [3.35–5.62]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AEFBB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4FFDD98C" w14:textId="77777777">
        <w:trPr>
          <w:trHeight w:val="500"/>
        </w:trPr>
        <w:tc>
          <w:tcPr>
            <w:tcW w:w="9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880B1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Hospital course and resource use</w:t>
            </w:r>
          </w:p>
        </w:tc>
      </w:tr>
      <w:tr w:rsidR="00B22DED" w14:paraId="754FE690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FA22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Length of stay, mean days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BB6C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8.21 [7.79–8.63]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F2A7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9.93 [9.36–10.51]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CBF9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 w:rsidR="00B22DED" w14:paraId="028C1D45" w14:textId="77777777">
        <w:trPr>
          <w:trHeight w:val="105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D1E2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Total hospital charges, mean USD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B3B3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120,945.6 [111,614.6–130,276.7]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AFCB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140,511.3 [128,204.5–152,818.1]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E464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0.0013</w:t>
            </w:r>
          </w:p>
        </w:tc>
      </w:tr>
      <w:tr w:rsidR="00B22DED" w14:paraId="5AF9DD87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B880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Coronary artery disease,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611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26.77 [25.03–28.58]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267D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15.54 [13.86–17.37]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6EE8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 w:rsidR="00B22DED" w14:paraId="1095C60A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4632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Long-term aspirin use,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BAFB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15.58 [14.21–17.05]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11A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8.63 [7.35–10.10]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F8F3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 w:rsidR="00B22DED" w14:paraId="763E454E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B22A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Long-term anticoagulant use,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E5E2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15.24 [13.76–16.85]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DE79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14.10 [12.45–15.92]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556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0.2991</w:t>
            </w:r>
          </w:p>
        </w:tc>
      </w:tr>
      <w:tr w:rsidR="00B22DED" w14:paraId="645FC74C" w14:textId="77777777">
        <w:trPr>
          <w:trHeight w:val="500"/>
        </w:trPr>
        <w:tc>
          <w:tcPr>
            <w:tcW w:w="9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5A8F6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Procedures and severity markers</w:t>
            </w:r>
          </w:p>
        </w:tc>
      </w:tr>
      <w:tr w:rsidR="00B22DED" w14:paraId="10951EF8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D97F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Angiography and/or embolization,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B7AA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2.35 [1.85–2.98]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358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3.11 [2.36–4.10]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897D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0.1079</w:t>
            </w:r>
          </w:p>
        </w:tc>
      </w:tr>
      <w:tr w:rsidR="00B22DED" w14:paraId="5E89933D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1D51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Any EGD,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92B7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30.12 [28.25–32.06]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AEE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21.88 [19.78–24.14]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76CE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 w:rsidR="00B22DED" w14:paraId="283AB07F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7A4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Diagnostic EGD,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9DDF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19.18 [17.62–20.84]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2D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16.84 [14.94–18.93]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A2E2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0.0684</w:t>
            </w:r>
          </w:p>
        </w:tc>
      </w:tr>
      <w:tr w:rsidR="00B22DED" w14:paraId="30A627D8" w14:textId="77777777">
        <w:trPr>
          <w:trHeight w:val="104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1AF8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Therapeutic EGD,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6F0F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13.02 [11.66–14.51]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7B69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5.85 [4.78–7.15]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547F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 w:rsidR="00B22DED" w14:paraId="00AEA4CC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58E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Sepsis,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6115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10.89 [9.76–12.13]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45A2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15.44 [13.81–17.22]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437D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 w:rsidR="00B22DED" w14:paraId="1EDF81BC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4E56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Shock,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24CB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9.30 [8.14–10.61]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687D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9.00 [7.83–10.32]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5F7C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0.7297</w:t>
            </w:r>
          </w:p>
        </w:tc>
      </w:tr>
      <w:tr w:rsidR="00B22DED" w14:paraId="0CA4B1CB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0C74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Mechanical ventilation,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9378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6.49 [5.56–7.56]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2DB2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6.72 [5.60–8.03]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F379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0.7805</w:t>
            </w:r>
          </w:p>
        </w:tc>
      </w:tr>
      <w:tr w:rsidR="00B22DED" w14:paraId="52D7D0D6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5631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ICU-level care proxy,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8581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12.70 [11.34–14.19]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858E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13.02 [11.57–14.63]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7D01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0.7565</w:t>
            </w:r>
          </w:p>
        </w:tc>
      </w:tr>
      <w:tr w:rsidR="00B22DED" w14:paraId="1431D8D3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759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Palliative care coding,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DF2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10.33 [9.21–11.57]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77E9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27.88 [25.69–30.19]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0FD4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 w:rsidR="00B22DED" w14:paraId="3B593E66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7E16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Inpatient stomach radiation therapy,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01D7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0.59 [0.37–0.96]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641C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1.65 [1.18–2.31]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6654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0.0004</w:t>
            </w:r>
          </w:p>
        </w:tc>
      </w:tr>
      <w:tr w:rsidR="00B22DED" w14:paraId="253006A5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B997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Smoking,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B058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0.51 [0.31–0.84]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F043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0.30 [0.14–0.62]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0E64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0.2327</w:t>
            </w:r>
          </w:p>
        </w:tc>
      </w:tr>
      <w:tr w:rsidR="00B22DED" w14:paraId="4AC03A8F" w14:textId="77777777">
        <w:trPr>
          <w:trHeight w:val="50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BA64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Alcohol use disorder,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6F6C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5.22 [4.42–6.15]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68D0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4.40 [3.56–5.42]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D4A1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0.2045</w:t>
            </w:r>
          </w:p>
        </w:tc>
      </w:tr>
      <w:tr w:rsidR="00B22DED" w14:paraId="6D83FC17" w14:textId="77777777">
        <w:trPr>
          <w:trHeight w:val="785"/>
        </w:trPr>
        <w:tc>
          <w:tcPr>
            <w:tcW w:w="9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3507F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Discharge disposition among survivors</w:t>
            </w:r>
          </w:p>
        </w:tc>
      </w:tr>
      <w:tr w:rsidR="00B22DED" w14:paraId="37A293EA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AE40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Routine home discharge,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F37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59.30 [57.26–61.30]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B70C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47.75 [45.02–50.49]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4E60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66ABA4AF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1461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Skilled nursing/intermediate care facility,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A77C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15.72 [14.22–17.36]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3147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15.73 [13.90–17.76]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60CF3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269A09F2" w14:textId="77777777">
        <w:trPr>
          <w:trHeight w:val="7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9C8A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Home health care, % [95% CI]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4A5C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24.98 [23.24–26.81]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7E88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36.52 [33.91–39.21]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16AC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&lt;0.0001 overall</w:t>
            </w:r>
          </w:p>
        </w:tc>
      </w:tr>
    </w:tbl>
    <w:p w14:paraId="7E7C3E7C" w14:textId="77777777" w:rsidR="00B22DED" w:rsidRDefault="00000000">
      <w:pPr>
        <w:spacing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2. Survey-weighted Cox proportional hazards model for time to readmission among patients with gastric cancer</w:t>
      </w:r>
    </w:p>
    <w:tbl>
      <w:tblPr>
        <w:tblStyle w:val="a0"/>
        <w:tblW w:w="94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1860"/>
        <w:gridCol w:w="1065"/>
        <w:gridCol w:w="1305"/>
      </w:tblGrid>
      <w:tr w:rsidR="00B22DED" w14:paraId="02C28922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61660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Covariate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5607A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Hazard ratio [HR]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30F0C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51A66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</w:tr>
      <w:tr w:rsidR="00B22DED" w14:paraId="6F7E5705" w14:textId="77777777">
        <w:trPr>
          <w:trHeight w:val="500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9B2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Cancer stage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94D8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EF351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943E4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111E321E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D48C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Metastatic gastric cancer vs non-metastatic gastric cancer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1FE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1.28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8315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1.11–1.48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AC96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0.001</w:t>
            </w:r>
          </w:p>
        </w:tc>
      </w:tr>
      <w:tr w:rsidR="00B22DED" w14:paraId="76E094DC" w14:textId="77777777">
        <w:trPr>
          <w:trHeight w:val="500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56DD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Demographic characteristics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4D25A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689AE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CC0E2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2E2C0494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BB86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Female vs male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D2FD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135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0.79–1.05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FA7F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0.200</w:t>
            </w:r>
          </w:p>
        </w:tc>
      </w:tr>
      <w:tr w:rsidR="00B22DED" w14:paraId="138CD512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864D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Age, per 1-year increase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0E24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649C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0.98–0.99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7FF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</w:tr>
      <w:tr w:rsidR="00B22DED" w14:paraId="487CE6E9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6C3F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Median household income quartile for patient ZIP Code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7DB6D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9CD7F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D665D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75CCCEEE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34C6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$56,000–$70,999 vs $1–$55,999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75B3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25B2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0.82–1.18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0377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0.839</w:t>
            </w:r>
          </w:p>
        </w:tc>
      </w:tr>
      <w:tr w:rsidR="00B22DED" w14:paraId="0E17D60C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B869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$71,000–$93,999 vs $1–$55,999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6E15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817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0.71–1.04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322B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0.118</w:t>
            </w:r>
          </w:p>
        </w:tc>
      </w:tr>
      <w:tr w:rsidR="00B22DED" w14:paraId="531CFCD6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B3EB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≥$94,000 vs $1–$55,999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28AD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60E9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0.71–1.04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A633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0.112</w:t>
            </w:r>
          </w:p>
        </w:tc>
      </w:tr>
      <w:tr w:rsidR="00B22DED" w14:paraId="2B022BE0" w14:textId="77777777">
        <w:trPr>
          <w:trHeight w:val="500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C7F0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Primary payer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0F3FF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D650A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9FD95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332C43A5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9F5B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Medicaid vs Medicare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3151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1.01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CD70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0.78–1.30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18F1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0.955</w:t>
            </w:r>
          </w:p>
        </w:tc>
      </w:tr>
      <w:tr w:rsidR="00B22DED" w14:paraId="314EA515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BF14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Private insurance vs Medicare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4E11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B886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0.72–1.07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C532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0.198</w:t>
            </w:r>
          </w:p>
        </w:tc>
      </w:tr>
      <w:tr w:rsidR="00B22DED" w14:paraId="7C82E46D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FED2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Self-pay vs Medicare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82F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1.01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EBFE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0.66–1.55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E50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0.953</w:t>
            </w:r>
          </w:p>
        </w:tc>
      </w:tr>
      <w:tr w:rsidR="00B22DED" w14:paraId="5AC71994" w14:textId="77777777">
        <w:trPr>
          <w:trHeight w:val="500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2343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Hospital characteristics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A08B5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CE2B7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273F4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5547B8B8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D169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Hospital location [1 vs 0]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9425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25A5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0.26–1.75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FD26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0.410</w:t>
            </w:r>
          </w:p>
        </w:tc>
      </w:tr>
      <w:tr w:rsidR="00B22DED" w14:paraId="215A6E54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65BF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Teaching status category 1 vs reference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3B70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1.54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1514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0.59–3.98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7BA1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0.378</w:t>
            </w:r>
          </w:p>
        </w:tc>
      </w:tr>
      <w:tr w:rsidR="00B22DED" w14:paraId="75402DFA" w14:textId="77777777">
        <w:trPr>
          <w:trHeight w:val="500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756E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Teaching status category 2 vs reference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E5D5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Omitted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0E3D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C99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</w:tr>
      <w:tr w:rsidR="00B22DED" w14:paraId="59118CEA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B48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Small metropolitan vs large metropolitan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A575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481B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0.74–0.98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1017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0.024</w:t>
            </w:r>
          </w:p>
        </w:tc>
      </w:tr>
      <w:tr w:rsidR="00B22DED" w14:paraId="6C4BB54F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DBA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Micropolitan vs large metropolitan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3608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BDFD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0.37–2.80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7BE4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0.977</w:t>
            </w:r>
          </w:p>
        </w:tc>
      </w:tr>
      <w:tr w:rsidR="00B22DED" w14:paraId="322F6128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779C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Non-metropolitan/non-micropolitan vs large metropolitan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7BEA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Omitted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F41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5237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</w:tr>
      <w:tr w:rsidR="00B22DED" w14:paraId="175C05C3" w14:textId="77777777">
        <w:trPr>
          <w:trHeight w:val="500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F00F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Clinical factors and hospital course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5D25B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3F535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2A762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592CAAE7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5D54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Sepsis,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474B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1.27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E5B7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1.01–1.60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8771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0.045</w:t>
            </w:r>
          </w:p>
        </w:tc>
      </w:tr>
      <w:tr w:rsidR="00B22DED" w14:paraId="7B5E755B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5570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Acute kidney injury,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9869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DB7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0.78–1.12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6BA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0.472</w:t>
            </w:r>
          </w:p>
        </w:tc>
      </w:tr>
      <w:tr w:rsidR="00B22DED" w14:paraId="6B34C061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160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ICU-level care proxy,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EC8A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0.33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4C53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0.13–0.83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0C2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0.018</w:t>
            </w:r>
          </w:p>
        </w:tc>
      </w:tr>
      <w:tr w:rsidR="00B22DED" w14:paraId="23E14231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53A6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Mechanical ventilation,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D7FD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F3F5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0.97–3.33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CCDD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0.061</w:t>
            </w:r>
          </w:p>
        </w:tc>
      </w:tr>
      <w:tr w:rsidR="00B22DED" w14:paraId="7DCF88E3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5152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Coronary artery disease,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9AB0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1.18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3CD7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0.98–1.41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D38F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0.076</w:t>
            </w:r>
          </w:p>
        </w:tc>
      </w:tr>
      <w:tr w:rsidR="00B22DED" w14:paraId="7F94C559" w14:textId="77777777">
        <w:trPr>
          <w:trHeight w:val="500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363E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Financial hardship,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C5D1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1.35e-19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B78A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11F2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</w:tr>
      <w:tr w:rsidR="00B22DED" w14:paraId="1016A7C5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3F1A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Any EGD,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A532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136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0.77–1.05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9E86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0.185</w:t>
            </w:r>
          </w:p>
        </w:tc>
      </w:tr>
      <w:tr w:rsidR="00B22DED" w14:paraId="49A55A59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EE1F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Angiography/embolization,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ECF4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1.18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239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0.73–1.90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8822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0.495</w:t>
            </w:r>
          </w:p>
        </w:tc>
      </w:tr>
      <w:tr w:rsidR="00B22DED" w14:paraId="0818D8D0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7D5C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Smoking,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238F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1.91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15D7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0.96–3.83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B550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0.067</w:t>
            </w:r>
          </w:p>
        </w:tc>
      </w:tr>
      <w:tr w:rsidR="00B22DED" w14:paraId="3A615CA0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2680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Alcohol use,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E6EF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2AE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0.63–1.27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1DCD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0.534</w:t>
            </w:r>
          </w:p>
        </w:tc>
      </w:tr>
      <w:tr w:rsidR="00B22DED" w14:paraId="1646C338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B352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Palliative care code,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CB0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0908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0.50–0.80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6563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</w:tr>
      <w:tr w:rsidR="00B22DED" w14:paraId="317133D3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EE2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Shock,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BE12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2.07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860B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0.88–4.86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423E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0.094</w:t>
            </w:r>
          </w:p>
        </w:tc>
      </w:tr>
      <w:tr w:rsidR="00B22DED" w14:paraId="667A8803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DEB4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Aspirin long-term use,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7395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07E5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0.67–1.02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B125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0.079</w:t>
            </w:r>
          </w:p>
        </w:tc>
      </w:tr>
      <w:tr w:rsidR="00B22DED" w14:paraId="4057BC06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0CC1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Anticoagulant long-term use,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182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621F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0.78–1.13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82E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0.511</w:t>
            </w:r>
          </w:p>
        </w:tc>
      </w:tr>
      <w:tr w:rsidR="00B22DED" w14:paraId="2964D9F8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4FF6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Stomach radiation therapy, yes vs no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8033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1.42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0302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0.81–2.46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4C92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0.218</w:t>
            </w:r>
          </w:p>
        </w:tc>
      </w:tr>
      <w:tr w:rsidR="00B22DED" w14:paraId="7DE0DBDA" w14:textId="77777777">
        <w:trPr>
          <w:trHeight w:val="500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AD6E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Discharge disposition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37DFD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5287B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EBACC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44E0A87C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F3FC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Skilled/intermediate care vs home/routine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F237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1.04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15CF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0.81–1.32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8083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0.782</w:t>
            </w:r>
          </w:p>
        </w:tc>
      </w:tr>
      <w:tr w:rsidR="00B22DED" w14:paraId="6E8450D0" w14:textId="77777777">
        <w:trPr>
          <w:trHeight w:val="7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C69D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Home health care vs home/routine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58AA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4832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0.93–1.29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762C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0.292</w:t>
            </w:r>
          </w:p>
        </w:tc>
      </w:tr>
    </w:tbl>
    <w:p w14:paraId="651D3F6F" w14:textId="77777777" w:rsidR="00B22DED" w:rsidRDefault="00000000">
      <w:pPr>
        <w:spacing w:before="240" w:after="240"/>
        <w:rPr>
          <w:b/>
          <w:bCs/>
        </w:rPr>
      </w:pPr>
      <w:r>
        <w:rPr>
          <w:b/>
          <w:bCs/>
        </w:rPr>
        <w:t>Footnote: Model estimated using survey-weighted Cox proportional hazards regression among admissions included in the readmission-time analysis. Reference groups were non-metastatic gastric cancer, male sex, ZIP-code median household income quartile 1 [$1–$55,999], Medicare, large metropolitan hospital, and routine home discharge. Some categories were omitted because of collinearity or sparse cells. The extreme estimate for financial hardship suggests quasi-complete or complete separation and should be interpreted with caution.</w:t>
      </w:r>
    </w:p>
    <w:p w14:paraId="3A97E05D" w14:textId="77777777" w:rsidR="00B22DED" w:rsidRDefault="00000000">
      <w:pPr>
        <w:pStyle w:val="Heading2"/>
        <w:keepNext w:val="0"/>
        <w:keepLines w:val="0"/>
        <w:spacing w:after="80"/>
        <w:rPr>
          <w:b/>
          <w:bCs/>
          <w:sz w:val="28"/>
          <w:szCs w:val="28"/>
        </w:rPr>
      </w:pPr>
      <w:bookmarkStart w:id="0" w:name="_cj9egr2ww7zf" w:colFirst="0" w:colLast="0"/>
      <w:bookmarkEnd w:id="0"/>
      <w:r>
        <w:rPr>
          <w:b/>
          <w:bCs/>
          <w:sz w:val="28"/>
          <w:szCs w:val="28"/>
        </w:rPr>
        <w:t>Table 3. Independent predictors of index in-hospital mortality among gastric cancer admissions with bleeding</w:t>
      </w:r>
    </w:p>
    <w:tbl>
      <w:tblPr>
        <w:tblStyle w:val="a1"/>
        <w:tblW w:w="92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90"/>
        <w:gridCol w:w="1770"/>
        <w:gridCol w:w="1155"/>
        <w:gridCol w:w="1155"/>
      </w:tblGrid>
      <w:tr w:rsidR="00B22DED" w14:paraId="4B0D20AD" w14:textId="77777777">
        <w:trPr>
          <w:trHeight w:val="785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72ECB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Predictor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B07E0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OR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E608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A8996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</w:tr>
      <w:tr w:rsidR="00B22DED" w14:paraId="7B027186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B56E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Cancer stage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0BAE6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ED622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9A242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57B29E8D" w14:textId="77777777">
        <w:trPr>
          <w:trHeight w:val="785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A20B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Metastatic gastric cancer vs non-metastatic gastric cancer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4C5D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1.98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6DB5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1.51–2.60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A6E3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</w:tr>
      <w:tr w:rsidR="00B22DED" w14:paraId="49CFDC5B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9630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Demographic characteristics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83120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15399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0C630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390CBD97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55C6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Female vs male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606D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0A3B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0.74–1.26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A66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0.774</w:t>
            </w:r>
          </w:p>
        </w:tc>
      </w:tr>
      <w:tr w:rsidR="00B22DED" w14:paraId="2A7719C5" w14:textId="77777777">
        <w:trPr>
          <w:trHeight w:val="785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2285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Median household income quartile for patient ZIP Code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6D51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8A2DA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C6AB9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4C61B85F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56E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$56,000–$70,999 vs $1–$55,999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FE6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1.30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DC19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0.90–1.87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951B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0.159</w:t>
            </w:r>
          </w:p>
        </w:tc>
      </w:tr>
      <w:tr w:rsidR="00B22DED" w14:paraId="1A04BDF6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ADFE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$71,000–$93,999 vs $1–$55,999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BFD5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1.43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A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0.96–2.13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FBC3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0.082</w:t>
            </w:r>
          </w:p>
        </w:tc>
      </w:tr>
      <w:tr w:rsidR="00B22DED" w14:paraId="1002FEDF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8456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≥$94,000 vs $1–$55,999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A913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1.67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222A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1.12–2.49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75C0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0.012</w:t>
            </w:r>
          </w:p>
        </w:tc>
      </w:tr>
      <w:tr w:rsidR="00B22DED" w14:paraId="4C2BD45B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619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Primary payer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3C621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49A49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FA222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19B4772C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E976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Medicaid vs Medicare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2226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FA6A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0.67–1.35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96CE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0.800</w:t>
            </w:r>
          </w:p>
        </w:tc>
      </w:tr>
      <w:tr w:rsidR="00B22DED" w14:paraId="29024AF9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C99F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Private insurance vs Medicare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A8CE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CC91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0.56–1.13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B809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0.202</w:t>
            </w:r>
          </w:p>
        </w:tc>
      </w:tr>
      <w:tr w:rsidR="00B22DED" w14:paraId="69C08F44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0BF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Self-pay vs Medicare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011C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7A8F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0.26–2.01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A984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0.527</w:t>
            </w:r>
          </w:p>
        </w:tc>
      </w:tr>
      <w:tr w:rsidR="00B22DED" w14:paraId="13BD43E3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51BB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Hospital characteristics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FB0D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CEFF3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0907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75D63BDF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162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Hospital location = 1 vs 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7F8C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2.16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0EA9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0.52–8.97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4E1C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0.289</w:t>
            </w:r>
          </w:p>
        </w:tc>
      </w:tr>
      <w:tr w:rsidR="00B22DED" w14:paraId="367F0666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3DD2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Teaching status category 1 vs reference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75CC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0.37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E5E8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0.09–1.49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D825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0.161</w:t>
            </w:r>
          </w:p>
        </w:tc>
      </w:tr>
      <w:tr w:rsidR="00B22DED" w14:paraId="25237BAB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53E0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Teaching status category 2 vs reference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8D37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Omitted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E53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AC4F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</w:tr>
      <w:tr w:rsidR="00B22DED" w14:paraId="7F395C0E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C28A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Small metropolitan vs large metropolitan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B78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1.05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EAC7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0.78–1.41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AF79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0.744</w:t>
            </w:r>
          </w:p>
        </w:tc>
      </w:tr>
      <w:tr w:rsidR="00B22DED" w14:paraId="2CDBD34C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D7D1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Micropolitan vs large metropolitan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5E7C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0.38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A7FA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0.08–1.71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F53B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0.206</w:t>
            </w:r>
          </w:p>
        </w:tc>
      </w:tr>
      <w:tr w:rsidR="00B22DED" w14:paraId="1030F575" w14:textId="77777777">
        <w:trPr>
          <w:trHeight w:val="785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5E47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Non-metropolitan/non-micropolitan vs large metropolitan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9E17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Omitted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AD22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D89E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</w:tr>
      <w:tr w:rsidR="00B22DED" w14:paraId="7528E8FB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5515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Clinical factors and hospital course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F17AE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C3F35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BBA8" w14:textId="77777777" w:rsidR="00B22DED" w:rsidRDefault="00B22DED">
            <w:pPr>
              <w:spacing w:before="240" w:after="240"/>
              <w:rPr>
                <w:b/>
                <w:bCs/>
              </w:rPr>
            </w:pPr>
          </w:p>
        </w:tc>
      </w:tr>
      <w:tr w:rsidR="00B22DED" w14:paraId="074D04F5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ED3E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Sepsis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516E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2.40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D1DD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1.72–3.35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DE31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</w:tr>
      <w:tr w:rsidR="00B22DED" w14:paraId="0B74CED8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3CF3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Acute kidney injury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80B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2.36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7A8C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1.78–3.12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1C2A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</w:tr>
      <w:tr w:rsidR="00B22DED" w14:paraId="053D0DD4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EFF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ICU-level care proxy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592C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2.06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B962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0.93–4.56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D590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0.074</w:t>
            </w:r>
          </w:p>
        </w:tc>
      </w:tr>
      <w:tr w:rsidR="00B22DED" w14:paraId="7A64FFB0" w14:textId="77777777">
        <w:trPr>
          <w:trHeight w:val="785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83EE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Mechanical ventilation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2094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9.58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B793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4.88–18.81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6B75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</w:tr>
      <w:tr w:rsidR="00B22DED" w14:paraId="275A2B9D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F6C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Coronary artery disease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5033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A17E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0.47–0.95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48DA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0.025</w:t>
            </w:r>
          </w:p>
        </w:tc>
      </w:tr>
      <w:tr w:rsidR="00B22DED" w14:paraId="1F823E69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7DC8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Any EGD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3431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1975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0.50–0.95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85B4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0.025</w:t>
            </w:r>
          </w:p>
        </w:tc>
      </w:tr>
      <w:tr w:rsidR="00B22DED" w14:paraId="5F9244BB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0FB8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Angiography/embolization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EBC3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0.42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7771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0.18–0.93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FFFB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0.033</w:t>
            </w:r>
          </w:p>
        </w:tc>
      </w:tr>
      <w:tr w:rsidR="00B22DED" w14:paraId="747CDF24" w14:textId="77777777">
        <w:trPr>
          <w:trHeight w:val="785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3A2C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Smoking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7CAB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Empty [no events]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97B77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27704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</w:tr>
      <w:tr w:rsidR="00B22DED" w14:paraId="23685CE7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970A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Alcohol use disorder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4556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0.84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DC91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0.50–1.42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8E57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0.517</w:t>
            </w:r>
          </w:p>
        </w:tc>
      </w:tr>
      <w:tr w:rsidR="00B22DED" w14:paraId="63157D30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0CCC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Palliative care code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BE2DB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7.09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A9DD6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5.35–9.39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5F00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</w:tr>
      <w:tr w:rsidR="00B22DED" w14:paraId="7383278F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097A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Shock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7CC5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1.19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6450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0.64–2.19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2CBD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0.584</w:t>
            </w:r>
          </w:p>
        </w:tc>
      </w:tr>
      <w:tr w:rsidR="00B22DED" w14:paraId="4D186476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1902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Long-term aspirin use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4E6F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1D47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0.45–1.20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182E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0.216</w:t>
            </w:r>
          </w:p>
        </w:tc>
      </w:tr>
      <w:tr w:rsidR="00B22DED" w14:paraId="37675178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2DCB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Long-term anticoagulant use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9DD6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077F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0.48–1.04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7F32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0.081</w:t>
            </w:r>
          </w:p>
        </w:tc>
      </w:tr>
      <w:tr w:rsidR="00B22DED" w14:paraId="67A6910D" w14:textId="77777777">
        <w:trPr>
          <w:trHeight w:val="500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D349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Inpatient stomach radiation therapy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6A5EC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1.94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82341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0.74–5.06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D4A4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0.175</w:t>
            </w:r>
          </w:p>
        </w:tc>
      </w:tr>
    </w:tbl>
    <w:p w14:paraId="7C17A012" w14:textId="77777777" w:rsidR="00B22DED" w:rsidRDefault="00000000">
      <w:pPr>
        <w:spacing w:before="240" w:after="240"/>
        <w:rPr>
          <w:b/>
          <w:bCs/>
        </w:rPr>
      </w:pPr>
      <w:r>
        <w:rPr>
          <w:b/>
          <w:bCs/>
        </w:rPr>
        <w:t>Abbreviations: OR, odds ratio; CI, confidence interval; EGD, esophagogastroduodenoscopy; ICU, intensive care unit.</w:t>
      </w:r>
    </w:p>
    <w:p w14:paraId="3164D883" w14:textId="77777777" w:rsidR="00B22DED" w:rsidRDefault="00000000">
      <w:pPr>
        <w:spacing w:before="240" w:after="240"/>
        <w:rPr>
          <w:b/>
          <w:bCs/>
        </w:rPr>
      </w:pPr>
      <w:r>
        <w:rPr>
          <w:b/>
          <w:bCs/>
        </w:rPr>
        <w:t xml:space="preserve">Footnote: Adjusted odds ratios were estimated using survey-weighted logistic regression among index admissions. Reference categories were non-metastatic gastric cancer, male sex, ZIP-code median household income quartile 1 [$1–$55,999], Medicare, large metropolitan hospital, and absence of each listed binary exposure. </w:t>
      </w:r>
      <w:r>
        <w:rPr>
          <w:b/>
          <w:bCs/>
        </w:rPr>
        <w:lastRenderedPageBreak/>
        <w:t>Some categories were omitted because of collinearity or sparse cells. Smoking could not be estimated because there were no mortality events in that subgroup.</w:t>
      </w:r>
    </w:p>
    <w:p w14:paraId="04D2EABE" w14:textId="77777777" w:rsidR="00B22DED" w:rsidRDefault="00000000">
      <w:pPr>
        <w:pStyle w:val="Heading2"/>
        <w:keepNext w:val="0"/>
        <w:keepLines w:val="0"/>
        <w:spacing w:after="80"/>
        <w:rPr>
          <w:b/>
          <w:bCs/>
          <w:sz w:val="28"/>
          <w:szCs w:val="28"/>
        </w:rPr>
      </w:pPr>
      <w:bookmarkStart w:id="1" w:name="_nzhxokq9tjqo" w:colFirst="0" w:colLast="0"/>
      <w:bookmarkEnd w:id="1"/>
      <w:r>
        <w:rPr>
          <w:b/>
          <w:bCs/>
          <w:sz w:val="28"/>
          <w:szCs w:val="28"/>
        </w:rPr>
        <w:t>Table 4. Thirty-day readmission among index admissions discharged alive, by gastric cancer stage</w:t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97"/>
        <w:gridCol w:w="2390"/>
        <w:gridCol w:w="2122"/>
        <w:gridCol w:w="1416"/>
      </w:tblGrid>
      <w:tr w:rsidR="00B22DED" w14:paraId="53D9C8B1" w14:textId="77777777">
        <w:trPr>
          <w:trHeight w:val="785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423A3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7E8ED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Non-metastatic gastric cancer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F953B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Metastatic gastric cancer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CB6B2" w14:textId="77777777" w:rsidR="00B22DED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Effect estimate</w:t>
            </w:r>
          </w:p>
        </w:tc>
      </w:tr>
      <w:tr w:rsidR="00B22DED" w14:paraId="7C46383D" w14:textId="77777777">
        <w:trPr>
          <w:trHeight w:val="785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51C12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Readmitted within 30 days, % [95% CI]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2BC5A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22.46 [20.89–24.12]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8C0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27.36 [25.21–29.62]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9DA3E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</w:tr>
      <w:tr w:rsidR="00B22DED" w14:paraId="318CE475" w14:textId="77777777">
        <w:trPr>
          <w:trHeight w:val="785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7373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Not readmitted within 30 days, % [95% CI]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1BCD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77.54 [75.89–79.11]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6A1E8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72.65 [70.38–74.80]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E0970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—</w:t>
            </w:r>
          </w:p>
        </w:tc>
      </w:tr>
      <w:tr w:rsidR="00B22DED" w14:paraId="433999B1" w14:textId="77777777">
        <w:trPr>
          <w:trHeight w:val="785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51D05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Metastatic vs non-metastatic gastric cancer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70B59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Reference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B60E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1.30 [1.12–1.50]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226DD" w14:textId="77777777" w:rsidR="00B22DED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= 0.0004</w:t>
            </w:r>
          </w:p>
        </w:tc>
      </w:tr>
    </w:tbl>
    <w:p w14:paraId="13C9F7FD" w14:textId="77777777" w:rsidR="00B22DED" w:rsidRDefault="00000000">
      <w:pPr>
        <w:spacing w:before="240" w:after="240"/>
        <w:rPr>
          <w:b/>
          <w:bCs/>
        </w:rPr>
      </w:pPr>
      <w:r>
        <w:rPr>
          <w:b/>
          <w:bCs/>
        </w:rPr>
        <w:t>Abbreviations: CI, confidence interval; OR, odds ratio.</w:t>
      </w:r>
    </w:p>
    <w:p w14:paraId="463B72D6" w14:textId="77777777" w:rsidR="00B22DED" w:rsidRDefault="00000000">
      <w:pPr>
        <w:spacing w:before="240" w:after="240"/>
        <w:rPr>
          <w:b/>
          <w:bCs/>
        </w:rPr>
      </w:pPr>
      <w:r>
        <w:rPr>
          <w:b/>
          <w:bCs/>
        </w:rPr>
        <w:t>Footnote: Percentages were estimated using survey-weighted proportions among index admissions discharged alive. The odds ratio for 30-day readmission comparing metastatic with non-metastatic gastric cancer was derived from survey-weighted logistic regression.</w:t>
      </w:r>
    </w:p>
    <w:p w14:paraId="3AA30D02" w14:textId="7E677C74" w:rsidR="00B22DED" w:rsidRDefault="00B22DED">
      <w:pPr>
        <w:spacing w:before="240" w:after="240"/>
        <w:rPr>
          <w:b/>
          <w:bCs/>
        </w:rPr>
      </w:pPr>
    </w:p>
    <w:p w14:paraId="5F0E9269" w14:textId="77777777" w:rsidR="00B22DED" w:rsidRDefault="00B22DED">
      <w:pPr>
        <w:spacing w:before="240" w:after="240"/>
      </w:pPr>
    </w:p>
    <w:p w14:paraId="1CED0B6C" w14:textId="77777777" w:rsidR="00B22DED" w:rsidRDefault="00B22DED"/>
    <w:sectPr w:rsidR="00B22DE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2B71F9-22CA-4F95-AEB2-A0267B87FC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577D652-50DB-4361-9EA4-61F1394B99D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14963"/>
    <w:multiLevelType w:val="multilevel"/>
    <w:tmpl w:val="BF56C4F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69908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ED"/>
    <w:rsid w:val="00080528"/>
    <w:rsid w:val="0025410B"/>
    <w:rsid w:val="003D62CC"/>
    <w:rsid w:val="00B16CF1"/>
    <w:rsid w:val="00B22DED"/>
    <w:rsid w:val="00C96C2F"/>
    <w:rsid w:val="00F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C286B"/>
  <w15:docId w15:val="{BB52393F-BB3D-4F03-BD7A-6AA8E6C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B16C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1439</Words>
  <Characters>8207</Characters>
  <Application>Microsoft Office Word</Application>
  <DocSecurity>0</DocSecurity>
  <Lines>68</Lines>
  <Paragraphs>19</Paragraphs>
  <ScaleCrop>false</ScaleCrop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2026-06-26T12:16:00Z</dcterms:created>
  <dcterms:modified xsi:type="dcterms:W3CDTF">2026-06-26T12:16:00Z</dcterms:modified>
</cp:coreProperties>
</file>