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BA5E88" w14:textId="77777777" w:rsidR="002D7AA0" w:rsidRDefault="002D7AA0" w:rsidP="002D7AA0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Supplemental table 1. Clinicopathological data</w:t>
      </w:r>
    </w:p>
    <w:tbl>
      <w:tblPr>
        <w:tblW w:w="8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27"/>
        <w:gridCol w:w="2883"/>
      </w:tblGrid>
      <w:tr w:rsidR="002D7AA0" w14:paraId="3656B38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C97D32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Characteristic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D4AF51" w14:textId="08F60966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Value (</w:t>
            </w:r>
            <w:bookmarkStart w:id="0" w:name="_GoBack"/>
            <w:bookmarkEnd w:id="0"/>
            <w:r>
              <w:rPr>
                <w:rFonts w:ascii="Times New Roman" w:hAnsi="Times New Roman"/>
                <w:sz w:val="20"/>
                <w:szCs w:val="20"/>
              </w:rPr>
              <w:t>N =136)</w:t>
            </w:r>
          </w:p>
        </w:tc>
      </w:tr>
      <w:tr w:rsidR="002D7AA0" w14:paraId="0C939037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3359D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Age, years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C9882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 (35–86)</w:t>
            </w:r>
          </w:p>
        </w:tc>
      </w:tr>
      <w:tr w:rsidR="002D7AA0" w14:paraId="76CC6D72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0516B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Male sex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03BA1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 (69.1%)</w:t>
            </w:r>
          </w:p>
        </w:tc>
      </w:tr>
      <w:tr w:rsidR="002D7AA0" w14:paraId="50190543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8FA614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BMI, kg/m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E303E3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 (16.2–33.5)</w:t>
            </w:r>
          </w:p>
        </w:tc>
      </w:tr>
      <w:tr w:rsidR="002D7AA0" w14:paraId="7C17B176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BC776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Diabetes mellitus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4FD7D3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(19.9%)</w:t>
            </w:r>
          </w:p>
        </w:tc>
      </w:tr>
      <w:tr w:rsidR="002D7AA0" w14:paraId="3C3E27EE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FE6CA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Habitual smoking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45B503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 (52.2%)</w:t>
            </w:r>
          </w:p>
        </w:tc>
      </w:tr>
      <w:tr w:rsidR="002D7AA0" w14:paraId="766CFB63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EA868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Habitual alcohol consumption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DF7A8A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 (43.4%)</w:t>
            </w:r>
          </w:p>
        </w:tc>
      </w:tr>
      <w:tr w:rsidR="002D7AA0" w14:paraId="321009A9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4FD86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Preoperative biliary drainage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EE18F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 (33.8%)</w:t>
            </w:r>
          </w:p>
        </w:tc>
      </w:tr>
      <w:tr w:rsidR="002D7AA0" w14:paraId="151980BA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F62A6" w14:textId="61D3456D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Lymphocyte count/µL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88545D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1540 (288–6208)</w:t>
            </w:r>
          </w:p>
        </w:tc>
      </w:tr>
      <w:tr w:rsidR="002D7AA0" w14:paraId="36C4D3E7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C2CAD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T-Bil, mg/dL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A98CD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 (0.2–13.8)</w:t>
            </w:r>
          </w:p>
        </w:tc>
      </w:tr>
      <w:tr w:rsidR="002D7AA0" w14:paraId="4C2BC91E" w14:textId="77777777" w:rsidTr="00A7084D">
        <w:trPr>
          <w:trHeight w:val="580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2202E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Alb, mg/dL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967B1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 (2.5–4.7)</w:t>
            </w:r>
          </w:p>
        </w:tc>
      </w:tr>
      <w:tr w:rsidR="002D7AA0" w14:paraId="4F5BDDD4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F593E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CRP, mg/dL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9F7518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 (0.0–8.3)</w:t>
            </w:r>
          </w:p>
        </w:tc>
      </w:tr>
      <w:tr w:rsidR="002D7AA0" w14:paraId="6FAADA97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9EC21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Cr, mg/dL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C466DC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 (0.4–4.3)</w:t>
            </w:r>
          </w:p>
        </w:tc>
      </w:tr>
      <w:tr w:rsidR="002D7AA0" w14:paraId="317E344A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0B670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PNI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B3A999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46.0 (28.9–63.3)</w:t>
            </w:r>
          </w:p>
        </w:tc>
      </w:tr>
      <w:tr w:rsidR="002D7AA0" w14:paraId="67A95EF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8CF54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Pathological diagnosis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</w:tcPr>
          <w:p w14:paraId="54269830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7AA0" w14:paraId="24DBEF03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E5C9D" w14:textId="011B495B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Pancreatic tumor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23D62B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 (63.2%)</w:t>
            </w:r>
          </w:p>
        </w:tc>
      </w:tr>
      <w:tr w:rsidR="002D7AA0" w14:paraId="3DE50354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6D1331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Vater’s papilla tumor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86151F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 (16.2%)</w:t>
            </w:r>
          </w:p>
        </w:tc>
      </w:tr>
      <w:tr w:rsidR="002D7AA0" w14:paraId="47B0DE3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D88C8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Extrahepatic bile duct tumor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351D46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(12.5%)</w:t>
            </w:r>
          </w:p>
        </w:tc>
      </w:tr>
      <w:tr w:rsidR="002D7AA0" w14:paraId="27AA0F7A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AEC3A" w14:textId="0ED9EAF9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Other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56901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(8.1%)</w:t>
            </w:r>
          </w:p>
        </w:tc>
      </w:tr>
      <w:tr w:rsidR="002D7AA0" w14:paraId="66F9BAD0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07311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R0 resection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B3268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 (87.5%)</w:t>
            </w:r>
          </w:p>
        </w:tc>
      </w:tr>
      <w:tr w:rsidR="002D7AA0" w14:paraId="7CBA114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80A14C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Sarcopenia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B88B06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 (40%)</w:t>
            </w:r>
          </w:p>
        </w:tc>
      </w:tr>
      <w:tr w:rsidR="002D7AA0" w14:paraId="1BC99B2E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70362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SMI, cm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/m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97E93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45.6 (29.7–69.8)</w:t>
            </w:r>
          </w:p>
        </w:tc>
      </w:tr>
      <w:tr w:rsidR="002D7AA0" w14:paraId="18E17F2B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2FC05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VATA, cm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/m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B0A29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103.7 (3.8–391.9)</w:t>
            </w:r>
          </w:p>
        </w:tc>
      </w:tr>
      <w:tr w:rsidR="002D7AA0" w14:paraId="1D8FE46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857E9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SATA, cm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/m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B13D78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100.7 (1.9–203.3)</w:t>
            </w:r>
          </w:p>
        </w:tc>
      </w:tr>
      <w:tr w:rsidR="002D7AA0" w14:paraId="59D03568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3B46E0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Operation time, min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ABCF7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506 (331–767)</w:t>
            </w:r>
          </w:p>
        </w:tc>
      </w:tr>
      <w:tr w:rsidR="002D7AA0" w14:paraId="5C279B7D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DC348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Bleeding volume, mL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59553A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707 (108–6588)</w:t>
            </w:r>
          </w:p>
        </w:tc>
      </w:tr>
      <w:tr w:rsidR="002D7AA0" w14:paraId="572323D6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84E957" w14:textId="0AD6516C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Soft pancreatic texture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F8B420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 (53.0%)</w:t>
            </w:r>
          </w:p>
        </w:tc>
      </w:tr>
      <w:tr w:rsidR="002D7AA0" w14:paraId="5344AA5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22BE60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CRP on POD1, mg/dL 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E6FD3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 (3.1–17.7)</w:t>
            </w:r>
          </w:p>
        </w:tc>
      </w:tr>
      <w:tr w:rsidR="002D7AA0" w14:paraId="24972B71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8EB9C" w14:textId="77777777" w:rsidR="002D7AA0" w:rsidRDefault="002D7AA0" w:rsidP="00285BD7">
            <w:pPr>
              <w:tabs>
                <w:tab w:val="center" w:pos="2753"/>
              </w:tabs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Drain Amy on POD1, IU/U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38521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1002.5 (6–97530)</w:t>
            </w:r>
          </w:p>
        </w:tc>
      </w:tr>
      <w:tr w:rsidR="002D7AA0" w14:paraId="51838348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6A4978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POPF grade B/C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915C02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 (30.9%)</w:t>
            </w:r>
          </w:p>
        </w:tc>
      </w:tr>
      <w:tr w:rsidR="002D7AA0" w14:paraId="30F37712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5030BB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Delayed gastric empty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A4C07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(2.9%)</w:t>
            </w:r>
          </w:p>
        </w:tc>
      </w:tr>
      <w:tr w:rsidR="002D7AA0" w14:paraId="258E08E6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BAECE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Abdominal abscess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DD055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(25.0%)</w:t>
            </w:r>
          </w:p>
        </w:tc>
      </w:tr>
      <w:tr w:rsidR="002D7AA0" w14:paraId="09370C7F" w14:textId="77777777" w:rsidTr="00285BD7">
        <w:trPr>
          <w:trHeight w:val="454"/>
          <w:jc w:val="center"/>
        </w:trPr>
        <w:tc>
          <w:tcPr>
            <w:tcW w:w="57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F825FD" w14:textId="77777777" w:rsidR="002D7AA0" w:rsidRDefault="002D7AA0" w:rsidP="00285BD7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Morbidity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D62ADC" w14:textId="77777777" w:rsidR="002D7AA0" w:rsidRDefault="002D7AA0" w:rsidP="00285BD7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 (37.5%)</w:t>
            </w:r>
          </w:p>
        </w:tc>
      </w:tr>
    </w:tbl>
    <w:p w14:paraId="1FE71E0F" w14:textId="4E11F1A2" w:rsidR="002D7AA0" w:rsidRDefault="002D7AA0" w:rsidP="002D7AA0">
      <w:pPr>
        <w:widowControl/>
        <w:spacing w:line="480" w:lineRule="auto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Alb, albumin; amy, amylase; BMI, body mass index; Cr, creatinine; CRP, C-reactive protein; POPF, postoperative pancreatic fistula; POD, postoperative day; PNI, prognostic nutritional index; SATA, subcutaneous adipose tissue area; SMI, skeletal muscle index; T-Bil, total bilirubin; VATA, visceral adipose tissue area </w:t>
      </w:r>
    </w:p>
    <w:p w14:paraId="0078E897" w14:textId="0BCFB11A" w:rsidR="002D7AA0" w:rsidRDefault="002D7AA0" w:rsidP="002D7AA0">
      <w:pPr>
        <w:widowControl/>
        <w:spacing w:line="480" w:lineRule="auto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Continuous variables are expressed as median (range), while qualitative variables are expressed as number (%). </w:t>
      </w:r>
    </w:p>
    <w:p w14:paraId="397F92BE" w14:textId="77777777" w:rsidR="00F76721" w:rsidRDefault="00F76721"/>
    <w:sectPr w:rsidR="00F767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EC44D9B" w16cid:durableId="2284E2F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C5966C" w14:textId="77777777" w:rsidR="00B13B53" w:rsidRDefault="00B13B53" w:rsidP="00A7084D">
      <w:r>
        <w:separator/>
      </w:r>
    </w:p>
  </w:endnote>
  <w:endnote w:type="continuationSeparator" w:id="0">
    <w:p w14:paraId="7E407330" w14:textId="77777777" w:rsidR="00B13B53" w:rsidRDefault="00B13B53" w:rsidP="00A70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646FA8" w14:textId="77777777" w:rsidR="00A7084D" w:rsidRDefault="00A7084D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35371" w14:textId="77777777" w:rsidR="00A7084D" w:rsidRDefault="00A7084D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669F31" w14:textId="77777777" w:rsidR="00A7084D" w:rsidRDefault="00A7084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BFBEA0" w14:textId="77777777" w:rsidR="00B13B53" w:rsidRDefault="00B13B53" w:rsidP="00A7084D">
      <w:r>
        <w:separator/>
      </w:r>
    </w:p>
  </w:footnote>
  <w:footnote w:type="continuationSeparator" w:id="0">
    <w:p w14:paraId="7501BE0F" w14:textId="77777777" w:rsidR="00B13B53" w:rsidRDefault="00B13B53" w:rsidP="00A708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1AD297" w14:textId="77777777" w:rsidR="00A7084D" w:rsidRDefault="00A7084D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47A40F" w14:textId="77777777" w:rsidR="00A7084D" w:rsidRDefault="00A7084D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260BCF" w14:textId="77777777" w:rsidR="00A7084D" w:rsidRDefault="00A7084D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AA0"/>
    <w:rsid w:val="00123679"/>
    <w:rsid w:val="001B098D"/>
    <w:rsid w:val="002D7AA0"/>
    <w:rsid w:val="00770A4E"/>
    <w:rsid w:val="008F6C34"/>
    <w:rsid w:val="00A7084D"/>
    <w:rsid w:val="00AE3AD6"/>
    <w:rsid w:val="00B13B53"/>
    <w:rsid w:val="00F7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C64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AA0"/>
    <w:pPr>
      <w:widowControl w:val="0"/>
      <w:spacing w:after="0" w:line="240" w:lineRule="auto"/>
      <w:jc w:val="both"/>
    </w:pPr>
    <w:rPr>
      <w:rFonts w:ascii="Century" w:eastAsia="ＭＳ 明朝" w:hAnsi="Century" w:cs="Times New Roman"/>
      <w:kern w:val="2"/>
      <w:sz w:val="21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7AA0"/>
    <w:pPr>
      <w:widowControl/>
      <w:jc w:val="left"/>
    </w:pPr>
    <w:rPr>
      <w:rFonts w:ascii="Segoe UI" w:eastAsiaTheme="minorHAnsi" w:hAnsi="Segoe UI" w:cs="Segoe UI"/>
      <w:kern w:val="0"/>
      <w:sz w:val="18"/>
      <w:szCs w:val="18"/>
      <w:lang w:val="en-IN" w:eastAsia="en-US"/>
    </w:rPr>
  </w:style>
  <w:style w:type="character" w:customStyle="1" w:styleId="a4">
    <w:name w:val="吹き出し (文字)"/>
    <w:basedOn w:val="a0"/>
    <w:link w:val="a3"/>
    <w:uiPriority w:val="99"/>
    <w:semiHidden/>
    <w:rsid w:val="002D7AA0"/>
    <w:rPr>
      <w:rFonts w:ascii="Segoe UI" w:hAnsi="Segoe UI" w:cs="Segoe UI"/>
      <w:sz w:val="18"/>
      <w:szCs w:val="18"/>
    </w:rPr>
  </w:style>
  <w:style w:type="character" w:styleId="a5">
    <w:name w:val="annotation reference"/>
    <w:uiPriority w:val="99"/>
    <w:semiHidden/>
    <w:unhideWhenUsed/>
    <w:rsid w:val="002D7AA0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2D7AA0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rsid w:val="002D7AA0"/>
    <w:rPr>
      <w:rFonts w:ascii="Century" w:eastAsia="ＭＳ 明朝" w:hAnsi="Century" w:cs="Times New Roman"/>
      <w:kern w:val="2"/>
      <w:sz w:val="20"/>
      <w:szCs w:val="20"/>
      <w:lang w:val="en-US" w:eastAsia="ja-JP"/>
    </w:rPr>
  </w:style>
  <w:style w:type="paragraph" w:styleId="a8">
    <w:name w:val="header"/>
    <w:basedOn w:val="a"/>
    <w:link w:val="a9"/>
    <w:uiPriority w:val="99"/>
    <w:unhideWhenUsed/>
    <w:rsid w:val="00A7084D"/>
    <w:pPr>
      <w:tabs>
        <w:tab w:val="center" w:pos="4419"/>
        <w:tab w:val="right" w:pos="8838"/>
      </w:tabs>
    </w:pPr>
  </w:style>
  <w:style w:type="character" w:customStyle="1" w:styleId="a9">
    <w:name w:val="ヘッダー (文字)"/>
    <w:basedOn w:val="a0"/>
    <w:link w:val="a8"/>
    <w:uiPriority w:val="99"/>
    <w:rsid w:val="00A7084D"/>
    <w:rPr>
      <w:rFonts w:ascii="Century" w:eastAsia="ＭＳ 明朝" w:hAnsi="Century" w:cs="Times New Roman"/>
      <w:kern w:val="2"/>
      <w:sz w:val="21"/>
      <w:lang w:val="en-US" w:eastAsia="ja-JP"/>
    </w:rPr>
  </w:style>
  <w:style w:type="paragraph" w:styleId="aa">
    <w:name w:val="footer"/>
    <w:basedOn w:val="a"/>
    <w:link w:val="ab"/>
    <w:uiPriority w:val="99"/>
    <w:unhideWhenUsed/>
    <w:rsid w:val="00A7084D"/>
    <w:pPr>
      <w:tabs>
        <w:tab w:val="center" w:pos="4419"/>
        <w:tab w:val="right" w:pos="8838"/>
      </w:tabs>
    </w:pPr>
  </w:style>
  <w:style w:type="character" w:customStyle="1" w:styleId="ab">
    <w:name w:val="フッター (文字)"/>
    <w:basedOn w:val="a0"/>
    <w:link w:val="aa"/>
    <w:uiPriority w:val="99"/>
    <w:rsid w:val="00A7084D"/>
    <w:rPr>
      <w:rFonts w:ascii="Century" w:eastAsia="ＭＳ 明朝" w:hAnsi="Century" w:cs="Times New Roman"/>
      <w:kern w:val="2"/>
      <w:sz w:val="21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2020-06-05T22:04:00Z</dcterms:created>
  <dcterms:modified xsi:type="dcterms:W3CDTF">2020-06-05T22:04:00Z</dcterms:modified>
</cp:coreProperties>
</file>