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CF8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Supplemental material</w:t>
      </w:r>
    </w:p>
    <w:p w14:paraId="6D2E4BE9">
      <w:pPr>
        <w:rPr>
          <w:rFonts w:ascii="Times New Roman" w:hAnsi="Times New Roman" w:cs="Times New Roman"/>
        </w:rPr>
      </w:pPr>
    </w:p>
    <w:p w14:paraId="7F8726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Lipoprotein(a) and Cardiovascular–Kidney–Metabolic Syndrome: Associations With All-Cause Mortality and Major Adverse Cardiovascular Events in a Large Population Cohort</w:t>
      </w:r>
    </w:p>
    <w:p w14:paraId="77A9C0D9">
      <w:pPr>
        <w:rPr>
          <w:rFonts w:ascii="Times New Roman" w:hAnsi="Times New Roman" w:cs="Times New Roman"/>
        </w:rPr>
      </w:pPr>
    </w:p>
    <w:p w14:paraId="449743AB">
      <w:pPr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upplemental Method</w:t>
      </w:r>
    </w:p>
    <w:p w14:paraId="5269D8DB">
      <w:pPr>
        <w:rPr>
          <w:rFonts w:hint="eastAsia" w:ascii="Times New Roman" w:hAnsi="Times New Roman" w:cs="Times New Roman"/>
          <w:b/>
        </w:rPr>
      </w:pPr>
    </w:p>
    <w:p w14:paraId="0F4D39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Estimated glomerular filtration rate (eGFR) was calculated using the CKD-EPI Creatinine Equation 2021【1】. For participants without available serum creatinine measurements, eGFR was derived using the CKD-EPI Cystatin C Equation 2012【2】.</w:t>
      </w:r>
    </w:p>
    <w:p w14:paraId="20B551AF">
      <w:pPr>
        <w:rPr>
          <w:rFonts w:ascii="Times New Roman" w:hAnsi="Times New Roman" w:cs="Times New Roman"/>
        </w:rPr>
      </w:pPr>
    </w:p>
    <w:p w14:paraId="1C3475AC">
      <w:pPr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Ten-year cardiovascular risk was estimated using an existing R package, PooledCohort::predict_10yr_ascvd_risk, which implements the PREVENT equations described by Khan et al. (2023)【3】.</w:t>
      </w:r>
    </w:p>
    <w:p w14:paraId="6B12A339">
      <w:pPr>
        <w:rPr>
          <w:rFonts w:ascii="Times New Roman" w:hAnsi="Times New Roman" w:cs="Times New Roman"/>
        </w:rPr>
      </w:pPr>
    </w:p>
    <w:p w14:paraId="08382809"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Reference</w:t>
      </w:r>
      <w:r>
        <w:rPr>
          <w:rFonts w:hint="eastAsia" w:ascii="Times New Roman" w:hAnsi="Times New Roman" w:cs="Times New Roman"/>
        </w:rPr>
        <w:t>：</w:t>
      </w:r>
      <w:bookmarkStart w:id="0" w:name="_GoBack"/>
      <w:bookmarkEnd w:id="0"/>
    </w:p>
    <w:p w14:paraId="1319549B">
      <w:pPr>
        <w:rPr>
          <w:rFonts w:hint="eastAsia" w:ascii="Times New Roman" w:hAnsi="Times New Roman" w:cs="Times New Roman"/>
          <w:sz w:val="18"/>
          <w:szCs w:val="18"/>
        </w:rPr>
      </w:pPr>
      <w:r>
        <w:rPr>
          <w:rFonts w:hint="eastAsia" w:ascii="Times New Roman" w:hAnsi="Times New Roman" w:cs="Times New Roman"/>
          <w:sz w:val="18"/>
          <w:szCs w:val="18"/>
        </w:rPr>
        <w:t>【1】</w:t>
      </w:r>
      <w:r>
        <w:rPr>
          <w:rFonts w:ascii="Times New Roman" w:hAnsi="Times New Roman" w:cs="Times New Roman"/>
          <w:sz w:val="18"/>
          <w:szCs w:val="18"/>
        </w:rPr>
        <w:t>Delgado C, Baweja M, Crews DC, et al. A unifying approach for GFR estimation: Recommendations of the NKF-ASN Task Force on Reassessing the Inclusion of Race in Diagnosing Kidney Disease. Am J Kidney Dis. 2021;78(1):103-115.</w:t>
      </w:r>
    </w:p>
    <w:p w14:paraId="2E0FF25E">
      <w:pPr>
        <w:rPr>
          <w:rFonts w:ascii="Times New Roman" w:hAnsi="Times New Roman" w:cs="Times New Roman"/>
          <w:sz w:val="18"/>
          <w:szCs w:val="18"/>
        </w:rPr>
      </w:pPr>
      <w:r>
        <w:rPr>
          <w:rFonts w:hint="eastAsia" w:ascii="Times New Roman" w:hAnsi="Times New Roman" w:cs="Times New Roman"/>
          <w:sz w:val="18"/>
          <w:szCs w:val="18"/>
        </w:rPr>
        <w:t>【2】</w:t>
      </w:r>
      <w:r>
        <w:rPr>
          <w:rFonts w:ascii="Times New Roman" w:hAnsi="Times New Roman" w:cs="Times New Roman"/>
          <w:sz w:val="18"/>
          <w:szCs w:val="18"/>
        </w:rPr>
        <w:t>Inker LA, Schmid CH, Tighiouart H, et al. Estimating glomerular filtration rate from serum creatinine and cystatin C. N Engl J Med. 2012;367(1):20-29.</w:t>
      </w:r>
    </w:p>
    <w:p w14:paraId="71A77073">
      <w:pPr>
        <w:rPr>
          <w:rFonts w:ascii="Times New Roman" w:hAnsi="Times New Roman" w:cs="Times New Roman"/>
          <w:sz w:val="18"/>
          <w:szCs w:val="18"/>
        </w:rPr>
      </w:pPr>
      <w:r>
        <w:rPr>
          <w:rFonts w:hint="eastAsia" w:ascii="Times New Roman" w:hAnsi="Times New Roman" w:cs="Times New Roman"/>
          <w:sz w:val="18"/>
          <w:szCs w:val="18"/>
        </w:rPr>
        <w:t>【3】</w:t>
      </w:r>
      <w:r>
        <w:rPr>
          <w:rFonts w:ascii="Times New Roman" w:hAnsi="Times New Roman" w:cs="Times New Roman"/>
          <w:sz w:val="18"/>
          <w:szCs w:val="18"/>
        </w:rPr>
        <w:t>Khan SS, Matsushita K, Sang Y, et al. Development and Validation of the American Heart Association's PREVENT Equations. Circulation. 2024;149(6):430-449. doi:10.1161/CIRCULATIONAHA.123.067626</w:t>
      </w:r>
    </w:p>
    <w:p w14:paraId="5B6775E5">
      <w:pPr>
        <w:rPr>
          <w:rFonts w:ascii="Times New Roman" w:hAnsi="Times New Roman" w:cs="Times New Roman"/>
        </w:rPr>
      </w:pPr>
    </w:p>
    <w:p w14:paraId="6BA1A6EA">
      <w:pPr>
        <w:rPr>
          <w:rFonts w:ascii="Times New Roman" w:hAnsi="Times New Roman" w:cs="Times New Roman"/>
        </w:rPr>
      </w:pPr>
    </w:p>
    <w:p w14:paraId="5CA849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S1 Variables used for CKM definition in UK Biobank database</w:t>
      </w:r>
    </w:p>
    <w:p w14:paraId="04DEA8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S2 Definitions and descriptions of covariates</w:t>
      </w:r>
    </w:p>
    <w:p w14:paraId="2976F1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S3 Definition of CKM conditions and indicators</w:t>
      </w:r>
    </w:p>
    <w:p w14:paraId="2AABD7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S4 Definition of stages of CKM syndrome</w:t>
      </w:r>
    </w:p>
    <w:p w14:paraId="66631F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S5 Codebook for Variables Included in the Forest Plot</w:t>
      </w:r>
    </w:p>
    <w:p w14:paraId="646C8D48">
      <w:pPr>
        <w:rPr>
          <w:rFonts w:ascii="Times New Roman" w:hAnsi="Times New Roman" w:cs="Times New Roman"/>
        </w:rPr>
      </w:pPr>
    </w:p>
    <w:p w14:paraId="28CFCBF6"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igure S1 Forest Plot of Hazard Ratios for All-Cause Mortality in the CKM Stages 0</w:t>
      </w:r>
    </w:p>
    <w:p w14:paraId="03D9BE4F"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igure S2 Forest Plot of Hazard Ratios for All-Cause Mortality in the CKM Stages 1</w:t>
      </w:r>
    </w:p>
    <w:p w14:paraId="536688FB"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igure S3 Forest Plot of Hazard Ratios for All-Cause Mortality in the CKM Stages 2</w:t>
      </w:r>
    </w:p>
    <w:p w14:paraId="1FA1EC70"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igure S4 Forest Plot of Hazard Ratios for All-Cause Mortality in the CKM Stages 3</w:t>
      </w:r>
    </w:p>
    <w:p w14:paraId="21F843B4"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igure S5 Forest Plot of Hazard Ratios for All-Cause Mortality in the CKM Stages 4</w:t>
      </w:r>
    </w:p>
    <w:p w14:paraId="434B83D8">
      <w:pPr>
        <w:rPr>
          <w:rFonts w:ascii="Times New Roman" w:hAnsi="Times New Roman" w:cs="Times New Roman"/>
        </w:rPr>
      </w:pPr>
    </w:p>
    <w:p w14:paraId="245E6C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S6 Forest Plot of Hazard Ratios for MACE in the CKM Stages 0</w:t>
      </w:r>
    </w:p>
    <w:p w14:paraId="5B997F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S7 Forest Plot of Hazard Ratios for MACE in the CKM Stages 1</w:t>
      </w:r>
    </w:p>
    <w:p w14:paraId="557098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S8 Forest Plot of Hazard Ratios for MACE in the CKM Stages 2</w:t>
      </w:r>
    </w:p>
    <w:p w14:paraId="2AB13B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S9 Forest Plot of Hazard Ratios for MACE in the CKM Stages 3</w:t>
      </w:r>
    </w:p>
    <w:p w14:paraId="6C34B5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S10 Forest Plot of Hazard Ratios for MACE in the CKM Stages 4</w:t>
      </w:r>
    </w:p>
    <w:p w14:paraId="6A7BD997"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696"/>
    <w:rsid w:val="00034DE9"/>
    <w:rsid w:val="0013152E"/>
    <w:rsid w:val="00207826"/>
    <w:rsid w:val="002103F5"/>
    <w:rsid w:val="002A2A39"/>
    <w:rsid w:val="002D6E00"/>
    <w:rsid w:val="003338F8"/>
    <w:rsid w:val="00365030"/>
    <w:rsid w:val="003D6D86"/>
    <w:rsid w:val="00451447"/>
    <w:rsid w:val="004549BD"/>
    <w:rsid w:val="004B14D4"/>
    <w:rsid w:val="004B1DE4"/>
    <w:rsid w:val="004D31A7"/>
    <w:rsid w:val="0054156F"/>
    <w:rsid w:val="005D2817"/>
    <w:rsid w:val="005F6C47"/>
    <w:rsid w:val="00637DBC"/>
    <w:rsid w:val="006A3E68"/>
    <w:rsid w:val="006B35C7"/>
    <w:rsid w:val="007500F0"/>
    <w:rsid w:val="00796867"/>
    <w:rsid w:val="007977FC"/>
    <w:rsid w:val="007B24E8"/>
    <w:rsid w:val="007C4286"/>
    <w:rsid w:val="00803D02"/>
    <w:rsid w:val="00823C7B"/>
    <w:rsid w:val="008567DC"/>
    <w:rsid w:val="00886C86"/>
    <w:rsid w:val="008D1696"/>
    <w:rsid w:val="0092180F"/>
    <w:rsid w:val="009A3328"/>
    <w:rsid w:val="009C49E7"/>
    <w:rsid w:val="009E3986"/>
    <w:rsid w:val="009F4AD8"/>
    <w:rsid w:val="00A55C04"/>
    <w:rsid w:val="00A86379"/>
    <w:rsid w:val="00B44175"/>
    <w:rsid w:val="00B63B51"/>
    <w:rsid w:val="00B773D1"/>
    <w:rsid w:val="00BB055D"/>
    <w:rsid w:val="00BC57BD"/>
    <w:rsid w:val="00C06CB2"/>
    <w:rsid w:val="00CB0936"/>
    <w:rsid w:val="00D47C3E"/>
    <w:rsid w:val="00DD3862"/>
    <w:rsid w:val="00DF0886"/>
    <w:rsid w:val="00FE2221"/>
    <w:rsid w:val="7E5F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screentitle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1921</Characters>
  <Lines>16</Lines>
  <Paragraphs>4</Paragraphs>
  <TotalTime>9616</TotalTime>
  <ScaleCrop>false</ScaleCrop>
  <LinksUpToDate>false</LinksUpToDate>
  <CharactersWithSpaces>2253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2025-11-30T22:28:00Z</dcterms:created>
  <dc:creator>WY</dc:creator>
  <cp:lastModifiedBy>唐前</cp:lastModifiedBy>
  <dcterms:modified xsi:type="dcterms:W3CDTF">2025-12-22T22:02:42Z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007D443F1B8274E8824F4969B8371110_42</vt:lpwstr>
  </property>
</Properties>
</file>