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70869" w14:textId="77777777" w:rsidR="00F94B2A" w:rsidRDefault="00F94B2A" w:rsidP="00F94B2A">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Supplementary Material</w:t>
      </w:r>
    </w:p>
    <w:p w14:paraId="5FDA70A5" w14:textId="77777777" w:rsidR="00F94B2A" w:rsidRDefault="00F94B2A" w:rsidP="00F94B2A">
      <w:pPr>
        <w:spacing w:after="0" w:line="480" w:lineRule="auto"/>
        <w:rPr>
          <w:rFonts w:ascii="Times New Roman" w:hAnsi="Times New Roman" w:cs="Times New Roman"/>
          <w:sz w:val="24"/>
          <w:szCs w:val="24"/>
        </w:rPr>
      </w:pPr>
      <w:r>
        <w:rPr>
          <w:rFonts w:ascii="Times New Roman" w:hAnsi="Times New Roman" w:cs="Times New Roman"/>
          <w:b/>
          <w:bCs/>
          <w:sz w:val="24"/>
          <w:szCs w:val="24"/>
        </w:rPr>
        <w:t>Supplementary Table S</w:t>
      </w:r>
      <w:r>
        <w:rPr>
          <w:rFonts w:ascii="Times New Roman" w:hAnsi="Times New Roman" w:cs="Times New Roman" w:hint="eastAsia"/>
          <w:b/>
          <w:bCs/>
          <w:sz w:val="24"/>
          <w:szCs w:val="24"/>
        </w:rPr>
        <w:t>1</w:t>
      </w:r>
      <w:r>
        <w:rPr>
          <w:rFonts w:ascii="Times New Roman" w:hAnsi="Times New Roman" w:cs="Times New Roman"/>
          <w:b/>
          <w:bCs/>
          <w:sz w:val="24"/>
          <w:szCs w:val="24"/>
        </w:rPr>
        <w:t>. Variance inflation factors (VIF) for the multivariable Cox regression model.</w:t>
      </w:r>
    </w:p>
    <w:tbl>
      <w:tblPr>
        <w:tblW w:w="5000" w:type="pct"/>
        <w:jc w:val="center"/>
        <w:tblBorders>
          <w:top w:val="single" w:sz="12" w:space="0" w:color="000000"/>
          <w:bottom w:val="single" w:sz="12" w:space="0" w:color="000000"/>
        </w:tblBorders>
        <w:tblCellMar>
          <w:left w:w="10" w:type="dxa"/>
          <w:right w:w="10" w:type="dxa"/>
        </w:tblCellMar>
        <w:tblLook w:val="04A0" w:firstRow="1" w:lastRow="0" w:firstColumn="1" w:lastColumn="0" w:noHBand="0" w:noVBand="1"/>
      </w:tblPr>
      <w:tblGrid>
        <w:gridCol w:w="4386"/>
        <w:gridCol w:w="4254"/>
      </w:tblGrid>
      <w:tr w:rsidR="00F94B2A" w14:paraId="4382CD6E" w14:textId="77777777" w:rsidTr="005F1C01">
        <w:trPr>
          <w:tblHeader/>
          <w:jc w:val="center"/>
        </w:trPr>
        <w:tc>
          <w:tcPr>
            <w:tcW w:w="5000" w:type="dxa"/>
            <w:tcBorders>
              <w:bottom w:val="single" w:sz="4" w:space="0" w:color="000000"/>
              <w:tl2br w:val="nil"/>
            </w:tcBorders>
            <w:shd w:val="clear" w:color="auto" w:fill="FFFFFF"/>
          </w:tcPr>
          <w:p w14:paraId="5A20553D" w14:textId="77777777" w:rsidR="00F94B2A" w:rsidRDefault="00F94B2A" w:rsidP="005F1C01">
            <w:pPr>
              <w:spacing w:before="40" w:after="40"/>
              <w:jc w:val="center"/>
              <w:rPr>
                <w:rFonts w:ascii="Times New Roman" w:hAnsi="Times New Roman" w:cs="Times New Roman"/>
                <w:color w:val="000000"/>
                <w:sz w:val="24"/>
                <w:szCs w:val="24"/>
              </w:rPr>
            </w:pPr>
            <w:r>
              <w:rPr>
                <w:rFonts w:ascii="Times New Roman" w:hAnsi="Times New Roman" w:cs="Times New Roman"/>
                <w:bCs/>
                <w:color w:val="000000"/>
                <w:sz w:val="24"/>
                <w:szCs w:val="24"/>
              </w:rPr>
              <w:t>Variable</w:t>
            </w:r>
          </w:p>
        </w:tc>
        <w:tc>
          <w:tcPr>
            <w:tcW w:w="5000" w:type="dxa"/>
            <w:tcBorders>
              <w:bottom w:val="single" w:sz="4" w:space="0" w:color="000000"/>
            </w:tcBorders>
            <w:shd w:val="clear" w:color="auto" w:fill="FFFFFF"/>
          </w:tcPr>
          <w:p w14:paraId="2572E332" w14:textId="77777777" w:rsidR="00F94B2A" w:rsidRDefault="00F94B2A" w:rsidP="005F1C01">
            <w:pPr>
              <w:spacing w:before="40" w:after="40"/>
              <w:jc w:val="center"/>
              <w:rPr>
                <w:rFonts w:ascii="Times New Roman" w:hAnsi="Times New Roman" w:cs="Times New Roman"/>
                <w:color w:val="000000"/>
                <w:sz w:val="24"/>
                <w:szCs w:val="24"/>
              </w:rPr>
            </w:pPr>
            <w:r>
              <w:rPr>
                <w:rFonts w:ascii="Times New Roman" w:hAnsi="Times New Roman" w:cs="Times New Roman"/>
                <w:bCs/>
                <w:color w:val="000000"/>
                <w:sz w:val="24"/>
                <w:szCs w:val="24"/>
              </w:rPr>
              <w:t>VIF</w:t>
            </w:r>
          </w:p>
        </w:tc>
      </w:tr>
      <w:tr w:rsidR="00F94B2A" w14:paraId="3E047A5D" w14:textId="77777777" w:rsidTr="005F1C01">
        <w:trPr>
          <w:jc w:val="center"/>
        </w:trPr>
        <w:tc>
          <w:tcPr>
            <w:tcW w:w="5000" w:type="dxa"/>
            <w:tcBorders>
              <w:top w:val="single" w:sz="4" w:space="0" w:color="000000"/>
            </w:tcBorders>
            <w:shd w:val="clear" w:color="auto" w:fill="FFFFFF"/>
          </w:tcPr>
          <w:p w14:paraId="0C0FCDC1"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Albumin</w:t>
            </w:r>
          </w:p>
        </w:tc>
        <w:tc>
          <w:tcPr>
            <w:tcW w:w="5000" w:type="dxa"/>
            <w:tcBorders>
              <w:top w:val="single" w:sz="4" w:space="0" w:color="000000"/>
            </w:tcBorders>
            <w:shd w:val="clear" w:color="auto" w:fill="FFFFFF"/>
          </w:tcPr>
          <w:p w14:paraId="555521F4"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2.15</w:t>
            </w:r>
          </w:p>
        </w:tc>
      </w:tr>
      <w:tr w:rsidR="00F94B2A" w14:paraId="4A9B4C19" w14:textId="77777777" w:rsidTr="005F1C01">
        <w:trPr>
          <w:jc w:val="center"/>
        </w:trPr>
        <w:tc>
          <w:tcPr>
            <w:tcW w:w="5000" w:type="dxa"/>
            <w:shd w:val="clear" w:color="auto" w:fill="FFFFFF"/>
          </w:tcPr>
          <w:p w14:paraId="4CD70AC4"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Charlson Comorbidity Index</w:t>
            </w:r>
          </w:p>
        </w:tc>
        <w:tc>
          <w:tcPr>
            <w:tcW w:w="5000" w:type="dxa"/>
            <w:shd w:val="clear" w:color="auto" w:fill="FFFFFF"/>
          </w:tcPr>
          <w:p w14:paraId="70C4D7E4"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2.08</w:t>
            </w:r>
          </w:p>
        </w:tc>
      </w:tr>
      <w:tr w:rsidR="00F94B2A" w14:paraId="3DA93A2E" w14:textId="77777777" w:rsidTr="005F1C01">
        <w:trPr>
          <w:jc w:val="center"/>
        </w:trPr>
        <w:tc>
          <w:tcPr>
            <w:tcW w:w="5000" w:type="dxa"/>
            <w:shd w:val="clear" w:color="auto" w:fill="FFFFFF"/>
          </w:tcPr>
          <w:p w14:paraId="42C3481A"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Prognostic Nutritional Index</w:t>
            </w:r>
          </w:p>
        </w:tc>
        <w:tc>
          <w:tcPr>
            <w:tcW w:w="5000" w:type="dxa"/>
            <w:shd w:val="clear" w:color="auto" w:fill="FFFFFF"/>
          </w:tcPr>
          <w:p w14:paraId="58B1F24C"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2.08</w:t>
            </w:r>
          </w:p>
        </w:tc>
      </w:tr>
      <w:tr w:rsidR="00F94B2A" w14:paraId="519C2B89" w14:textId="77777777" w:rsidTr="005F1C01">
        <w:trPr>
          <w:jc w:val="center"/>
        </w:trPr>
        <w:tc>
          <w:tcPr>
            <w:tcW w:w="5000" w:type="dxa"/>
            <w:shd w:val="clear" w:color="auto" w:fill="FFFFFF"/>
          </w:tcPr>
          <w:p w14:paraId="2029D81F"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SOFA score</w:t>
            </w:r>
          </w:p>
        </w:tc>
        <w:tc>
          <w:tcPr>
            <w:tcW w:w="5000" w:type="dxa"/>
            <w:shd w:val="clear" w:color="auto" w:fill="FFFFFF"/>
          </w:tcPr>
          <w:p w14:paraId="0054D5D6"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1.58</w:t>
            </w:r>
          </w:p>
        </w:tc>
      </w:tr>
      <w:tr w:rsidR="00F94B2A" w14:paraId="788FE042" w14:textId="77777777" w:rsidTr="005F1C01">
        <w:trPr>
          <w:jc w:val="center"/>
        </w:trPr>
        <w:tc>
          <w:tcPr>
            <w:tcW w:w="5000" w:type="dxa"/>
            <w:shd w:val="clear" w:color="auto" w:fill="FFFFFF"/>
          </w:tcPr>
          <w:p w14:paraId="6F3F1AD5"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Chronic kidney disease</w:t>
            </w:r>
          </w:p>
        </w:tc>
        <w:tc>
          <w:tcPr>
            <w:tcW w:w="5000" w:type="dxa"/>
            <w:shd w:val="clear" w:color="auto" w:fill="FFFFFF"/>
          </w:tcPr>
          <w:p w14:paraId="62F55377"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1.57</w:t>
            </w:r>
          </w:p>
        </w:tc>
      </w:tr>
      <w:tr w:rsidR="00F94B2A" w14:paraId="19A0D546" w14:textId="77777777" w:rsidTr="005F1C01">
        <w:trPr>
          <w:jc w:val="center"/>
        </w:trPr>
        <w:tc>
          <w:tcPr>
            <w:tcW w:w="5000" w:type="dxa"/>
            <w:shd w:val="clear" w:color="auto" w:fill="FFFFFF"/>
          </w:tcPr>
          <w:p w14:paraId="429B309F"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Invasive mechanical ventilation</w:t>
            </w:r>
          </w:p>
        </w:tc>
        <w:tc>
          <w:tcPr>
            <w:tcW w:w="5000" w:type="dxa"/>
            <w:shd w:val="clear" w:color="auto" w:fill="FFFFFF"/>
          </w:tcPr>
          <w:p w14:paraId="56A52C49"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1.43</w:t>
            </w:r>
          </w:p>
        </w:tc>
      </w:tr>
      <w:tr w:rsidR="00F94B2A" w14:paraId="4F6F53BF" w14:textId="77777777" w:rsidTr="005F1C01">
        <w:trPr>
          <w:jc w:val="center"/>
        </w:trPr>
        <w:tc>
          <w:tcPr>
            <w:tcW w:w="5000" w:type="dxa"/>
            <w:shd w:val="clear" w:color="auto" w:fill="FFFFFF"/>
          </w:tcPr>
          <w:p w14:paraId="4A228F5C"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Age at admission</w:t>
            </w:r>
          </w:p>
        </w:tc>
        <w:tc>
          <w:tcPr>
            <w:tcW w:w="5000" w:type="dxa"/>
            <w:shd w:val="clear" w:color="auto" w:fill="FFFFFF"/>
          </w:tcPr>
          <w:p w14:paraId="2AE2875A"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1.35</w:t>
            </w:r>
          </w:p>
        </w:tc>
      </w:tr>
      <w:tr w:rsidR="00F94B2A" w14:paraId="589E860A" w14:textId="77777777" w:rsidTr="005F1C01">
        <w:trPr>
          <w:jc w:val="center"/>
        </w:trPr>
        <w:tc>
          <w:tcPr>
            <w:tcW w:w="5000" w:type="dxa"/>
            <w:shd w:val="clear" w:color="auto" w:fill="FFFFFF"/>
          </w:tcPr>
          <w:p w14:paraId="7CECAE3C"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Lactate-to-albumin ratio</w:t>
            </w:r>
          </w:p>
        </w:tc>
        <w:tc>
          <w:tcPr>
            <w:tcW w:w="5000" w:type="dxa"/>
            <w:shd w:val="clear" w:color="auto" w:fill="FFFFFF"/>
          </w:tcPr>
          <w:p w14:paraId="1EE52A90"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1.27</w:t>
            </w:r>
          </w:p>
        </w:tc>
      </w:tr>
      <w:tr w:rsidR="00F94B2A" w14:paraId="51821268" w14:textId="77777777" w:rsidTr="005F1C01">
        <w:trPr>
          <w:jc w:val="center"/>
        </w:trPr>
        <w:tc>
          <w:tcPr>
            <w:tcW w:w="5000" w:type="dxa"/>
            <w:shd w:val="clear" w:color="auto" w:fill="FFFFFF"/>
          </w:tcPr>
          <w:p w14:paraId="54892285"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ACAG</w:t>
            </w:r>
          </w:p>
        </w:tc>
        <w:tc>
          <w:tcPr>
            <w:tcW w:w="5000" w:type="dxa"/>
            <w:shd w:val="clear" w:color="auto" w:fill="FFFFFF"/>
          </w:tcPr>
          <w:p w14:paraId="2BFE2FF2"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1.20</w:t>
            </w:r>
          </w:p>
        </w:tc>
      </w:tr>
      <w:tr w:rsidR="00F94B2A" w14:paraId="27271540" w14:textId="77777777" w:rsidTr="005F1C01">
        <w:trPr>
          <w:jc w:val="center"/>
        </w:trPr>
        <w:tc>
          <w:tcPr>
            <w:tcW w:w="5000" w:type="dxa"/>
            <w:shd w:val="clear" w:color="auto" w:fill="FFFFFF"/>
          </w:tcPr>
          <w:p w14:paraId="0609022A"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Congestive heart failure</w:t>
            </w:r>
          </w:p>
        </w:tc>
        <w:tc>
          <w:tcPr>
            <w:tcW w:w="5000" w:type="dxa"/>
            <w:shd w:val="clear" w:color="auto" w:fill="FFFFFF"/>
          </w:tcPr>
          <w:p w14:paraId="22A4CBB1"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1.17</w:t>
            </w:r>
          </w:p>
        </w:tc>
      </w:tr>
      <w:tr w:rsidR="00F94B2A" w14:paraId="51979C8A" w14:textId="77777777" w:rsidTr="005F1C01">
        <w:trPr>
          <w:jc w:val="center"/>
        </w:trPr>
        <w:tc>
          <w:tcPr>
            <w:tcW w:w="5000" w:type="dxa"/>
            <w:shd w:val="clear" w:color="auto" w:fill="FFFFFF"/>
          </w:tcPr>
          <w:p w14:paraId="21670AD3"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Diabetes mellitus</w:t>
            </w:r>
          </w:p>
        </w:tc>
        <w:tc>
          <w:tcPr>
            <w:tcW w:w="5000" w:type="dxa"/>
            <w:shd w:val="clear" w:color="auto" w:fill="FFFFFF"/>
          </w:tcPr>
          <w:p w14:paraId="0916FA93"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1.16</w:t>
            </w:r>
          </w:p>
        </w:tc>
      </w:tr>
      <w:tr w:rsidR="00F94B2A" w14:paraId="2EF33E60" w14:textId="77777777" w:rsidTr="005F1C01">
        <w:trPr>
          <w:jc w:val="center"/>
        </w:trPr>
        <w:tc>
          <w:tcPr>
            <w:tcW w:w="5000" w:type="dxa"/>
            <w:shd w:val="clear" w:color="auto" w:fill="FFFFFF"/>
          </w:tcPr>
          <w:p w14:paraId="405D2A62"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Neutrophil-to-lymphocyte ratio</w:t>
            </w:r>
          </w:p>
        </w:tc>
        <w:tc>
          <w:tcPr>
            <w:tcW w:w="5000" w:type="dxa"/>
            <w:shd w:val="clear" w:color="auto" w:fill="FFFFFF"/>
          </w:tcPr>
          <w:p w14:paraId="512FB9AF"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1.14</w:t>
            </w:r>
          </w:p>
        </w:tc>
      </w:tr>
      <w:tr w:rsidR="00F94B2A" w14:paraId="3EEC7A80" w14:textId="77777777" w:rsidTr="005F1C01">
        <w:trPr>
          <w:jc w:val="center"/>
        </w:trPr>
        <w:tc>
          <w:tcPr>
            <w:tcW w:w="5000" w:type="dxa"/>
            <w:shd w:val="clear" w:color="auto" w:fill="FFFFFF"/>
          </w:tcPr>
          <w:p w14:paraId="44ACAD82"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Acute kidney injury</w:t>
            </w:r>
          </w:p>
        </w:tc>
        <w:tc>
          <w:tcPr>
            <w:tcW w:w="5000" w:type="dxa"/>
            <w:shd w:val="clear" w:color="auto" w:fill="FFFFFF"/>
          </w:tcPr>
          <w:p w14:paraId="2F893CC1"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1.08</w:t>
            </w:r>
          </w:p>
        </w:tc>
      </w:tr>
      <w:tr w:rsidR="00F94B2A" w14:paraId="16A0A5E7" w14:textId="77777777" w:rsidTr="005F1C01">
        <w:trPr>
          <w:jc w:val="center"/>
        </w:trPr>
        <w:tc>
          <w:tcPr>
            <w:tcW w:w="5000" w:type="dxa"/>
            <w:shd w:val="clear" w:color="auto" w:fill="FFFFFF"/>
          </w:tcPr>
          <w:p w14:paraId="112457CB"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Sex (male)</w:t>
            </w:r>
          </w:p>
        </w:tc>
        <w:tc>
          <w:tcPr>
            <w:tcW w:w="5000" w:type="dxa"/>
            <w:shd w:val="clear" w:color="auto" w:fill="FFFFFF"/>
          </w:tcPr>
          <w:p w14:paraId="3A48D1AD"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1.03</w:t>
            </w:r>
          </w:p>
        </w:tc>
      </w:tr>
    </w:tbl>
    <w:p w14:paraId="2C095068" w14:textId="77777777" w:rsidR="00F94B2A" w:rsidRDefault="00F94B2A" w:rsidP="00F94B2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Note: VIF = variance inflation factor. A VIF &gt;10 is generally considered indicative of severe multicollinearity requiring remedial action. All VIF values in the final model were &lt;5, confirming the absence of significant collinearity among the 14 covariates. The modest VIF values for albumin (2.15) and ACAG (1.20) support their joint inclusion </w:t>
      </w:r>
      <w:proofErr w:type="gramStart"/>
      <w:r>
        <w:rPr>
          <w:rFonts w:ascii="Times New Roman" w:hAnsi="Times New Roman" w:cs="Times New Roman"/>
          <w:sz w:val="24"/>
          <w:szCs w:val="24"/>
        </w:rPr>
        <w:t>despite the fact that</w:t>
      </w:r>
      <w:proofErr w:type="gramEnd"/>
      <w:r>
        <w:rPr>
          <w:rFonts w:ascii="Times New Roman" w:hAnsi="Times New Roman" w:cs="Times New Roman"/>
          <w:sz w:val="24"/>
          <w:szCs w:val="24"/>
        </w:rPr>
        <w:t xml:space="preserve"> ACAG incorporates albumin in its calculation, as these two variables capture distinct clinical domains (nutritional status vs. composite acid-base status).</w:t>
      </w:r>
    </w:p>
    <w:p w14:paraId="7C5E762D" w14:textId="77777777" w:rsidR="00F94B2A" w:rsidRDefault="00F94B2A" w:rsidP="00F94B2A">
      <w:pPr>
        <w:spacing w:after="0" w:line="480" w:lineRule="auto"/>
        <w:rPr>
          <w:rFonts w:ascii="Times New Roman" w:hAnsi="Times New Roman" w:cs="Times New Roman"/>
          <w:b/>
          <w:bCs/>
          <w:sz w:val="24"/>
          <w:szCs w:val="24"/>
        </w:rPr>
      </w:pPr>
    </w:p>
    <w:p w14:paraId="4EE898BA" w14:textId="77777777" w:rsidR="00F94B2A" w:rsidRDefault="00F94B2A" w:rsidP="00F94B2A">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Supplementary Table S2. Sensitivity analysis: multivariable Cox regression for 90-day readmission using the second MICE imputed dataset.</w:t>
      </w:r>
    </w:p>
    <w:tbl>
      <w:tblPr>
        <w:tblW w:w="5000" w:type="pct"/>
        <w:jc w:val="center"/>
        <w:tblBorders>
          <w:top w:val="single" w:sz="12" w:space="0" w:color="000000"/>
          <w:bottom w:val="single" w:sz="12" w:space="0" w:color="000000"/>
        </w:tblBorders>
        <w:tblCellMar>
          <w:left w:w="10" w:type="dxa"/>
          <w:right w:w="10" w:type="dxa"/>
        </w:tblCellMar>
        <w:tblLook w:val="04A0" w:firstRow="1" w:lastRow="0" w:firstColumn="1" w:lastColumn="0" w:noHBand="0" w:noVBand="1"/>
      </w:tblPr>
      <w:tblGrid>
        <w:gridCol w:w="2959"/>
        <w:gridCol w:w="2844"/>
        <w:gridCol w:w="2837"/>
      </w:tblGrid>
      <w:tr w:rsidR="00F94B2A" w14:paraId="614DF0FE" w14:textId="77777777" w:rsidTr="005F1C01">
        <w:trPr>
          <w:tblHeader/>
          <w:jc w:val="center"/>
        </w:trPr>
        <w:tc>
          <w:tcPr>
            <w:tcW w:w="3333" w:type="dxa"/>
            <w:tcBorders>
              <w:bottom w:val="single" w:sz="4" w:space="0" w:color="000000"/>
              <w:tl2br w:val="nil"/>
            </w:tcBorders>
            <w:shd w:val="clear" w:color="auto" w:fill="FFFFFF"/>
          </w:tcPr>
          <w:p w14:paraId="4C38057D" w14:textId="77777777" w:rsidR="00F94B2A" w:rsidRDefault="00F94B2A" w:rsidP="005F1C01">
            <w:pPr>
              <w:spacing w:before="40" w:after="40"/>
              <w:jc w:val="center"/>
              <w:rPr>
                <w:rFonts w:ascii="Times New Roman" w:hAnsi="Times New Roman" w:cs="Times New Roman"/>
                <w:color w:val="000000"/>
                <w:sz w:val="24"/>
                <w:szCs w:val="24"/>
              </w:rPr>
            </w:pPr>
            <w:r>
              <w:rPr>
                <w:rFonts w:ascii="Times New Roman" w:hAnsi="Times New Roman" w:cs="Times New Roman"/>
                <w:bCs/>
                <w:color w:val="000000"/>
                <w:sz w:val="24"/>
                <w:szCs w:val="24"/>
              </w:rPr>
              <w:t>Variable</w:t>
            </w:r>
          </w:p>
        </w:tc>
        <w:tc>
          <w:tcPr>
            <w:tcW w:w="3333" w:type="dxa"/>
            <w:tcBorders>
              <w:bottom w:val="single" w:sz="4" w:space="0" w:color="000000"/>
            </w:tcBorders>
            <w:shd w:val="clear" w:color="auto" w:fill="FFFFFF"/>
          </w:tcPr>
          <w:p w14:paraId="1C377829" w14:textId="77777777" w:rsidR="00F94B2A" w:rsidRDefault="00F94B2A" w:rsidP="005F1C01">
            <w:pPr>
              <w:spacing w:before="40" w:after="40"/>
              <w:jc w:val="center"/>
              <w:rPr>
                <w:rFonts w:ascii="Times New Roman" w:hAnsi="Times New Roman" w:cs="Times New Roman"/>
                <w:color w:val="000000"/>
                <w:sz w:val="24"/>
                <w:szCs w:val="24"/>
              </w:rPr>
            </w:pPr>
            <w:r>
              <w:rPr>
                <w:rFonts w:ascii="Times New Roman" w:hAnsi="Times New Roman" w:cs="Times New Roman"/>
                <w:bCs/>
                <w:color w:val="000000"/>
                <w:sz w:val="24"/>
                <w:szCs w:val="24"/>
              </w:rPr>
              <w:t>HR (95% CI)</w:t>
            </w:r>
          </w:p>
        </w:tc>
        <w:tc>
          <w:tcPr>
            <w:tcW w:w="3333" w:type="dxa"/>
            <w:tcBorders>
              <w:bottom w:val="single" w:sz="4" w:space="0" w:color="000000"/>
            </w:tcBorders>
            <w:shd w:val="clear" w:color="auto" w:fill="FFFFFF"/>
          </w:tcPr>
          <w:p w14:paraId="17097804" w14:textId="77777777" w:rsidR="00F94B2A" w:rsidRDefault="00F94B2A" w:rsidP="005F1C01">
            <w:pPr>
              <w:spacing w:before="40" w:after="40"/>
              <w:jc w:val="center"/>
              <w:rPr>
                <w:rFonts w:ascii="Times New Roman" w:hAnsi="Times New Roman" w:cs="Times New Roman"/>
                <w:color w:val="000000"/>
                <w:sz w:val="24"/>
                <w:szCs w:val="24"/>
              </w:rPr>
            </w:pPr>
            <w:r>
              <w:rPr>
                <w:rFonts w:ascii="Times New Roman" w:hAnsi="Times New Roman" w:cs="Times New Roman"/>
                <w:bCs/>
                <w:i/>
                <w:iCs/>
                <w:color w:val="000000"/>
                <w:sz w:val="24"/>
                <w:szCs w:val="24"/>
              </w:rPr>
              <w:t>P</w:t>
            </w:r>
            <w:r>
              <w:rPr>
                <w:rFonts w:ascii="Times New Roman" w:hAnsi="Times New Roman" w:cs="Times New Roman"/>
                <w:bCs/>
                <w:color w:val="000000"/>
                <w:sz w:val="24"/>
                <w:szCs w:val="24"/>
              </w:rPr>
              <w:t>-value</w:t>
            </w:r>
          </w:p>
        </w:tc>
      </w:tr>
      <w:tr w:rsidR="00F94B2A" w14:paraId="77EF6968" w14:textId="77777777" w:rsidTr="005F1C01">
        <w:trPr>
          <w:jc w:val="center"/>
        </w:trPr>
        <w:tc>
          <w:tcPr>
            <w:tcW w:w="3333" w:type="dxa"/>
            <w:tcBorders>
              <w:top w:val="single" w:sz="4" w:space="0" w:color="000000"/>
            </w:tcBorders>
            <w:shd w:val="clear" w:color="auto" w:fill="FFFFFF"/>
            <w:vAlign w:val="center"/>
          </w:tcPr>
          <w:p w14:paraId="06231B51"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Age</w:t>
            </w:r>
          </w:p>
        </w:tc>
        <w:tc>
          <w:tcPr>
            <w:tcW w:w="3333" w:type="dxa"/>
            <w:tcBorders>
              <w:top w:val="single" w:sz="4" w:space="0" w:color="000000"/>
            </w:tcBorders>
            <w:shd w:val="clear" w:color="auto" w:fill="FFFFFF"/>
          </w:tcPr>
          <w:p w14:paraId="0BDB9A24"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1.00 (0.98-1.02)</w:t>
            </w:r>
          </w:p>
        </w:tc>
        <w:tc>
          <w:tcPr>
            <w:tcW w:w="3333" w:type="dxa"/>
            <w:tcBorders>
              <w:top w:val="single" w:sz="4" w:space="0" w:color="000000"/>
            </w:tcBorders>
            <w:shd w:val="clear" w:color="auto" w:fill="FFFFFF"/>
          </w:tcPr>
          <w:p w14:paraId="02B514E6"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0.869</w:t>
            </w:r>
          </w:p>
        </w:tc>
      </w:tr>
      <w:tr w:rsidR="00F94B2A" w14:paraId="52CC0FFD" w14:textId="77777777" w:rsidTr="005F1C01">
        <w:trPr>
          <w:jc w:val="center"/>
        </w:trPr>
        <w:tc>
          <w:tcPr>
            <w:tcW w:w="3333" w:type="dxa"/>
            <w:shd w:val="clear" w:color="auto" w:fill="FFFFFF"/>
            <w:vAlign w:val="center"/>
          </w:tcPr>
          <w:p w14:paraId="36ABC148"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Male sex</w:t>
            </w:r>
          </w:p>
        </w:tc>
        <w:tc>
          <w:tcPr>
            <w:tcW w:w="3333" w:type="dxa"/>
            <w:shd w:val="clear" w:color="auto" w:fill="FFFFFF"/>
          </w:tcPr>
          <w:p w14:paraId="7622B35B"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1.22 (0.84-1.77)</w:t>
            </w:r>
          </w:p>
        </w:tc>
        <w:tc>
          <w:tcPr>
            <w:tcW w:w="3333" w:type="dxa"/>
            <w:shd w:val="clear" w:color="auto" w:fill="FFFFFF"/>
          </w:tcPr>
          <w:p w14:paraId="2C479FD9"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0.286</w:t>
            </w:r>
          </w:p>
        </w:tc>
      </w:tr>
      <w:tr w:rsidR="00F94B2A" w14:paraId="69C454E8" w14:textId="77777777" w:rsidTr="005F1C01">
        <w:trPr>
          <w:jc w:val="center"/>
        </w:trPr>
        <w:tc>
          <w:tcPr>
            <w:tcW w:w="3333" w:type="dxa"/>
            <w:shd w:val="clear" w:color="auto" w:fill="FFFFFF"/>
            <w:vAlign w:val="center"/>
          </w:tcPr>
          <w:p w14:paraId="798E33AD"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SOFA score</w:t>
            </w:r>
          </w:p>
        </w:tc>
        <w:tc>
          <w:tcPr>
            <w:tcW w:w="3333" w:type="dxa"/>
            <w:shd w:val="clear" w:color="auto" w:fill="FFFFFF"/>
          </w:tcPr>
          <w:p w14:paraId="5F615AB9"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1.00 (0.93-1.06)</w:t>
            </w:r>
          </w:p>
        </w:tc>
        <w:tc>
          <w:tcPr>
            <w:tcW w:w="3333" w:type="dxa"/>
            <w:shd w:val="clear" w:color="auto" w:fill="FFFFFF"/>
          </w:tcPr>
          <w:p w14:paraId="34E2542F"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0.890</w:t>
            </w:r>
          </w:p>
        </w:tc>
      </w:tr>
      <w:tr w:rsidR="00F94B2A" w14:paraId="18637C38" w14:textId="77777777" w:rsidTr="005F1C01">
        <w:trPr>
          <w:jc w:val="center"/>
        </w:trPr>
        <w:tc>
          <w:tcPr>
            <w:tcW w:w="3333" w:type="dxa"/>
            <w:shd w:val="clear" w:color="auto" w:fill="FFFFFF"/>
            <w:vAlign w:val="center"/>
          </w:tcPr>
          <w:p w14:paraId="2BFA2D36"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Charlson Comorbidity Index</w:t>
            </w:r>
          </w:p>
        </w:tc>
        <w:tc>
          <w:tcPr>
            <w:tcW w:w="3333" w:type="dxa"/>
            <w:shd w:val="clear" w:color="auto" w:fill="FFFFFF"/>
          </w:tcPr>
          <w:p w14:paraId="37A53DCB"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1.03 (0.93-1.13)</w:t>
            </w:r>
          </w:p>
        </w:tc>
        <w:tc>
          <w:tcPr>
            <w:tcW w:w="3333" w:type="dxa"/>
            <w:shd w:val="clear" w:color="auto" w:fill="FFFFFF"/>
          </w:tcPr>
          <w:p w14:paraId="59407208"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0.600</w:t>
            </w:r>
          </w:p>
        </w:tc>
      </w:tr>
      <w:tr w:rsidR="00F94B2A" w14:paraId="118C8392" w14:textId="77777777" w:rsidTr="005F1C01">
        <w:trPr>
          <w:jc w:val="center"/>
        </w:trPr>
        <w:tc>
          <w:tcPr>
            <w:tcW w:w="3333" w:type="dxa"/>
            <w:shd w:val="clear" w:color="auto" w:fill="FFFFFF"/>
            <w:vAlign w:val="center"/>
          </w:tcPr>
          <w:p w14:paraId="3BA1259E"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Acute kidney injury</w:t>
            </w:r>
          </w:p>
        </w:tc>
        <w:tc>
          <w:tcPr>
            <w:tcW w:w="3333" w:type="dxa"/>
            <w:shd w:val="clear" w:color="auto" w:fill="FFFFFF"/>
          </w:tcPr>
          <w:p w14:paraId="302CFDDC"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1.11 (0.64-1.93)</w:t>
            </w:r>
          </w:p>
        </w:tc>
        <w:tc>
          <w:tcPr>
            <w:tcW w:w="3333" w:type="dxa"/>
            <w:shd w:val="clear" w:color="auto" w:fill="FFFFFF"/>
          </w:tcPr>
          <w:p w14:paraId="4913A422"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0.700</w:t>
            </w:r>
          </w:p>
        </w:tc>
      </w:tr>
      <w:tr w:rsidR="00F94B2A" w14:paraId="0CAE21CA" w14:textId="77777777" w:rsidTr="005F1C01">
        <w:trPr>
          <w:jc w:val="center"/>
        </w:trPr>
        <w:tc>
          <w:tcPr>
            <w:tcW w:w="3333" w:type="dxa"/>
            <w:shd w:val="clear" w:color="auto" w:fill="FFFFFF"/>
            <w:vAlign w:val="center"/>
          </w:tcPr>
          <w:p w14:paraId="56A03BFF"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Albumin</w:t>
            </w:r>
          </w:p>
        </w:tc>
        <w:tc>
          <w:tcPr>
            <w:tcW w:w="3333" w:type="dxa"/>
            <w:shd w:val="clear" w:color="auto" w:fill="FFFFFF"/>
          </w:tcPr>
          <w:p w14:paraId="5C2A9C2C"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0.76 (0.49-1.18)</w:t>
            </w:r>
          </w:p>
        </w:tc>
        <w:tc>
          <w:tcPr>
            <w:tcW w:w="3333" w:type="dxa"/>
            <w:shd w:val="clear" w:color="auto" w:fill="FFFFFF"/>
          </w:tcPr>
          <w:p w14:paraId="69B62B75"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0.221</w:t>
            </w:r>
          </w:p>
        </w:tc>
      </w:tr>
      <w:tr w:rsidR="00F94B2A" w14:paraId="49FA1664" w14:textId="77777777" w:rsidTr="005F1C01">
        <w:trPr>
          <w:jc w:val="center"/>
        </w:trPr>
        <w:tc>
          <w:tcPr>
            <w:tcW w:w="3333" w:type="dxa"/>
            <w:shd w:val="clear" w:color="auto" w:fill="FFFFFF"/>
            <w:vAlign w:val="center"/>
          </w:tcPr>
          <w:p w14:paraId="0F5306A5"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LAR</w:t>
            </w:r>
          </w:p>
        </w:tc>
        <w:tc>
          <w:tcPr>
            <w:tcW w:w="3333" w:type="dxa"/>
            <w:shd w:val="clear" w:color="auto" w:fill="FFFFFF"/>
          </w:tcPr>
          <w:p w14:paraId="7F32AD9F"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1.10 (0.78-1.55)</w:t>
            </w:r>
          </w:p>
        </w:tc>
        <w:tc>
          <w:tcPr>
            <w:tcW w:w="3333" w:type="dxa"/>
            <w:shd w:val="clear" w:color="auto" w:fill="FFFFFF"/>
          </w:tcPr>
          <w:p w14:paraId="563BAA1E"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0.599</w:t>
            </w:r>
          </w:p>
        </w:tc>
      </w:tr>
      <w:tr w:rsidR="00F94B2A" w14:paraId="13F5629A" w14:textId="77777777" w:rsidTr="005F1C01">
        <w:trPr>
          <w:jc w:val="center"/>
        </w:trPr>
        <w:tc>
          <w:tcPr>
            <w:tcW w:w="3333" w:type="dxa"/>
            <w:shd w:val="clear" w:color="auto" w:fill="FFFFFF"/>
            <w:vAlign w:val="center"/>
          </w:tcPr>
          <w:p w14:paraId="1A39DDD6"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Invasive mechanical ventilation</w:t>
            </w:r>
          </w:p>
        </w:tc>
        <w:tc>
          <w:tcPr>
            <w:tcW w:w="3333" w:type="dxa"/>
            <w:shd w:val="clear" w:color="auto" w:fill="FFFFFF"/>
          </w:tcPr>
          <w:p w14:paraId="3900169C"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0.91 (0.59-1.40)</w:t>
            </w:r>
          </w:p>
        </w:tc>
        <w:tc>
          <w:tcPr>
            <w:tcW w:w="3333" w:type="dxa"/>
            <w:shd w:val="clear" w:color="auto" w:fill="FFFFFF"/>
          </w:tcPr>
          <w:p w14:paraId="53703D88"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0.660</w:t>
            </w:r>
          </w:p>
        </w:tc>
      </w:tr>
      <w:tr w:rsidR="00F94B2A" w14:paraId="248DFD04" w14:textId="77777777" w:rsidTr="005F1C01">
        <w:trPr>
          <w:jc w:val="center"/>
        </w:trPr>
        <w:tc>
          <w:tcPr>
            <w:tcW w:w="3333" w:type="dxa"/>
            <w:shd w:val="clear" w:color="auto" w:fill="FFFFFF"/>
            <w:vAlign w:val="center"/>
          </w:tcPr>
          <w:p w14:paraId="47D45967"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Congestive heart failure</w:t>
            </w:r>
          </w:p>
        </w:tc>
        <w:tc>
          <w:tcPr>
            <w:tcW w:w="3333" w:type="dxa"/>
            <w:shd w:val="clear" w:color="auto" w:fill="FFFFFF"/>
          </w:tcPr>
          <w:p w14:paraId="3876ABBF"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1.54 (1.04-2.29)</w:t>
            </w:r>
          </w:p>
        </w:tc>
        <w:tc>
          <w:tcPr>
            <w:tcW w:w="3333" w:type="dxa"/>
            <w:shd w:val="clear" w:color="auto" w:fill="FFFFFF"/>
          </w:tcPr>
          <w:p w14:paraId="3BA7845F"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0.032</w:t>
            </w:r>
          </w:p>
        </w:tc>
      </w:tr>
      <w:tr w:rsidR="00F94B2A" w14:paraId="6AE2185D" w14:textId="77777777" w:rsidTr="005F1C01">
        <w:trPr>
          <w:jc w:val="center"/>
        </w:trPr>
        <w:tc>
          <w:tcPr>
            <w:tcW w:w="3333" w:type="dxa"/>
            <w:shd w:val="clear" w:color="auto" w:fill="FFFFFF"/>
            <w:vAlign w:val="center"/>
          </w:tcPr>
          <w:p w14:paraId="76304762"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Chronic kidney disease</w:t>
            </w:r>
          </w:p>
        </w:tc>
        <w:tc>
          <w:tcPr>
            <w:tcW w:w="3333" w:type="dxa"/>
            <w:shd w:val="clear" w:color="auto" w:fill="FFFFFF"/>
          </w:tcPr>
          <w:p w14:paraId="352F7F00"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1.05 (0.65-1.69)</w:t>
            </w:r>
          </w:p>
        </w:tc>
        <w:tc>
          <w:tcPr>
            <w:tcW w:w="3333" w:type="dxa"/>
            <w:shd w:val="clear" w:color="auto" w:fill="FFFFFF"/>
          </w:tcPr>
          <w:p w14:paraId="7A27FB56"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0.847</w:t>
            </w:r>
          </w:p>
        </w:tc>
      </w:tr>
      <w:tr w:rsidR="00F94B2A" w14:paraId="10159C17" w14:textId="77777777" w:rsidTr="005F1C01">
        <w:trPr>
          <w:jc w:val="center"/>
        </w:trPr>
        <w:tc>
          <w:tcPr>
            <w:tcW w:w="3333" w:type="dxa"/>
            <w:shd w:val="clear" w:color="auto" w:fill="FFFFFF"/>
            <w:vAlign w:val="center"/>
          </w:tcPr>
          <w:p w14:paraId="7ECD8704"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Diabetes mellitus</w:t>
            </w:r>
          </w:p>
        </w:tc>
        <w:tc>
          <w:tcPr>
            <w:tcW w:w="3333" w:type="dxa"/>
            <w:shd w:val="clear" w:color="auto" w:fill="FFFFFF"/>
          </w:tcPr>
          <w:p w14:paraId="2DC19F90"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1.02 (0.68-1.52)</w:t>
            </w:r>
          </w:p>
        </w:tc>
        <w:tc>
          <w:tcPr>
            <w:tcW w:w="3333" w:type="dxa"/>
            <w:shd w:val="clear" w:color="auto" w:fill="FFFFFF"/>
          </w:tcPr>
          <w:p w14:paraId="78131B92"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0.936</w:t>
            </w:r>
          </w:p>
        </w:tc>
      </w:tr>
      <w:tr w:rsidR="00F94B2A" w14:paraId="02487577" w14:textId="77777777" w:rsidTr="005F1C01">
        <w:trPr>
          <w:jc w:val="center"/>
        </w:trPr>
        <w:tc>
          <w:tcPr>
            <w:tcW w:w="3333" w:type="dxa"/>
            <w:shd w:val="clear" w:color="auto" w:fill="FFFFFF"/>
            <w:vAlign w:val="center"/>
          </w:tcPr>
          <w:p w14:paraId="2811CF23"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NLR</w:t>
            </w:r>
          </w:p>
        </w:tc>
        <w:tc>
          <w:tcPr>
            <w:tcW w:w="3333" w:type="dxa"/>
            <w:shd w:val="clear" w:color="auto" w:fill="FFFFFF"/>
          </w:tcPr>
          <w:p w14:paraId="4E442EB5"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1.01 (1.00-1.02)</w:t>
            </w:r>
          </w:p>
        </w:tc>
        <w:tc>
          <w:tcPr>
            <w:tcW w:w="3333" w:type="dxa"/>
            <w:shd w:val="clear" w:color="auto" w:fill="FFFFFF"/>
          </w:tcPr>
          <w:p w14:paraId="28C0AA0D"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0.068</w:t>
            </w:r>
          </w:p>
        </w:tc>
      </w:tr>
      <w:tr w:rsidR="00F94B2A" w14:paraId="1FE545F2" w14:textId="77777777" w:rsidTr="005F1C01">
        <w:trPr>
          <w:jc w:val="center"/>
        </w:trPr>
        <w:tc>
          <w:tcPr>
            <w:tcW w:w="3333" w:type="dxa"/>
            <w:shd w:val="clear" w:color="auto" w:fill="FFFFFF"/>
            <w:vAlign w:val="center"/>
          </w:tcPr>
          <w:p w14:paraId="30CF074F"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ACAG</w:t>
            </w:r>
          </w:p>
        </w:tc>
        <w:tc>
          <w:tcPr>
            <w:tcW w:w="3333" w:type="dxa"/>
            <w:shd w:val="clear" w:color="auto" w:fill="FFFFFF"/>
          </w:tcPr>
          <w:p w14:paraId="11583A92"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0.96 (0.92-1.00)</w:t>
            </w:r>
          </w:p>
        </w:tc>
        <w:tc>
          <w:tcPr>
            <w:tcW w:w="3333" w:type="dxa"/>
            <w:shd w:val="clear" w:color="auto" w:fill="FFFFFF"/>
          </w:tcPr>
          <w:p w14:paraId="00CBA77E"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0.069</w:t>
            </w:r>
          </w:p>
        </w:tc>
      </w:tr>
      <w:tr w:rsidR="00F94B2A" w14:paraId="26516125" w14:textId="77777777" w:rsidTr="005F1C01">
        <w:trPr>
          <w:jc w:val="center"/>
        </w:trPr>
        <w:tc>
          <w:tcPr>
            <w:tcW w:w="3333" w:type="dxa"/>
            <w:shd w:val="clear" w:color="auto" w:fill="FFFFFF"/>
            <w:vAlign w:val="center"/>
          </w:tcPr>
          <w:p w14:paraId="39B91F18"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PNI</w:t>
            </w:r>
          </w:p>
        </w:tc>
        <w:tc>
          <w:tcPr>
            <w:tcW w:w="3333" w:type="dxa"/>
            <w:shd w:val="clear" w:color="auto" w:fill="FFFFFF"/>
          </w:tcPr>
          <w:p w14:paraId="0DEABA52"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1.01 (0.98-1.04)</w:t>
            </w:r>
          </w:p>
        </w:tc>
        <w:tc>
          <w:tcPr>
            <w:tcW w:w="3333" w:type="dxa"/>
            <w:shd w:val="clear" w:color="auto" w:fill="FFFFFF"/>
          </w:tcPr>
          <w:p w14:paraId="00FA8873"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0.452</w:t>
            </w:r>
          </w:p>
        </w:tc>
      </w:tr>
    </w:tbl>
    <w:p w14:paraId="1B089938" w14:textId="77777777" w:rsidR="00F94B2A" w:rsidRDefault="00F94B2A" w:rsidP="00F94B2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Note: N = 3,678 patients; 168 events. The model included the same 14 covariates as the primary analysis but used the second MICE imputed dataset (m = 2) instead of the first. Results were consistent with those obtained from the first imputed dataset, supporting the robustness of the primary findings. The marginally non-significant </w:t>
      </w:r>
      <w:r>
        <w:rPr>
          <w:rFonts w:ascii="Times New Roman" w:hAnsi="Times New Roman" w:cs="Times New Roman"/>
          <w:i/>
          <w:iCs/>
          <w:sz w:val="24"/>
          <w:szCs w:val="24"/>
        </w:rPr>
        <w:t>P</w:t>
      </w:r>
      <w:r>
        <w:rPr>
          <w:rFonts w:ascii="Times New Roman" w:hAnsi="Times New Roman" w:cs="Times New Roman"/>
          <w:sz w:val="24"/>
          <w:szCs w:val="24"/>
        </w:rPr>
        <w:t>-value for ACAG (0.069) in this replication reflects inherent variability across imputed datasets rather than a true null effect; the point estimate (0.96) and confidence interval (0.92-1.00) remained consistent with the primary estimate. Abbreviations: HR, hazard ratio; CI, confidence interval.</w:t>
      </w:r>
    </w:p>
    <w:p w14:paraId="33EAB0FB" w14:textId="77777777" w:rsidR="00F94B2A" w:rsidRDefault="00F94B2A" w:rsidP="00F94B2A">
      <w:pPr>
        <w:spacing w:after="0" w:line="480" w:lineRule="auto"/>
        <w:rPr>
          <w:rFonts w:ascii="Times New Roman" w:hAnsi="Times New Roman" w:cs="Times New Roman"/>
          <w:b/>
          <w:bCs/>
          <w:sz w:val="24"/>
          <w:szCs w:val="24"/>
        </w:rPr>
      </w:pPr>
    </w:p>
    <w:p w14:paraId="4D944EC8" w14:textId="77777777" w:rsidR="00F94B2A" w:rsidRDefault="00F94B2A" w:rsidP="00F94B2A">
      <w:pPr>
        <w:spacing w:after="0" w:line="480" w:lineRule="auto"/>
        <w:rPr>
          <w:rFonts w:ascii="Times New Roman" w:hAnsi="Times New Roman" w:cs="Times New Roman"/>
          <w:sz w:val="24"/>
          <w:szCs w:val="24"/>
        </w:rPr>
      </w:pPr>
      <w:r>
        <w:rPr>
          <w:rFonts w:ascii="Times New Roman" w:hAnsi="Times New Roman" w:cs="Times New Roman"/>
          <w:b/>
          <w:bCs/>
          <w:sz w:val="24"/>
          <w:szCs w:val="24"/>
        </w:rPr>
        <w:t>Supplementary Table S</w:t>
      </w:r>
      <w:r>
        <w:rPr>
          <w:rFonts w:ascii="Times New Roman" w:hAnsi="Times New Roman" w:cs="Times New Roman" w:hint="eastAsia"/>
          <w:b/>
          <w:bCs/>
          <w:sz w:val="24"/>
          <w:szCs w:val="24"/>
        </w:rPr>
        <w:t>3</w:t>
      </w:r>
      <w:r>
        <w:rPr>
          <w:rFonts w:ascii="Times New Roman" w:hAnsi="Times New Roman" w:cs="Times New Roman"/>
          <w:b/>
          <w:bCs/>
          <w:sz w:val="24"/>
          <w:szCs w:val="24"/>
        </w:rPr>
        <w:t>. Sensitivity analysis: complete-case multivariable Cox regression for 90-day readmission.</w:t>
      </w:r>
    </w:p>
    <w:tbl>
      <w:tblPr>
        <w:tblW w:w="5000" w:type="pct"/>
        <w:jc w:val="center"/>
        <w:tblBorders>
          <w:top w:val="single" w:sz="12" w:space="0" w:color="000000"/>
          <w:bottom w:val="single" w:sz="12" w:space="0" w:color="000000"/>
        </w:tblBorders>
        <w:tblCellMar>
          <w:left w:w="10" w:type="dxa"/>
          <w:right w:w="10" w:type="dxa"/>
        </w:tblCellMar>
        <w:tblLook w:val="04A0" w:firstRow="1" w:lastRow="0" w:firstColumn="1" w:lastColumn="0" w:noHBand="0" w:noVBand="1"/>
      </w:tblPr>
      <w:tblGrid>
        <w:gridCol w:w="2958"/>
        <w:gridCol w:w="2848"/>
        <w:gridCol w:w="2834"/>
      </w:tblGrid>
      <w:tr w:rsidR="00F94B2A" w14:paraId="7692E1BE" w14:textId="77777777" w:rsidTr="005F1C01">
        <w:trPr>
          <w:tblHeader/>
          <w:jc w:val="center"/>
        </w:trPr>
        <w:tc>
          <w:tcPr>
            <w:tcW w:w="3333" w:type="dxa"/>
            <w:tcBorders>
              <w:bottom w:val="single" w:sz="4" w:space="0" w:color="000000"/>
              <w:tl2br w:val="nil"/>
            </w:tcBorders>
            <w:shd w:val="clear" w:color="auto" w:fill="FFFFFF"/>
          </w:tcPr>
          <w:p w14:paraId="4D9F3CB0" w14:textId="77777777" w:rsidR="00F94B2A" w:rsidRDefault="00F94B2A" w:rsidP="005F1C01">
            <w:pPr>
              <w:spacing w:before="40" w:after="40"/>
              <w:jc w:val="center"/>
              <w:rPr>
                <w:rFonts w:ascii="Times New Roman" w:hAnsi="Times New Roman" w:cs="Times New Roman"/>
                <w:color w:val="000000"/>
                <w:sz w:val="24"/>
                <w:szCs w:val="24"/>
              </w:rPr>
            </w:pPr>
            <w:r>
              <w:rPr>
                <w:rFonts w:ascii="Times New Roman" w:hAnsi="Times New Roman" w:cs="Times New Roman"/>
                <w:bCs/>
                <w:color w:val="000000"/>
                <w:sz w:val="24"/>
                <w:szCs w:val="24"/>
              </w:rPr>
              <w:t>Variable</w:t>
            </w:r>
          </w:p>
        </w:tc>
        <w:tc>
          <w:tcPr>
            <w:tcW w:w="3333" w:type="dxa"/>
            <w:tcBorders>
              <w:bottom w:val="single" w:sz="4" w:space="0" w:color="000000"/>
            </w:tcBorders>
            <w:shd w:val="clear" w:color="auto" w:fill="FFFFFF"/>
          </w:tcPr>
          <w:p w14:paraId="70E80EFD" w14:textId="77777777" w:rsidR="00F94B2A" w:rsidRDefault="00F94B2A" w:rsidP="005F1C01">
            <w:pPr>
              <w:spacing w:before="40" w:after="40"/>
              <w:jc w:val="center"/>
              <w:rPr>
                <w:rFonts w:ascii="Times New Roman" w:hAnsi="Times New Roman" w:cs="Times New Roman"/>
                <w:color w:val="000000"/>
                <w:sz w:val="24"/>
                <w:szCs w:val="24"/>
              </w:rPr>
            </w:pPr>
            <w:r>
              <w:rPr>
                <w:rFonts w:ascii="Times New Roman" w:hAnsi="Times New Roman" w:cs="Times New Roman"/>
                <w:bCs/>
                <w:color w:val="000000"/>
                <w:sz w:val="24"/>
                <w:szCs w:val="24"/>
              </w:rPr>
              <w:t>HR (95% CI)</w:t>
            </w:r>
          </w:p>
        </w:tc>
        <w:tc>
          <w:tcPr>
            <w:tcW w:w="3333" w:type="dxa"/>
            <w:tcBorders>
              <w:bottom w:val="single" w:sz="4" w:space="0" w:color="000000"/>
            </w:tcBorders>
            <w:shd w:val="clear" w:color="auto" w:fill="FFFFFF"/>
          </w:tcPr>
          <w:p w14:paraId="11940510" w14:textId="77777777" w:rsidR="00F94B2A" w:rsidRDefault="00F94B2A" w:rsidP="005F1C01">
            <w:pPr>
              <w:spacing w:before="40" w:after="40"/>
              <w:jc w:val="center"/>
              <w:rPr>
                <w:rFonts w:ascii="Times New Roman" w:hAnsi="Times New Roman" w:cs="Times New Roman"/>
                <w:color w:val="000000"/>
                <w:sz w:val="24"/>
                <w:szCs w:val="24"/>
              </w:rPr>
            </w:pPr>
            <w:r>
              <w:rPr>
                <w:rFonts w:ascii="Times New Roman" w:hAnsi="Times New Roman" w:cs="Times New Roman"/>
                <w:bCs/>
                <w:i/>
                <w:iCs/>
                <w:color w:val="000000"/>
                <w:sz w:val="24"/>
                <w:szCs w:val="24"/>
              </w:rPr>
              <w:t>P</w:t>
            </w:r>
            <w:r>
              <w:rPr>
                <w:rFonts w:ascii="Times New Roman" w:hAnsi="Times New Roman" w:cs="Times New Roman"/>
                <w:bCs/>
                <w:color w:val="000000"/>
                <w:sz w:val="24"/>
                <w:szCs w:val="24"/>
              </w:rPr>
              <w:t>-value</w:t>
            </w:r>
          </w:p>
        </w:tc>
      </w:tr>
      <w:tr w:rsidR="00F94B2A" w14:paraId="752C52EA" w14:textId="77777777" w:rsidTr="005F1C01">
        <w:trPr>
          <w:jc w:val="center"/>
        </w:trPr>
        <w:tc>
          <w:tcPr>
            <w:tcW w:w="3333" w:type="dxa"/>
            <w:tcBorders>
              <w:top w:val="single" w:sz="4" w:space="0" w:color="000000"/>
            </w:tcBorders>
            <w:shd w:val="clear" w:color="auto" w:fill="FFFFFF"/>
            <w:vAlign w:val="center"/>
          </w:tcPr>
          <w:p w14:paraId="7BEB394B"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Age</w:t>
            </w:r>
          </w:p>
        </w:tc>
        <w:tc>
          <w:tcPr>
            <w:tcW w:w="3333" w:type="dxa"/>
            <w:tcBorders>
              <w:top w:val="single" w:sz="4" w:space="0" w:color="000000"/>
            </w:tcBorders>
            <w:shd w:val="clear" w:color="auto" w:fill="FFFFFF"/>
          </w:tcPr>
          <w:p w14:paraId="0A01FB72"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1.02 (0.99-1.05)</w:t>
            </w:r>
          </w:p>
        </w:tc>
        <w:tc>
          <w:tcPr>
            <w:tcW w:w="3333" w:type="dxa"/>
            <w:tcBorders>
              <w:top w:val="single" w:sz="4" w:space="0" w:color="000000"/>
            </w:tcBorders>
            <w:shd w:val="clear" w:color="auto" w:fill="FFFFFF"/>
          </w:tcPr>
          <w:p w14:paraId="0917E802"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0.271</w:t>
            </w:r>
          </w:p>
        </w:tc>
      </w:tr>
      <w:tr w:rsidR="00F94B2A" w14:paraId="3D26E4D0" w14:textId="77777777" w:rsidTr="005F1C01">
        <w:trPr>
          <w:jc w:val="center"/>
        </w:trPr>
        <w:tc>
          <w:tcPr>
            <w:tcW w:w="3333" w:type="dxa"/>
            <w:shd w:val="clear" w:color="auto" w:fill="FFFFFF"/>
            <w:vAlign w:val="center"/>
          </w:tcPr>
          <w:p w14:paraId="4075D212"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Male sex</w:t>
            </w:r>
          </w:p>
        </w:tc>
        <w:tc>
          <w:tcPr>
            <w:tcW w:w="3333" w:type="dxa"/>
            <w:shd w:val="clear" w:color="auto" w:fill="FFFFFF"/>
          </w:tcPr>
          <w:p w14:paraId="0308C825"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1.64 (0.88-3.06)</w:t>
            </w:r>
          </w:p>
        </w:tc>
        <w:tc>
          <w:tcPr>
            <w:tcW w:w="3333" w:type="dxa"/>
            <w:shd w:val="clear" w:color="auto" w:fill="FFFFFF"/>
          </w:tcPr>
          <w:p w14:paraId="02F2F17C"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0.121</w:t>
            </w:r>
          </w:p>
        </w:tc>
      </w:tr>
      <w:tr w:rsidR="00F94B2A" w14:paraId="707F5FC0" w14:textId="77777777" w:rsidTr="005F1C01">
        <w:trPr>
          <w:jc w:val="center"/>
        </w:trPr>
        <w:tc>
          <w:tcPr>
            <w:tcW w:w="3333" w:type="dxa"/>
            <w:shd w:val="clear" w:color="auto" w:fill="FFFFFF"/>
            <w:vAlign w:val="center"/>
          </w:tcPr>
          <w:p w14:paraId="1824C3F8"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SOFA score</w:t>
            </w:r>
          </w:p>
        </w:tc>
        <w:tc>
          <w:tcPr>
            <w:tcW w:w="3333" w:type="dxa"/>
            <w:shd w:val="clear" w:color="auto" w:fill="FFFFFF"/>
          </w:tcPr>
          <w:p w14:paraId="557ECD12"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0.98 (0.89-1.08)</w:t>
            </w:r>
          </w:p>
        </w:tc>
        <w:tc>
          <w:tcPr>
            <w:tcW w:w="3333" w:type="dxa"/>
            <w:shd w:val="clear" w:color="auto" w:fill="FFFFFF"/>
          </w:tcPr>
          <w:p w14:paraId="7C8E0C6B"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0.659</w:t>
            </w:r>
          </w:p>
        </w:tc>
      </w:tr>
      <w:tr w:rsidR="00F94B2A" w14:paraId="458B26E7" w14:textId="77777777" w:rsidTr="005F1C01">
        <w:trPr>
          <w:jc w:val="center"/>
        </w:trPr>
        <w:tc>
          <w:tcPr>
            <w:tcW w:w="3333" w:type="dxa"/>
            <w:shd w:val="clear" w:color="auto" w:fill="FFFFFF"/>
            <w:vAlign w:val="center"/>
          </w:tcPr>
          <w:p w14:paraId="618944C1"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Charlson Comorbidity Index</w:t>
            </w:r>
          </w:p>
        </w:tc>
        <w:tc>
          <w:tcPr>
            <w:tcW w:w="3333" w:type="dxa"/>
            <w:shd w:val="clear" w:color="auto" w:fill="FFFFFF"/>
          </w:tcPr>
          <w:p w14:paraId="6A1F91A1"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0.96 (0.80-1.13)</w:t>
            </w:r>
          </w:p>
        </w:tc>
        <w:tc>
          <w:tcPr>
            <w:tcW w:w="3333" w:type="dxa"/>
            <w:shd w:val="clear" w:color="auto" w:fill="FFFFFF"/>
          </w:tcPr>
          <w:p w14:paraId="5822AE72"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0.602</w:t>
            </w:r>
          </w:p>
        </w:tc>
      </w:tr>
      <w:tr w:rsidR="00F94B2A" w14:paraId="555D61E2" w14:textId="77777777" w:rsidTr="005F1C01">
        <w:trPr>
          <w:jc w:val="center"/>
        </w:trPr>
        <w:tc>
          <w:tcPr>
            <w:tcW w:w="3333" w:type="dxa"/>
            <w:shd w:val="clear" w:color="auto" w:fill="FFFFFF"/>
            <w:vAlign w:val="center"/>
          </w:tcPr>
          <w:p w14:paraId="06603D72"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Acute kidney injury</w:t>
            </w:r>
          </w:p>
        </w:tc>
        <w:tc>
          <w:tcPr>
            <w:tcW w:w="3333" w:type="dxa"/>
            <w:shd w:val="clear" w:color="auto" w:fill="FFFFFF"/>
          </w:tcPr>
          <w:p w14:paraId="3521E381"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4.00 (0.54-29.60)</w:t>
            </w:r>
          </w:p>
        </w:tc>
        <w:tc>
          <w:tcPr>
            <w:tcW w:w="3333" w:type="dxa"/>
            <w:shd w:val="clear" w:color="auto" w:fill="FFFFFF"/>
          </w:tcPr>
          <w:p w14:paraId="7021A254"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0.175</w:t>
            </w:r>
          </w:p>
        </w:tc>
      </w:tr>
      <w:tr w:rsidR="00F94B2A" w14:paraId="7FDD1A0E" w14:textId="77777777" w:rsidTr="005F1C01">
        <w:trPr>
          <w:jc w:val="center"/>
        </w:trPr>
        <w:tc>
          <w:tcPr>
            <w:tcW w:w="3333" w:type="dxa"/>
            <w:shd w:val="clear" w:color="auto" w:fill="FFFFFF"/>
            <w:vAlign w:val="center"/>
          </w:tcPr>
          <w:p w14:paraId="7A80EE32"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Albumin</w:t>
            </w:r>
          </w:p>
        </w:tc>
        <w:tc>
          <w:tcPr>
            <w:tcW w:w="3333" w:type="dxa"/>
            <w:shd w:val="clear" w:color="auto" w:fill="FFFFFF"/>
          </w:tcPr>
          <w:p w14:paraId="3F3EDEDD"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1.77 (0.58-5.43)</w:t>
            </w:r>
          </w:p>
        </w:tc>
        <w:tc>
          <w:tcPr>
            <w:tcW w:w="3333" w:type="dxa"/>
            <w:shd w:val="clear" w:color="auto" w:fill="FFFFFF"/>
          </w:tcPr>
          <w:p w14:paraId="69F890EF"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0.315</w:t>
            </w:r>
          </w:p>
        </w:tc>
      </w:tr>
      <w:tr w:rsidR="00F94B2A" w14:paraId="4E5E42FC" w14:textId="77777777" w:rsidTr="005F1C01">
        <w:trPr>
          <w:jc w:val="center"/>
        </w:trPr>
        <w:tc>
          <w:tcPr>
            <w:tcW w:w="3333" w:type="dxa"/>
            <w:shd w:val="clear" w:color="auto" w:fill="FFFFFF"/>
            <w:vAlign w:val="center"/>
          </w:tcPr>
          <w:p w14:paraId="603D873E"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LAR</w:t>
            </w:r>
          </w:p>
        </w:tc>
        <w:tc>
          <w:tcPr>
            <w:tcW w:w="3333" w:type="dxa"/>
            <w:shd w:val="clear" w:color="auto" w:fill="FFFFFF"/>
          </w:tcPr>
          <w:p w14:paraId="337A2E9D"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1.01 (0.57-1.78)</w:t>
            </w:r>
          </w:p>
        </w:tc>
        <w:tc>
          <w:tcPr>
            <w:tcW w:w="3333" w:type="dxa"/>
            <w:shd w:val="clear" w:color="auto" w:fill="FFFFFF"/>
          </w:tcPr>
          <w:p w14:paraId="715B15BF"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0.971</w:t>
            </w:r>
          </w:p>
        </w:tc>
      </w:tr>
      <w:tr w:rsidR="00F94B2A" w14:paraId="650B06FC" w14:textId="77777777" w:rsidTr="005F1C01">
        <w:trPr>
          <w:jc w:val="center"/>
        </w:trPr>
        <w:tc>
          <w:tcPr>
            <w:tcW w:w="3333" w:type="dxa"/>
            <w:shd w:val="clear" w:color="auto" w:fill="FFFFFF"/>
            <w:vAlign w:val="center"/>
          </w:tcPr>
          <w:p w14:paraId="113CAE78"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Invasive mechanical ventilation</w:t>
            </w:r>
          </w:p>
        </w:tc>
        <w:tc>
          <w:tcPr>
            <w:tcW w:w="3333" w:type="dxa"/>
            <w:shd w:val="clear" w:color="auto" w:fill="FFFFFF"/>
          </w:tcPr>
          <w:p w14:paraId="5FFDDACD"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1.21 (0.50-2.94)</w:t>
            </w:r>
          </w:p>
        </w:tc>
        <w:tc>
          <w:tcPr>
            <w:tcW w:w="3333" w:type="dxa"/>
            <w:shd w:val="clear" w:color="auto" w:fill="FFFFFF"/>
          </w:tcPr>
          <w:p w14:paraId="28BFE6EE"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0.679</w:t>
            </w:r>
          </w:p>
        </w:tc>
      </w:tr>
      <w:tr w:rsidR="00F94B2A" w14:paraId="5201F1A9" w14:textId="77777777" w:rsidTr="005F1C01">
        <w:trPr>
          <w:jc w:val="center"/>
        </w:trPr>
        <w:tc>
          <w:tcPr>
            <w:tcW w:w="3333" w:type="dxa"/>
            <w:shd w:val="clear" w:color="auto" w:fill="FFFFFF"/>
            <w:vAlign w:val="center"/>
          </w:tcPr>
          <w:p w14:paraId="7317D92B"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Congestive heart failure</w:t>
            </w:r>
          </w:p>
        </w:tc>
        <w:tc>
          <w:tcPr>
            <w:tcW w:w="3333" w:type="dxa"/>
            <w:shd w:val="clear" w:color="auto" w:fill="FFFFFF"/>
          </w:tcPr>
          <w:p w14:paraId="74F34ED6"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1.76 (0.94-3.30)</w:t>
            </w:r>
          </w:p>
        </w:tc>
        <w:tc>
          <w:tcPr>
            <w:tcW w:w="3333" w:type="dxa"/>
            <w:shd w:val="clear" w:color="auto" w:fill="FFFFFF"/>
          </w:tcPr>
          <w:p w14:paraId="352470A3"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0.079</w:t>
            </w:r>
          </w:p>
        </w:tc>
      </w:tr>
      <w:tr w:rsidR="00F94B2A" w14:paraId="39D9108F" w14:textId="77777777" w:rsidTr="005F1C01">
        <w:trPr>
          <w:jc w:val="center"/>
        </w:trPr>
        <w:tc>
          <w:tcPr>
            <w:tcW w:w="3333" w:type="dxa"/>
            <w:shd w:val="clear" w:color="auto" w:fill="FFFFFF"/>
            <w:vAlign w:val="center"/>
          </w:tcPr>
          <w:p w14:paraId="2FA0AF12"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Chronic kidney disease</w:t>
            </w:r>
          </w:p>
        </w:tc>
        <w:tc>
          <w:tcPr>
            <w:tcW w:w="3333" w:type="dxa"/>
            <w:shd w:val="clear" w:color="auto" w:fill="FFFFFF"/>
          </w:tcPr>
          <w:p w14:paraId="426914BD"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0.79 (0.35-1.81)</w:t>
            </w:r>
          </w:p>
        </w:tc>
        <w:tc>
          <w:tcPr>
            <w:tcW w:w="3333" w:type="dxa"/>
            <w:shd w:val="clear" w:color="auto" w:fill="FFFFFF"/>
          </w:tcPr>
          <w:p w14:paraId="544D7046"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0.579</w:t>
            </w:r>
          </w:p>
        </w:tc>
      </w:tr>
      <w:tr w:rsidR="00F94B2A" w14:paraId="657852C9" w14:textId="77777777" w:rsidTr="005F1C01">
        <w:trPr>
          <w:jc w:val="center"/>
        </w:trPr>
        <w:tc>
          <w:tcPr>
            <w:tcW w:w="3333" w:type="dxa"/>
            <w:shd w:val="clear" w:color="auto" w:fill="FFFFFF"/>
            <w:vAlign w:val="center"/>
          </w:tcPr>
          <w:p w14:paraId="575D23B3"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Diabetes mellitus</w:t>
            </w:r>
          </w:p>
        </w:tc>
        <w:tc>
          <w:tcPr>
            <w:tcW w:w="3333" w:type="dxa"/>
            <w:shd w:val="clear" w:color="auto" w:fill="FFFFFF"/>
          </w:tcPr>
          <w:p w14:paraId="2B2F7D7E"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1.38 (0.73-2.60)</w:t>
            </w:r>
          </w:p>
        </w:tc>
        <w:tc>
          <w:tcPr>
            <w:tcW w:w="3333" w:type="dxa"/>
            <w:shd w:val="clear" w:color="auto" w:fill="FFFFFF"/>
          </w:tcPr>
          <w:p w14:paraId="57EE2117"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0.320</w:t>
            </w:r>
          </w:p>
        </w:tc>
      </w:tr>
      <w:tr w:rsidR="00F94B2A" w14:paraId="1CA6DDC1" w14:textId="77777777" w:rsidTr="005F1C01">
        <w:trPr>
          <w:jc w:val="center"/>
        </w:trPr>
        <w:tc>
          <w:tcPr>
            <w:tcW w:w="3333" w:type="dxa"/>
            <w:shd w:val="clear" w:color="auto" w:fill="FFFFFF"/>
            <w:vAlign w:val="center"/>
          </w:tcPr>
          <w:p w14:paraId="540CC448"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NLR</w:t>
            </w:r>
          </w:p>
        </w:tc>
        <w:tc>
          <w:tcPr>
            <w:tcW w:w="3333" w:type="dxa"/>
            <w:shd w:val="clear" w:color="auto" w:fill="FFFFFF"/>
          </w:tcPr>
          <w:p w14:paraId="08D2E124"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1.00 (0.98-1.02)</w:t>
            </w:r>
          </w:p>
        </w:tc>
        <w:tc>
          <w:tcPr>
            <w:tcW w:w="3333" w:type="dxa"/>
            <w:shd w:val="clear" w:color="auto" w:fill="FFFFFF"/>
          </w:tcPr>
          <w:p w14:paraId="1D13D389"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0.843</w:t>
            </w:r>
          </w:p>
        </w:tc>
      </w:tr>
      <w:tr w:rsidR="00F94B2A" w14:paraId="6B47E2FD" w14:textId="77777777" w:rsidTr="005F1C01">
        <w:trPr>
          <w:jc w:val="center"/>
        </w:trPr>
        <w:tc>
          <w:tcPr>
            <w:tcW w:w="3333" w:type="dxa"/>
            <w:shd w:val="clear" w:color="auto" w:fill="FFFFFF"/>
            <w:vAlign w:val="center"/>
          </w:tcPr>
          <w:p w14:paraId="4895E451"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ACAG</w:t>
            </w:r>
          </w:p>
        </w:tc>
        <w:tc>
          <w:tcPr>
            <w:tcW w:w="3333" w:type="dxa"/>
            <w:shd w:val="clear" w:color="auto" w:fill="FFFFFF"/>
          </w:tcPr>
          <w:p w14:paraId="3964E1E6"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0.93 (0.87-1.00)</w:t>
            </w:r>
          </w:p>
        </w:tc>
        <w:tc>
          <w:tcPr>
            <w:tcW w:w="3333" w:type="dxa"/>
            <w:shd w:val="clear" w:color="auto" w:fill="FFFFFF"/>
          </w:tcPr>
          <w:p w14:paraId="6E3B12AA"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0.061</w:t>
            </w:r>
          </w:p>
        </w:tc>
      </w:tr>
      <w:tr w:rsidR="00F94B2A" w14:paraId="4698146B" w14:textId="77777777" w:rsidTr="005F1C01">
        <w:trPr>
          <w:jc w:val="center"/>
        </w:trPr>
        <w:tc>
          <w:tcPr>
            <w:tcW w:w="3333" w:type="dxa"/>
            <w:shd w:val="clear" w:color="auto" w:fill="FFFFFF"/>
            <w:vAlign w:val="center"/>
          </w:tcPr>
          <w:p w14:paraId="3FDBFF05" w14:textId="77777777" w:rsidR="00F94B2A" w:rsidRDefault="00F94B2A" w:rsidP="005F1C01">
            <w:pPr>
              <w:snapToGrid w:val="0"/>
              <w:spacing w:before="30" w:after="30" w:line="240" w:lineRule="auto"/>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PNI</w:t>
            </w:r>
          </w:p>
        </w:tc>
        <w:tc>
          <w:tcPr>
            <w:tcW w:w="3333" w:type="dxa"/>
            <w:shd w:val="clear" w:color="auto" w:fill="FFFFFF"/>
          </w:tcPr>
          <w:p w14:paraId="75D32713"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0.94 (0.85-1.03)</w:t>
            </w:r>
          </w:p>
        </w:tc>
        <w:tc>
          <w:tcPr>
            <w:tcW w:w="3333" w:type="dxa"/>
            <w:shd w:val="clear" w:color="auto" w:fill="FFFFFF"/>
          </w:tcPr>
          <w:p w14:paraId="408EEFF3"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0.195</w:t>
            </w:r>
          </w:p>
        </w:tc>
      </w:tr>
    </w:tbl>
    <w:p w14:paraId="5354303A" w14:textId="77777777" w:rsidR="00F94B2A" w:rsidRDefault="00F94B2A" w:rsidP="00F94B2A">
      <w:pPr>
        <w:spacing w:after="0" w:line="480" w:lineRule="auto"/>
        <w:rPr>
          <w:rFonts w:ascii="Times New Roman" w:hAnsi="Times New Roman" w:cs="Times New Roman"/>
          <w:sz w:val="24"/>
          <w:szCs w:val="24"/>
        </w:rPr>
      </w:pPr>
      <w:r>
        <w:rPr>
          <w:rFonts w:ascii="Times New Roman" w:hAnsi="Times New Roman" w:cs="Times New Roman"/>
          <w:sz w:val="24"/>
          <w:szCs w:val="24"/>
        </w:rPr>
        <w:t>Note: Note: N = 939 patients; 46 events (90-day readmissions). Sample size was reduced owing to listwise deletion of cases with any missing covariate data. The model included the same 14 covariates as the primary analysis. The direction of effect estimates was consistent with the primary MICE-based analysis, although confidence intervals were wider due to the reduced sample size. Abbreviations: HR, hazard ratio; CI, confidence interval.</w:t>
      </w:r>
    </w:p>
    <w:p w14:paraId="5FCAF55D" w14:textId="77777777" w:rsidR="00F94B2A" w:rsidRDefault="00F94B2A" w:rsidP="00F94B2A">
      <w:pPr>
        <w:spacing w:after="0" w:line="480" w:lineRule="auto"/>
        <w:rPr>
          <w:rFonts w:ascii="Times New Roman" w:hAnsi="Times New Roman" w:cs="Times New Roman"/>
          <w:sz w:val="24"/>
          <w:szCs w:val="24"/>
        </w:rPr>
      </w:pPr>
    </w:p>
    <w:p w14:paraId="0833D7E4" w14:textId="77777777" w:rsidR="00F94B2A" w:rsidRDefault="00F94B2A" w:rsidP="00F94B2A">
      <w:pPr>
        <w:pStyle w:val="Heading2"/>
        <w:spacing w:line="480" w:lineRule="auto"/>
        <w:rPr>
          <w:rFonts w:ascii="Times New Roman" w:eastAsiaTheme="minorEastAsia" w:hAnsi="Times New Roman" w:cs="Times New Roman"/>
          <w:b/>
          <w:bCs/>
          <w:color w:val="auto"/>
          <w:sz w:val="24"/>
          <w:szCs w:val="24"/>
        </w:rPr>
      </w:pPr>
      <w:r>
        <w:rPr>
          <w:rFonts w:ascii="Times New Roman" w:eastAsiaTheme="minorEastAsia" w:hAnsi="Times New Roman" w:cs="Times New Roman"/>
          <w:b/>
          <w:bCs/>
          <w:color w:val="auto"/>
          <w:sz w:val="24"/>
          <w:szCs w:val="24"/>
          <w:lang w:val="en-US" w:eastAsia="zh-CN"/>
        </w:rPr>
        <w:t>Supplementary Table S</w:t>
      </w:r>
      <w:r>
        <w:rPr>
          <w:rFonts w:ascii="Times New Roman" w:eastAsiaTheme="minorEastAsia" w:hAnsi="Times New Roman" w:cs="Times New Roman" w:hint="eastAsia"/>
          <w:b/>
          <w:bCs/>
          <w:color w:val="auto"/>
          <w:sz w:val="24"/>
          <w:szCs w:val="24"/>
          <w:lang w:val="en-US" w:eastAsia="zh-CN"/>
        </w:rPr>
        <w:t>4</w:t>
      </w:r>
      <w:r>
        <w:rPr>
          <w:rFonts w:ascii="Times New Roman" w:eastAsiaTheme="minorEastAsia" w:hAnsi="Times New Roman" w:cs="Times New Roman"/>
          <w:b/>
          <w:bCs/>
          <w:color w:val="auto"/>
          <w:sz w:val="24"/>
          <w:szCs w:val="24"/>
          <w:lang w:val="en-US" w:eastAsia="zh-CN"/>
        </w:rPr>
        <w:t>. Association between missingness of key laboratory variables and 90-day readmission.</w:t>
      </w:r>
    </w:p>
    <w:tbl>
      <w:tblPr>
        <w:tblW w:w="5000" w:type="pct"/>
        <w:jc w:val="center"/>
        <w:tblBorders>
          <w:top w:val="single" w:sz="12" w:space="0" w:color="000000"/>
          <w:bottom w:val="single" w:sz="12" w:space="0" w:color="000000"/>
        </w:tblBorders>
        <w:tblCellMar>
          <w:left w:w="10" w:type="dxa"/>
          <w:right w:w="10" w:type="dxa"/>
        </w:tblCellMar>
        <w:tblLook w:val="04A0" w:firstRow="1" w:lastRow="0" w:firstColumn="1" w:lastColumn="0" w:noHBand="0" w:noVBand="1"/>
      </w:tblPr>
      <w:tblGrid>
        <w:gridCol w:w="1765"/>
        <w:gridCol w:w="1663"/>
        <w:gridCol w:w="1793"/>
        <w:gridCol w:w="1793"/>
        <w:gridCol w:w="1626"/>
      </w:tblGrid>
      <w:tr w:rsidR="00F94B2A" w14:paraId="6BFCAD35" w14:textId="77777777" w:rsidTr="005F1C01">
        <w:trPr>
          <w:tblHeader/>
          <w:jc w:val="center"/>
        </w:trPr>
        <w:tc>
          <w:tcPr>
            <w:tcW w:w="2000" w:type="dxa"/>
            <w:tcBorders>
              <w:bottom w:val="single" w:sz="4" w:space="0" w:color="000000"/>
              <w:tl2br w:val="nil"/>
            </w:tcBorders>
            <w:shd w:val="clear" w:color="auto" w:fill="FFFFFF"/>
            <w:vAlign w:val="center"/>
          </w:tcPr>
          <w:p w14:paraId="47EDF6E8" w14:textId="77777777" w:rsidR="00F94B2A" w:rsidRDefault="00F94B2A" w:rsidP="005F1C01">
            <w:pPr>
              <w:spacing w:before="40" w:after="40"/>
              <w:jc w:val="center"/>
              <w:rPr>
                <w:rFonts w:ascii="Times New Roman" w:hAnsi="Times New Roman" w:cs="Times New Roman"/>
                <w:color w:val="000000"/>
                <w:sz w:val="24"/>
                <w:szCs w:val="24"/>
              </w:rPr>
            </w:pPr>
            <w:r>
              <w:rPr>
                <w:rFonts w:ascii="Times New Roman" w:hAnsi="Times New Roman" w:cs="Times New Roman"/>
                <w:bCs/>
                <w:color w:val="000000"/>
                <w:sz w:val="24"/>
                <w:szCs w:val="24"/>
              </w:rPr>
              <w:t>Variable</w:t>
            </w:r>
          </w:p>
        </w:tc>
        <w:tc>
          <w:tcPr>
            <w:tcW w:w="2000" w:type="dxa"/>
            <w:tcBorders>
              <w:bottom w:val="single" w:sz="4" w:space="0" w:color="000000"/>
            </w:tcBorders>
            <w:shd w:val="clear" w:color="auto" w:fill="FFFFFF"/>
            <w:vAlign w:val="center"/>
          </w:tcPr>
          <w:p w14:paraId="0F25FB26" w14:textId="77777777" w:rsidR="00F94B2A" w:rsidRDefault="00F94B2A" w:rsidP="005F1C01">
            <w:pPr>
              <w:spacing w:before="40" w:after="40"/>
              <w:jc w:val="center"/>
              <w:rPr>
                <w:rFonts w:ascii="Times New Roman" w:hAnsi="Times New Roman" w:cs="Times New Roman"/>
                <w:color w:val="000000"/>
                <w:sz w:val="24"/>
                <w:szCs w:val="24"/>
              </w:rPr>
            </w:pPr>
            <w:r>
              <w:rPr>
                <w:rFonts w:ascii="Times New Roman" w:hAnsi="Times New Roman" w:cs="Times New Roman"/>
                <w:bCs/>
                <w:color w:val="000000"/>
                <w:sz w:val="24"/>
                <w:szCs w:val="24"/>
              </w:rPr>
              <w:t>Missing (%)</w:t>
            </w:r>
          </w:p>
        </w:tc>
        <w:tc>
          <w:tcPr>
            <w:tcW w:w="2000" w:type="dxa"/>
            <w:tcBorders>
              <w:bottom w:val="single" w:sz="4" w:space="0" w:color="000000"/>
            </w:tcBorders>
            <w:shd w:val="clear" w:color="auto" w:fill="FFFFFF"/>
            <w:vAlign w:val="center"/>
          </w:tcPr>
          <w:p w14:paraId="3F20A49D" w14:textId="77777777" w:rsidR="00F94B2A" w:rsidRDefault="00F94B2A" w:rsidP="005F1C01">
            <w:pPr>
              <w:spacing w:before="40" w:after="40"/>
              <w:jc w:val="center"/>
              <w:rPr>
                <w:rFonts w:ascii="Times New Roman" w:hAnsi="Times New Roman" w:cs="Times New Roman"/>
                <w:color w:val="000000"/>
                <w:sz w:val="24"/>
                <w:szCs w:val="24"/>
              </w:rPr>
            </w:pPr>
            <w:r>
              <w:rPr>
                <w:rFonts w:ascii="Times New Roman" w:hAnsi="Times New Roman" w:cs="Times New Roman"/>
                <w:bCs/>
                <w:color w:val="000000"/>
                <w:sz w:val="24"/>
                <w:szCs w:val="24"/>
              </w:rPr>
              <w:t>Readmission rate: missing</w:t>
            </w:r>
          </w:p>
        </w:tc>
        <w:tc>
          <w:tcPr>
            <w:tcW w:w="2000" w:type="dxa"/>
            <w:tcBorders>
              <w:bottom w:val="single" w:sz="4" w:space="0" w:color="000000"/>
            </w:tcBorders>
            <w:shd w:val="clear" w:color="auto" w:fill="FFFFFF"/>
            <w:vAlign w:val="center"/>
          </w:tcPr>
          <w:p w14:paraId="625803A2" w14:textId="77777777" w:rsidR="00F94B2A" w:rsidRDefault="00F94B2A" w:rsidP="005F1C01">
            <w:pPr>
              <w:spacing w:before="40" w:after="40"/>
              <w:jc w:val="center"/>
              <w:rPr>
                <w:rFonts w:ascii="Times New Roman" w:hAnsi="Times New Roman" w:cs="Times New Roman"/>
                <w:color w:val="000000"/>
                <w:sz w:val="24"/>
                <w:szCs w:val="24"/>
              </w:rPr>
            </w:pPr>
            <w:r>
              <w:rPr>
                <w:rFonts w:ascii="Times New Roman" w:hAnsi="Times New Roman" w:cs="Times New Roman"/>
                <w:bCs/>
                <w:color w:val="000000"/>
                <w:sz w:val="24"/>
                <w:szCs w:val="24"/>
              </w:rPr>
              <w:t>Readmission rate: complete</w:t>
            </w:r>
          </w:p>
        </w:tc>
        <w:tc>
          <w:tcPr>
            <w:tcW w:w="2000" w:type="dxa"/>
            <w:tcBorders>
              <w:bottom w:val="single" w:sz="4" w:space="0" w:color="000000"/>
            </w:tcBorders>
            <w:shd w:val="clear" w:color="auto" w:fill="FFFFFF"/>
            <w:vAlign w:val="center"/>
          </w:tcPr>
          <w:p w14:paraId="65904D91" w14:textId="77777777" w:rsidR="00F94B2A" w:rsidRDefault="00F94B2A" w:rsidP="005F1C01">
            <w:pPr>
              <w:spacing w:before="40" w:after="40"/>
              <w:jc w:val="center"/>
              <w:rPr>
                <w:rFonts w:ascii="Times New Roman" w:hAnsi="Times New Roman" w:cs="Times New Roman"/>
                <w:color w:val="000000"/>
                <w:sz w:val="24"/>
                <w:szCs w:val="24"/>
              </w:rPr>
            </w:pPr>
            <w:r>
              <w:rPr>
                <w:rFonts w:ascii="Times New Roman" w:hAnsi="Times New Roman" w:cs="Times New Roman"/>
                <w:bCs/>
                <w:i/>
                <w:iCs/>
                <w:color w:val="000000"/>
                <w:sz w:val="24"/>
                <w:szCs w:val="24"/>
              </w:rPr>
              <w:t>P</w:t>
            </w:r>
            <w:r>
              <w:rPr>
                <w:rFonts w:ascii="Times New Roman" w:hAnsi="Times New Roman" w:cs="Times New Roman"/>
                <w:bCs/>
                <w:color w:val="000000"/>
                <w:sz w:val="24"/>
                <w:szCs w:val="24"/>
              </w:rPr>
              <w:t>-value*</w:t>
            </w:r>
          </w:p>
        </w:tc>
      </w:tr>
      <w:tr w:rsidR="00F94B2A" w14:paraId="05F672D8" w14:textId="77777777" w:rsidTr="005F1C01">
        <w:trPr>
          <w:jc w:val="center"/>
        </w:trPr>
        <w:tc>
          <w:tcPr>
            <w:tcW w:w="2000" w:type="dxa"/>
            <w:tcBorders>
              <w:top w:val="single" w:sz="4" w:space="0" w:color="000000"/>
            </w:tcBorders>
            <w:shd w:val="clear" w:color="auto" w:fill="FFFFFF"/>
            <w:vAlign w:val="center"/>
          </w:tcPr>
          <w:p w14:paraId="578DBBEB"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Lactate</w:t>
            </w:r>
          </w:p>
        </w:tc>
        <w:tc>
          <w:tcPr>
            <w:tcW w:w="2000" w:type="dxa"/>
            <w:tcBorders>
              <w:top w:val="single" w:sz="4" w:space="0" w:color="000000"/>
            </w:tcBorders>
            <w:shd w:val="clear" w:color="auto" w:fill="FFFFFF"/>
            <w:vAlign w:val="center"/>
          </w:tcPr>
          <w:p w14:paraId="736F1556"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38.4%</w:t>
            </w:r>
          </w:p>
        </w:tc>
        <w:tc>
          <w:tcPr>
            <w:tcW w:w="2000" w:type="dxa"/>
            <w:tcBorders>
              <w:top w:val="single" w:sz="4" w:space="0" w:color="000000"/>
            </w:tcBorders>
            <w:shd w:val="clear" w:color="auto" w:fill="FFFFFF"/>
            <w:vAlign w:val="center"/>
          </w:tcPr>
          <w:p w14:paraId="079284D3"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2000" w:type="dxa"/>
            <w:tcBorders>
              <w:top w:val="single" w:sz="4" w:space="0" w:color="000000"/>
            </w:tcBorders>
            <w:shd w:val="clear" w:color="auto" w:fill="FFFFFF"/>
            <w:vAlign w:val="center"/>
          </w:tcPr>
          <w:p w14:paraId="1AFE3A71"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2000" w:type="dxa"/>
            <w:tcBorders>
              <w:top w:val="single" w:sz="4" w:space="0" w:color="000000"/>
            </w:tcBorders>
            <w:shd w:val="clear" w:color="auto" w:fill="FFFFFF"/>
            <w:vAlign w:val="center"/>
          </w:tcPr>
          <w:p w14:paraId="2614C5D6"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0.293</w:t>
            </w:r>
          </w:p>
        </w:tc>
      </w:tr>
      <w:tr w:rsidR="00F94B2A" w14:paraId="7AFDAEB7" w14:textId="77777777" w:rsidTr="005F1C01">
        <w:trPr>
          <w:jc w:val="center"/>
        </w:trPr>
        <w:tc>
          <w:tcPr>
            <w:tcW w:w="2000" w:type="dxa"/>
            <w:shd w:val="clear" w:color="auto" w:fill="FFFFFF"/>
            <w:vAlign w:val="center"/>
          </w:tcPr>
          <w:p w14:paraId="5AA0829D"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Albumin</w:t>
            </w:r>
          </w:p>
        </w:tc>
        <w:tc>
          <w:tcPr>
            <w:tcW w:w="2000" w:type="dxa"/>
            <w:shd w:val="clear" w:color="auto" w:fill="FFFFFF"/>
            <w:vAlign w:val="center"/>
          </w:tcPr>
          <w:p w14:paraId="5ABF9913"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45.5%</w:t>
            </w:r>
          </w:p>
        </w:tc>
        <w:tc>
          <w:tcPr>
            <w:tcW w:w="2000" w:type="dxa"/>
            <w:shd w:val="clear" w:color="auto" w:fill="FFFFFF"/>
            <w:vAlign w:val="center"/>
          </w:tcPr>
          <w:p w14:paraId="03605828"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2000" w:type="dxa"/>
            <w:shd w:val="clear" w:color="auto" w:fill="FFFFFF"/>
            <w:vAlign w:val="center"/>
          </w:tcPr>
          <w:p w14:paraId="22229960"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2000" w:type="dxa"/>
            <w:shd w:val="clear" w:color="auto" w:fill="FFFFFF"/>
            <w:vAlign w:val="center"/>
          </w:tcPr>
          <w:p w14:paraId="2462BD1C"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0.341</w:t>
            </w:r>
          </w:p>
        </w:tc>
      </w:tr>
      <w:tr w:rsidR="00F94B2A" w14:paraId="6DFA1781" w14:textId="77777777" w:rsidTr="005F1C01">
        <w:trPr>
          <w:jc w:val="center"/>
        </w:trPr>
        <w:tc>
          <w:tcPr>
            <w:tcW w:w="2000" w:type="dxa"/>
            <w:shd w:val="clear" w:color="auto" w:fill="FFFFFF"/>
            <w:vAlign w:val="center"/>
          </w:tcPr>
          <w:p w14:paraId="7124909F"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Blood urea nitrogen</w:t>
            </w:r>
          </w:p>
        </w:tc>
        <w:tc>
          <w:tcPr>
            <w:tcW w:w="2000" w:type="dxa"/>
            <w:shd w:val="clear" w:color="auto" w:fill="FFFFFF"/>
            <w:vAlign w:val="center"/>
          </w:tcPr>
          <w:p w14:paraId="22CD2491"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0.1%</w:t>
            </w:r>
          </w:p>
        </w:tc>
        <w:tc>
          <w:tcPr>
            <w:tcW w:w="2000" w:type="dxa"/>
            <w:shd w:val="clear" w:color="auto" w:fill="FFFFFF"/>
            <w:vAlign w:val="center"/>
          </w:tcPr>
          <w:p w14:paraId="33008B72"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2000" w:type="dxa"/>
            <w:shd w:val="clear" w:color="auto" w:fill="FFFFFF"/>
            <w:vAlign w:val="center"/>
          </w:tcPr>
          <w:p w14:paraId="36F253CE"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2000" w:type="dxa"/>
            <w:shd w:val="clear" w:color="auto" w:fill="FFFFFF"/>
            <w:vAlign w:val="center"/>
          </w:tcPr>
          <w:p w14:paraId="0985D2F1"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1.000</w:t>
            </w:r>
          </w:p>
        </w:tc>
      </w:tr>
      <w:tr w:rsidR="00F94B2A" w14:paraId="2BA9EC0A" w14:textId="77777777" w:rsidTr="005F1C01">
        <w:trPr>
          <w:jc w:val="center"/>
        </w:trPr>
        <w:tc>
          <w:tcPr>
            <w:tcW w:w="2000" w:type="dxa"/>
            <w:shd w:val="clear" w:color="auto" w:fill="FFFFFF"/>
            <w:vAlign w:val="center"/>
          </w:tcPr>
          <w:p w14:paraId="2E64934B"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Absolute neutrophil count</w:t>
            </w:r>
          </w:p>
        </w:tc>
        <w:tc>
          <w:tcPr>
            <w:tcW w:w="2000" w:type="dxa"/>
            <w:shd w:val="clear" w:color="auto" w:fill="FFFFFF"/>
            <w:vAlign w:val="center"/>
          </w:tcPr>
          <w:p w14:paraId="63737F95"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38.3%</w:t>
            </w:r>
          </w:p>
        </w:tc>
        <w:tc>
          <w:tcPr>
            <w:tcW w:w="2000" w:type="dxa"/>
            <w:shd w:val="clear" w:color="auto" w:fill="FFFFFF"/>
            <w:vAlign w:val="center"/>
          </w:tcPr>
          <w:p w14:paraId="60F26113"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2000" w:type="dxa"/>
            <w:shd w:val="clear" w:color="auto" w:fill="FFFFFF"/>
            <w:vAlign w:val="center"/>
          </w:tcPr>
          <w:p w14:paraId="4D830FF6"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2000" w:type="dxa"/>
            <w:shd w:val="clear" w:color="auto" w:fill="FFFFFF"/>
            <w:vAlign w:val="center"/>
          </w:tcPr>
          <w:p w14:paraId="38082616"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0.009</w:t>
            </w:r>
          </w:p>
        </w:tc>
      </w:tr>
      <w:tr w:rsidR="00F94B2A" w14:paraId="6EC3D7FB" w14:textId="77777777" w:rsidTr="005F1C01">
        <w:trPr>
          <w:jc w:val="center"/>
        </w:trPr>
        <w:tc>
          <w:tcPr>
            <w:tcW w:w="2000" w:type="dxa"/>
            <w:shd w:val="clear" w:color="auto" w:fill="FFFFFF"/>
            <w:vAlign w:val="center"/>
          </w:tcPr>
          <w:p w14:paraId="30D11180"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Absolute lymphocyte count</w:t>
            </w:r>
          </w:p>
        </w:tc>
        <w:tc>
          <w:tcPr>
            <w:tcW w:w="2000" w:type="dxa"/>
            <w:shd w:val="clear" w:color="auto" w:fill="FFFFFF"/>
            <w:vAlign w:val="center"/>
          </w:tcPr>
          <w:p w14:paraId="5F993B7B"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38.2%</w:t>
            </w:r>
          </w:p>
        </w:tc>
        <w:tc>
          <w:tcPr>
            <w:tcW w:w="2000" w:type="dxa"/>
            <w:shd w:val="clear" w:color="auto" w:fill="FFFFFF"/>
            <w:vAlign w:val="center"/>
          </w:tcPr>
          <w:p w14:paraId="148BD1AD"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2000" w:type="dxa"/>
            <w:shd w:val="clear" w:color="auto" w:fill="FFFFFF"/>
            <w:vAlign w:val="center"/>
          </w:tcPr>
          <w:p w14:paraId="52F79437"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2000" w:type="dxa"/>
            <w:shd w:val="clear" w:color="auto" w:fill="FFFFFF"/>
            <w:vAlign w:val="center"/>
          </w:tcPr>
          <w:p w14:paraId="7EFDEEEC"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0.009</w:t>
            </w:r>
          </w:p>
        </w:tc>
      </w:tr>
    </w:tbl>
    <w:p w14:paraId="6A41A8F3" w14:textId="77777777" w:rsidR="00F94B2A" w:rsidRDefault="00F94B2A" w:rsidP="00F94B2A">
      <w:pPr>
        <w:spacing w:after="0" w:line="480" w:lineRule="auto"/>
        <w:rPr>
          <w:rFonts w:ascii="Times New Roman" w:hAnsi="Times New Roman" w:cs="Times New Roman"/>
          <w:sz w:val="24"/>
          <w:szCs w:val="24"/>
        </w:rPr>
      </w:pPr>
      <w:r>
        <w:rPr>
          <w:rFonts w:ascii="Times New Roman" w:hAnsi="Times New Roman" w:cs="Times New Roman"/>
          <w:sz w:val="24"/>
          <w:szCs w:val="24"/>
        </w:rPr>
        <w:t>Note: N = 3,678 patients. *</w:t>
      </w:r>
      <w:r>
        <w:rPr>
          <w:rFonts w:ascii="Times New Roman" w:hAnsi="Times New Roman" w:cs="Times New Roman"/>
          <w:i/>
          <w:iCs/>
          <w:sz w:val="24"/>
          <w:szCs w:val="24"/>
        </w:rPr>
        <w:t>P</w:t>
      </w:r>
      <w:r>
        <w:rPr>
          <w:rFonts w:ascii="Times New Roman" w:hAnsi="Times New Roman" w:cs="Times New Roman"/>
          <w:sz w:val="24"/>
          <w:szCs w:val="24"/>
        </w:rPr>
        <w:t>-values were calculated using Fisher's exact test. Missingness of absolute neutrophil count and absolute lymphocyte count was significantly associated with a lower 90-day readmission rate, suggesting that the missing-at-random assumption required for valid multiple imputation may not be fully satisfied for these two variables. See Discussion (Limitations section) for a detailed interpretation of these findings and their implications for the analysis of the neutrophil-to-lymphocyte ratio. Missingness of albumin and lactate was not significantly associated with the primary outcome.</w:t>
      </w:r>
    </w:p>
    <w:p w14:paraId="73FB5A5A" w14:textId="77777777" w:rsidR="00F94B2A" w:rsidRDefault="00F94B2A" w:rsidP="00F94B2A">
      <w:pPr>
        <w:spacing w:after="0" w:line="480" w:lineRule="auto"/>
        <w:rPr>
          <w:rFonts w:ascii="Times New Roman" w:hAnsi="Times New Roman" w:cs="Times New Roman"/>
          <w:sz w:val="24"/>
          <w:szCs w:val="24"/>
        </w:rPr>
      </w:pPr>
    </w:p>
    <w:p w14:paraId="0CC61400" w14:textId="77777777" w:rsidR="00F94B2A" w:rsidRDefault="00F94B2A" w:rsidP="00F94B2A">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Supplementary Table S5. Number and percentage of missing values for all variables.</w:t>
      </w:r>
    </w:p>
    <w:tbl>
      <w:tblPr>
        <w:tblW w:w="5000" w:type="pct"/>
        <w:jc w:val="center"/>
        <w:tblBorders>
          <w:top w:val="single" w:sz="12" w:space="0" w:color="000000"/>
          <w:bottom w:val="single" w:sz="12" w:space="0" w:color="000000"/>
        </w:tblBorders>
        <w:tblCellMar>
          <w:left w:w="10" w:type="dxa"/>
          <w:right w:w="10" w:type="dxa"/>
        </w:tblCellMar>
        <w:tblLook w:val="04A0" w:firstRow="1" w:lastRow="0" w:firstColumn="1" w:lastColumn="0" w:noHBand="0" w:noVBand="1"/>
      </w:tblPr>
      <w:tblGrid>
        <w:gridCol w:w="2916"/>
        <w:gridCol w:w="2832"/>
        <w:gridCol w:w="2892"/>
      </w:tblGrid>
      <w:tr w:rsidR="00F94B2A" w14:paraId="5F311D00" w14:textId="77777777" w:rsidTr="005F1C01">
        <w:trPr>
          <w:tblHeader/>
          <w:jc w:val="center"/>
        </w:trPr>
        <w:tc>
          <w:tcPr>
            <w:tcW w:w="3333" w:type="dxa"/>
            <w:tcBorders>
              <w:bottom w:val="single" w:sz="4" w:space="0" w:color="000000"/>
              <w:tl2br w:val="nil"/>
            </w:tcBorders>
            <w:shd w:val="clear" w:color="auto" w:fill="FFFFFF"/>
          </w:tcPr>
          <w:p w14:paraId="25FA0DA8" w14:textId="77777777" w:rsidR="00F94B2A" w:rsidRDefault="00F94B2A" w:rsidP="005F1C01">
            <w:pPr>
              <w:spacing w:before="40" w:after="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Variable</w:t>
            </w:r>
          </w:p>
        </w:tc>
        <w:tc>
          <w:tcPr>
            <w:tcW w:w="3333" w:type="dxa"/>
            <w:tcBorders>
              <w:bottom w:val="single" w:sz="4" w:space="0" w:color="000000"/>
            </w:tcBorders>
            <w:shd w:val="clear" w:color="auto" w:fill="FFFFFF"/>
          </w:tcPr>
          <w:p w14:paraId="04EAAEB7" w14:textId="77777777" w:rsidR="00F94B2A" w:rsidRDefault="00F94B2A" w:rsidP="005F1C01">
            <w:pPr>
              <w:spacing w:before="40" w:after="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Missing N</w:t>
            </w:r>
          </w:p>
        </w:tc>
        <w:tc>
          <w:tcPr>
            <w:tcW w:w="3333" w:type="dxa"/>
            <w:tcBorders>
              <w:bottom w:val="single" w:sz="4" w:space="0" w:color="000000"/>
            </w:tcBorders>
            <w:shd w:val="clear" w:color="auto" w:fill="FFFFFF"/>
          </w:tcPr>
          <w:p w14:paraId="3A3D5D4D" w14:textId="77777777" w:rsidR="00F94B2A" w:rsidRDefault="00F94B2A" w:rsidP="005F1C01">
            <w:pPr>
              <w:spacing w:before="40" w:after="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Missing %</w:t>
            </w:r>
          </w:p>
        </w:tc>
      </w:tr>
      <w:tr w:rsidR="00F94B2A" w14:paraId="2BF5D178" w14:textId="77777777" w:rsidTr="005F1C01">
        <w:trPr>
          <w:jc w:val="center"/>
        </w:trPr>
        <w:tc>
          <w:tcPr>
            <w:tcW w:w="3333" w:type="dxa"/>
            <w:tcBorders>
              <w:top w:val="single" w:sz="4" w:space="0" w:color="000000"/>
            </w:tcBorders>
            <w:shd w:val="clear" w:color="auto" w:fill="FFFFFF"/>
          </w:tcPr>
          <w:p w14:paraId="7A327485"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C-reactive protein</w:t>
            </w:r>
          </w:p>
        </w:tc>
        <w:tc>
          <w:tcPr>
            <w:tcW w:w="3333" w:type="dxa"/>
            <w:tcBorders>
              <w:top w:val="single" w:sz="4" w:space="0" w:color="000000"/>
            </w:tcBorders>
            <w:shd w:val="clear" w:color="auto" w:fill="FFFFFF"/>
          </w:tcPr>
          <w:p w14:paraId="7CAD0541"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3,486</w:t>
            </w:r>
          </w:p>
        </w:tc>
        <w:tc>
          <w:tcPr>
            <w:tcW w:w="3333" w:type="dxa"/>
            <w:tcBorders>
              <w:top w:val="single" w:sz="4" w:space="0" w:color="000000"/>
            </w:tcBorders>
            <w:shd w:val="clear" w:color="auto" w:fill="FFFFFF"/>
          </w:tcPr>
          <w:p w14:paraId="14AF8108"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94.78%</w:t>
            </w:r>
          </w:p>
        </w:tc>
      </w:tr>
      <w:tr w:rsidR="00F94B2A" w14:paraId="10F36914" w14:textId="77777777" w:rsidTr="005F1C01">
        <w:trPr>
          <w:jc w:val="center"/>
        </w:trPr>
        <w:tc>
          <w:tcPr>
            <w:tcW w:w="3333" w:type="dxa"/>
            <w:shd w:val="clear" w:color="auto" w:fill="FFFFFF"/>
          </w:tcPr>
          <w:p w14:paraId="1071BFF7"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NT-</w:t>
            </w:r>
            <w:proofErr w:type="spellStart"/>
            <w:r>
              <w:rPr>
                <w:rFonts w:ascii="Times New Roman" w:hAnsi="Times New Roman" w:cs="Times New Roman"/>
                <w:color w:val="000000"/>
                <w:sz w:val="24"/>
                <w:szCs w:val="24"/>
              </w:rPr>
              <w:t>proBNP</w:t>
            </w:r>
            <w:proofErr w:type="spellEnd"/>
          </w:p>
        </w:tc>
        <w:tc>
          <w:tcPr>
            <w:tcW w:w="3333" w:type="dxa"/>
            <w:shd w:val="clear" w:color="auto" w:fill="FFFFFF"/>
          </w:tcPr>
          <w:p w14:paraId="76DE1243"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3,237</w:t>
            </w:r>
          </w:p>
        </w:tc>
        <w:tc>
          <w:tcPr>
            <w:tcW w:w="3333" w:type="dxa"/>
            <w:shd w:val="clear" w:color="auto" w:fill="FFFFFF"/>
          </w:tcPr>
          <w:p w14:paraId="406F82A2"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88.01%</w:t>
            </w:r>
          </w:p>
        </w:tc>
      </w:tr>
      <w:tr w:rsidR="00F94B2A" w14:paraId="1FC0170D" w14:textId="77777777" w:rsidTr="005F1C01">
        <w:trPr>
          <w:jc w:val="center"/>
        </w:trPr>
        <w:tc>
          <w:tcPr>
            <w:tcW w:w="3333" w:type="dxa"/>
            <w:shd w:val="clear" w:color="auto" w:fill="FFFFFF"/>
          </w:tcPr>
          <w:p w14:paraId="6512F124"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Troponin T</w:t>
            </w:r>
          </w:p>
        </w:tc>
        <w:tc>
          <w:tcPr>
            <w:tcW w:w="3333" w:type="dxa"/>
            <w:shd w:val="clear" w:color="auto" w:fill="FFFFFF"/>
          </w:tcPr>
          <w:p w14:paraId="22B9D9DB"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2,475</w:t>
            </w:r>
          </w:p>
        </w:tc>
        <w:tc>
          <w:tcPr>
            <w:tcW w:w="3333" w:type="dxa"/>
            <w:shd w:val="clear" w:color="auto" w:fill="FFFFFF"/>
          </w:tcPr>
          <w:p w14:paraId="4EE76FFD"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67.29%</w:t>
            </w:r>
          </w:p>
        </w:tc>
      </w:tr>
      <w:tr w:rsidR="00F94B2A" w14:paraId="27D17EED" w14:textId="77777777" w:rsidTr="005F1C01">
        <w:trPr>
          <w:jc w:val="center"/>
        </w:trPr>
        <w:tc>
          <w:tcPr>
            <w:tcW w:w="3333" w:type="dxa"/>
            <w:shd w:val="clear" w:color="auto" w:fill="FFFFFF"/>
          </w:tcPr>
          <w:p w14:paraId="274114E8"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Albumin</w:t>
            </w:r>
          </w:p>
        </w:tc>
        <w:tc>
          <w:tcPr>
            <w:tcW w:w="3333" w:type="dxa"/>
            <w:shd w:val="clear" w:color="auto" w:fill="FFFFFF"/>
          </w:tcPr>
          <w:p w14:paraId="06CBD131"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1,672</w:t>
            </w:r>
          </w:p>
        </w:tc>
        <w:tc>
          <w:tcPr>
            <w:tcW w:w="3333" w:type="dxa"/>
            <w:shd w:val="clear" w:color="auto" w:fill="FFFFFF"/>
          </w:tcPr>
          <w:p w14:paraId="5424EE29"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45.46%</w:t>
            </w:r>
          </w:p>
        </w:tc>
      </w:tr>
      <w:tr w:rsidR="00F94B2A" w14:paraId="033EAA5F" w14:textId="77777777" w:rsidTr="005F1C01">
        <w:trPr>
          <w:jc w:val="center"/>
        </w:trPr>
        <w:tc>
          <w:tcPr>
            <w:tcW w:w="3333" w:type="dxa"/>
            <w:shd w:val="clear" w:color="auto" w:fill="FFFFFF"/>
          </w:tcPr>
          <w:p w14:paraId="2AFF1062"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PaO</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/FiO</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xml:space="preserve"> ratio</w:t>
            </w:r>
          </w:p>
        </w:tc>
        <w:tc>
          <w:tcPr>
            <w:tcW w:w="3333" w:type="dxa"/>
            <w:shd w:val="clear" w:color="auto" w:fill="FFFFFF"/>
          </w:tcPr>
          <w:p w14:paraId="1624419E"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1,527</w:t>
            </w:r>
          </w:p>
        </w:tc>
        <w:tc>
          <w:tcPr>
            <w:tcW w:w="3333" w:type="dxa"/>
            <w:shd w:val="clear" w:color="auto" w:fill="FFFFFF"/>
          </w:tcPr>
          <w:p w14:paraId="07F5FEDA"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41.52%</w:t>
            </w:r>
          </w:p>
        </w:tc>
      </w:tr>
      <w:tr w:rsidR="00F94B2A" w14:paraId="016C5B77" w14:textId="77777777" w:rsidTr="005F1C01">
        <w:trPr>
          <w:jc w:val="center"/>
        </w:trPr>
        <w:tc>
          <w:tcPr>
            <w:tcW w:w="3333" w:type="dxa"/>
            <w:shd w:val="clear" w:color="auto" w:fill="FFFFFF"/>
          </w:tcPr>
          <w:p w14:paraId="161AA255"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Lactate</w:t>
            </w:r>
          </w:p>
        </w:tc>
        <w:tc>
          <w:tcPr>
            <w:tcW w:w="3333" w:type="dxa"/>
            <w:shd w:val="clear" w:color="auto" w:fill="FFFFFF"/>
          </w:tcPr>
          <w:p w14:paraId="16D2439E"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1,414</w:t>
            </w:r>
          </w:p>
        </w:tc>
        <w:tc>
          <w:tcPr>
            <w:tcW w:w="3333" w:type="dxa"/>
            <w:shd w:val="clear" w:color="auto" w:fill="FFFFFF"/>
          </w:tcPr>
          <w:p w14:paraId="1B78B960"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38.44%</w:t>
            </w:r>
          </w:p>
        </w:tc>
      </w:tr>
      <w:tr w:rsidR="00F94B2A" w14:paraId="771D25C4" w14:textId="77777777" w:rsidTr="005F1C01">
        <w:trPr>
          <w:jc w:val="center"/>
        </w:trPr>
        <w:tc>
          <w:tcPr>
            <w:tcW w:w="3333" w:type="dxa"/>
            <w:shd w:val="clear" w:color="auto" w:fill="FFFFFF"/>
          </w:tcPr>
          <w:p w14:paraId="34FD9190"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Absolute neutrophil count</w:t>
            </w:r>
          </w:p>
        </w:tc>
        <w:tc>
          <w:tcPr>
            <w:tcW w:w="3333" w:type="dxa"/>
            <w:shd w:val="clear" w:color="auto" w:fill="FFFFFF"/>
          </w:tcPr>
          <w:p w14:paraId="7EC61707"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1,408</w:t>
            </w:r>
          </w:p>
        </w:tc>
        <w:tc>
          <w:tcPr>
            <w:tcW w:w="3333" w:type="dxa"/>
            <w:shd w:val="clear" w:color="auto" w:fill="FFFFFF"/>
          </w:tcPr>
          <w:p w14:paraId="106E6B75"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38.28%</w:t>
            </w:r>
          </w:p>
        </w:tc>
      </w:tr>
      <w:tr w:rsidR="00F94B2A" w14:paraId="10D84B89" w14:textId="77777777" w:rsidTr="005F1C01">
        <w:trPr>
          <w:jc w:val="center"/>
        </w:trPr>
        <w:tc>
          <w:tcPr>
            <w:tcW w:w="3333" w:type="dxa"/>
            <w:shd w:val="clear" w:color="auto" w:fill="FFFFFF"/>
          </w:tcPr>
          <w:p w14:paraId="343ECE3C"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Absolute lymphocyte count</w:t>
            </w:r>
          </w:p>
        </w:tc>
        <w:tc>
          <w:tcPr>
            <w:tcW w:w="3333" w:type="dxa"/>
            <w:shd w:val="clear" w:color="auto" w:fill="FFFFFF"/>
          </w:tcPr>
          <w:p w14:paraId="687A9B5A"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1,406</w:t>
            </w:r>
          </w:p>
        </w:tc>
        <w:tc>
          <w:tcPr>
            <w:tcW w:w="3333" w:type="dxa"/>
            <w:shd w:val="clear" w:color="auto" w:fill="FFFFFF"/>
          </w:tcPr>
          <w:p w14:paraId="42A6B771"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38.23%</w:t>
            </w:r>
          </w:p>
        </w:tc>
      </w:tr>
      <w:tr w:rsidR="00F94B2A" w14:paraId="56CA477A" w14:textId="77777777" w:rsidTr="005F1C01">
        <w:trPr>
          <w:jc w:val="center"/>
        </w:trPr>
        <w:tc>
          <w:tcPr>
            <w:tcW w:w="3333" w:type="dxa"/>
            <w:shd w:val="clear" w:color="auto" w:fill="FFFFFF"/>
          </w:tcPr>
          <w:p w14:paraId="54D6864F"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Height</w:t>
            </w:r>
          </w:p>
        </w:tc>
        <w:tc>
          <w:tcPr>
            <w:tcW w:w="3333" w:type="dxa"/>
            <w:shd w:val="clear" w:color="auto" w:fill="FFFFFF"/>
          </w:tcPr>
          <w:p w14:paraId="44EB5FBD"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1,391</w:t>
            </w:r>
          </w:p>
        </w:tc>
        <w:tc>
          <w:tcPr>
            <w:tcW w:w="3333" w:type="dxa"/>
            <w:shd w:val="clear" w:color="auto" w:fill="FFFFFF"/>
          </w:tcPr>
          <w:p w14:paraId="14C4A3BD"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37.82%</w:t>
            </w:r>
          </w:p>
        </w:tc>
      </w:tr>
      <w:tr w:rsidR="00F94B2A" w14:paraId="6A9D6631" w14:textId="77777777" w:rsidTr="005F1C01">
        <w:trPr>
          <w:jc w:val="center"/>
        </w:trPr>
        <w:tc>
          <w:tcPr>
            <w:tcW w:w="3333" w:type="dxa"/>
            <w:shd w:val="clear" w:color="auto" w:fill="FFFFFF"/>
          </w:tcPr>
          <w:p w14:paraId="2924E78B"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ALT</w:t>
            </w:r>
          </w:p>
        </w:tc>
        <w:tc>
          <w:tcPr>
            <w:tcW w:w="3333" w:type="dxa"/>
            <w:shd w:val="clear" w:color="auto" w:fill="FFFFFF"/>
          </w:tcPr>
          <w:p w14:paraId="07D37945"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1,197</w:t>
            </w:r>
          </w:p>
        </w:tc>
        <w:tc>
          <w:tcPr>
            <w:tcW w:w="3333" w:type="dxa"/>
            <w:shd w:val="clear" w:color="auto" w:fill="FFFFFF"/>
          </w:tcPr>
          <w:p w14:paraId="56E00144"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32.54%</w:t>
            </w:r>
          </w:p>
        </w:tc>
      </w:tr>
      <w:tr w:rsidR="00F94B2A" w14:paraId="470F9FB0" w14:textId="77777777" w:rsidTr="005F1C01">
        <w:trPr>
          <w:jc w:val="center"/>
        </w:trPr>
        <w:tc>
          <w:tcPr>
            <w:tcW w:w="3333" w:type="dxa"/>
            <w:shd w:val="clear" w:color="auto" w:fill="FFFFFF"/>
          </w:tcPr>
          <w:p w14:paraId="3366537F"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ALP</w:t>
            </w:r>
          </w:p>
        </w:tc>
        <w:tc>
          <w:tcPr>
            <w:tcW w:w="3333" w:type="dxa"/>
            <w:shd w:val="clear" w:color="auto" w:fill="FFFFFF"/>
          </w:tcPr>
          <w:p w14:paraId="779E05FA"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1,195</w:t>
            </w:r>
          </w:p>
        </w:tc>
        <w:tc>
          <w:tcPr>
            <w:tcW w:w="3333" w:type="dxa"/>
            <w:shd w:val="clear" w:color="auto" w:fill="FFFFFF"/>
          </w:tcPr>
          <w:p w14:paraId="045835AB"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32.49%</w:t>
            </w:r>
          </w:p>
        </w:tc>
      </w:tr>
      <w:tr w:rsidR="00F94B2A" w14:paraId="7572B137" w14:textId="77777777" w:rsidTr="005F1C01">
        <w:trPr>
          <w:jc w:val="center"/>
        </w:trPr>
        <w:tc>
          <w:tcPr>
            <w:tcW w:w="3333" w:type="dxa"/>
            <w:shd w:val="clear" w:color="auto" w:fill="FFFFFF"/>
          </w:tcPr>
          <w:p w14:paraId="3D6DF01D"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Total bilirubin</w:t>
            </w:r>
          </w:p>
        </w:tc>
        <w:tc>
          <w:tcPr>
            <w:tcW w:w="3333" w:type="dxa"/>
            <w:shd w:val="clear" w:color="auto" w:fill="FFFFFF"/>
          </w:tcPr>
          <w:p w14:paraId="3DA165D2"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1,190</w:t>
            </w:r>
          </w:p>
        </w:tc>
        <w:tc>
          <w:tcPr>
            <w:tcW w:w="3333" w:type="dxa"/>
            <w:shd w:val="clear" w:color="auto" w:fill="FFFFFF"/>
          </w:tcPr>
          <w:p w14:paraId="73CC0898"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32.35%</w:t>
            </w:r>
          </w:p>
        </w:tc>
      </w:tr>
      <w:tr w:rsidR="00F94B2A" w14:paraId="7BB0E4D1" w14:textId="77777777" w:rsidTr="005F1C01">
        <w:trPr>
          <w:jc w:val="center"/>
        </w:trPr>
        <w:tc>
          <w:tcPr>
            <w:tcW w:w="3333" w:type="dxa"/>
            <w:shd w:val="clear" w:color="auto" w:fill="FFFFFF"/>
          </w:tcPr>
          <w:p w14:paraId="4C0590E0"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AST</w:t>
            </w:r>
          </w:p>
        </w:tc>
        <w:tc>
          <w:tcPr>
            <w:tcW w:w="3333" w:type="dxa"/>
            <w:shd w:val="clear" w:color="auto" w:fill="FFFFFF"/>
          </w:tcPr>
          <w:p w14:paraId="0C93D1FF"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1,174</w:t>
            </w:r>
          </w:p>
        </w:tc>
        <w:tc>
          <w:tcPr>
            <w:tcW w:w="3333" w:type="dxa"/>
            <w:shd w:val="clear" w:color="auto" w:fill="FFFFFF"/>
          </w:tcPr>
          <w:p w14:paraId="1DEBD757"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31.92%</w:t>
            </w:r>
          </w:p>
        </w:tc>
      </w:tr>
      <w:tr w:rsidR="00F94B2A" w14:paraId="2E942F93" w14:textId="77777777" w:rsidTr="005F1C01">
        <w:trPr>
          <w:jc w:val="center"/>
        </w:trPr>
        <w:tc>
          <w:tcPr>
            <w:tcW w:w="3333" w:type="dxa"/>
            <w:shd w:val="clear" w:color="auto" w:fill="FFFFFF"/>
          </w:tcPr>
          <w:p w14:paraId="4C471951"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Marital status</w:t>
            </w:r>
          </w:p>
        </w:tc>
        <w:tc>
          <w:tcPr>
            <w:tcW w:w="3333" w:type="dxa"/>
            <w:shd w:val="clear" w:color="auto" w:fill="FFFFFF"/>
          </w:tcPr>
          <w:p w14:paraId="5EA307C6"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321</w:t>
            </w:r>
          </w:p>
        </w:tc>
        <w:tc>
          <w:tcPr>
            <w:tcW w:w="3333" w:type="dxa"/>
            <w:shd w:val="clear" w:color="auto" w:fill="FFFFFF"/>
          </w:tcPr>
          <w:p w14:paraId="2F6E1E7B"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8.73%</w:t>
            </w:r>
          </w:p>
        </w:tc>
      </w:tr>
      <w:tr w:rsidR="00F94B2A" w14:paraId="4691FB43" w14:textId="77777777" w:rsidTr="005F1C01">
        <w:trPr>
          <w:jc w:val="center"/>
        </w:trPr>
        <w:tc>
          <w:tcPr>
            <w:tcW w:w="3333" w:type="dxa"/>
            <w:shd w:val="clear" w:color="auto" w:fill="FFFFFF"/>
          </w:tcPr>
          <w:p w14:paraId="05F1DA8B"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PTT</w:t>
            </w:r>
          </w:p>
        </w:tc>
        <w:tc>
          <w:tcPr>
            <w:tcW w:w="3333" w:type="dxa"/>
            <w:shd w:val="clear" w:color="auto" w:fill="FFFFFF"/>
          </w:tcPr>
          <w:p w14:paraId="2A59CC8E"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193</w:t>
            </w:r>
          </w:p>
        </w:tc>
        <w:tc>
          <w:tcPr>
            <w:tcW w:w="3333" w:type="dxa"/>
            <w:shd w:val="clear" w:color="auto" w:fill="FFFFFF"/>
          </w:tcPr>
          <w:p w14:paraId="5209370E"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5.25%</w:t>
            </w:r>
          </w:p>
        </w:tc>
      </w:tr>
      <w:tr w:rsidR="00F94B2A" w14:paraId="7C27A7DD" w14:textId="77777777" w:rsidTr="005F1C01">
        <w:trPr>
          <w:jc w:val="center"/>
        </w:trPr>
        <w:tc>
          <w:tcPr>
            <w:tcW w:w="3333" w:type="dxa"/>
            <w:shd w:val="clear" w:color="auto" w:fill="FFFFFF"/>
          </w:tcPr>
          <w:p w14:paraId="696117BF"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INR</w:t>
            </w:r>
          </w:p>
        </w:tc>
        <w:tc>
          <w:tcPr>
            <w:tcW w:w="3333" w:type="dxa"/>
            <w:shd w:val="clear" w:color="auto" w:fill="FFFFFF"/>
          </w:tcPr>
          <w:p w14:paraId="4CD8F57E"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179</w:t>
            </w:r>
          </w:p>
        </w:tc>
        <w:tc>
          <w:tcPr>
            <w:tcW w:w="3333" w:type="dxa"/>
            <w:shd w:val="clear" w:color="auto" w:fill="FFFFFF"/>
          </w:tcPr>
          <w:p w14:paraId="3A4ECD52"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4.87%</w:t>
            </w:r>
          </w:p>
        </w:tc>
      </w:tr>
      <w:tr w:rsidR="00F94B2A" w14:paraId="4B8E267D" w14:textId="77777777" w:rsidTr="005F1C01">
        <w:trPr>
          <w:jc w:val="center"/>
        </w:trPr>
        <w:tc>
          <w:tcPr>
            <w:tcW w:w="3333" w:type="dxa"/>
            <w:shd w:val="clear" w:color="auto" w:fill="FFFFFF"/>
          </w:tcPr>
          <w:p w14:paraId="185FCAC4"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PT</w:t>
            </w:r>
          </w:p>
        </w:tc>
        <w:tc>
          <w:tcPr>
            <w:tcW w:w="3333" w:type="dxa"/>
            <w:shd w:val="clear" w:color="auto" w:fill="FFFFFF"/>
          </w:tcPr>
          <w:p w14:paraId="2DF26FE3"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179</w:t>
            </w:r>
          </w:p>
        </w:tc>
        <w:tc>
          <w:tcPr>
            <w:tcW w:w="3333" w:type="dxa"/>
            <w:shd w:val="clear" w:color="auto" w:fill="FFFFFF"/>
          </w:tcPr>
          <w:p w14:paraId="48BB1129"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4.87%</w:t>
            </w:r>
          </w:p>
        </w:tc>
      </w:tr>
      <w:tr w:rsidR="00F94B2A" w14:paraId="2883C35B" w14:textId="77777777" w:rsidTr="005F1C01">
        <w:trPr>
          <w:jc w:val="center"/>
        </w:trPr>
        <w:tc>
          <w:tcPr>
            <w:tcW w:w="3333" w:type="dxa"/>
            <w:shd w:val="clear" w:color="auto" w:fill="FFFFFF"/>
          </w:tcPr>
          <w:p w14:paraId="27676606"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Insurance</w:t>
            </w:r>
          </w:p>
        </w:tc>
        <w:tc>
          <w:tcPr>
            <w:tcW w:w="3333" w:type="dxa"/>
            <w:shd w:val="clear" w:color="auto" w:fill="FFFFFF"/>
          </w:tcPr>
          <w:p w14:paraId="44C1BB23"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3333" w:type="dxa"/>
            <w:shd w:val="clear" w:color="auto" w:fill="FFFFFF"/>
          </w:tcPr>
          <w:p w14:paraId="57350814"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0.46%</w:t>
            </w:r>
          </w:p>
        </w:tc>
      </w:tr>
      <w:tr w:rsidR="00F94B2A" w14:paraId="36500FF6" w14:textId="77777777" w:rsidTr="005F1C01">
        <w:trPr>
          <w:jc w:val="center"/>
        </w:trPr>
        <w:tc>
          <w:tcPr>
            <w:tcW w:w="3333" w:type="dxa"/>
            <w:shd w:val="clear" w:color="auto" w:fill="FFFFFF"/>
          </w:tcPr>
          <w:p w14:paraId="61EA3699"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Temperature</w:t>
            </w:r>
          </w:p>
        </w:tc>
        <w:tc>
          <w:tcPr>
            <w:tcW w:w="3333" w:type="dxa"/>
            <w:shd w:val="clear" w:color="auto" w:fill="FFFFFF"/>
          </w:tcPr>
          <w:p w14:paraId="713D82CA"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3333" w:type="dxa"/>
            <w:shd w:val="clear" w:color="auto" w:fill="FFFFFF"/>
          </w:tcPr>
          <w:p w14:paraId="5FCF7F35"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0.24%</w:t>
            </w:r>
          </w:p>
        </w:tc>
      </w:tr>
      <w:tr w:rsidR="00F94B2A" w14:paraId="635D9B13" w14:textId="77777777" w:rsidTr="005F1C01">
        <w:trPr>
          <w:jc w:val="center"/>
        </w:trPr>
        <w:tc>
          <w:tcPr>
            <w:tcW w:w="3333" w:type="dxa"/>
            <w:shd w:val="clear" w:color="auto" w:fill="FFFFFF"/>
          </w:tcPr>
          <w:p w14:paraId="388125F0"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BUN</w:t>
            </w:r>
          </w:p>
        </w:tc>
        <w:tc>
          <w:tcPr>
            <w:tcW w:w="3333" w:type="dxa"/>
            <w:shd w:val="clear" w:color="auto" w:fill="FFFFFF"/>
          </w:tcPr>
          <w:p w14:paraId="4D992C4C"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333" w:type="dxa"/>
            <w:shd w:val="clear" w:color="auto" w:fill="FFFFFF"/>
          </w:tcPr>
          <w:p w14:paraId="08453DB9" w14:textId="77777777" w:rsidR="00F94B2A" w:rsidRDefault="00F94B2A" w:rsidP="005F1C01">
            <w:pPr>
              <w:spacing w:before="30" w:after="30"/>
              <w:jc w:val="center"/>
              <w:rPr>
                <w:rFonts w:ascii="Times New Roman" w:hAnsi="Times New Roman" w:cs="Times New Roman"/>
                <w:color w:val="000000"/>
                <w:sz w:val="24"/>
                <w:szCs w:val="24"/>
              </w:rPr>
            </w:pPr>
            <w:r>
              <w:rPr>
                <w:rFonts w:ascii="Times New Roman" w:hAnsi="Times New Roman" w:cs="Times New Roman"/>
                <w:color w:val="000000"/>
                <w:sz w:val="24"/>
                <w:szCs w:val="24"/>
              </w:rPr>
              <w:t>0.05%</w:t>
            </w:r>
          </w:p>
        </w:tc>
      </w:tr>
    </w:tbl>
    <w:p w14:paraId="191322F0" w14:textId="77777777" w:rsidR="00F94B2A" w:rsidRDefault="00F94B2A" w:rsidP="00F94B2A">
      <w:pPr>
        <w:spacing w:after="0" w:line="480" w:lineRule="auto"/>
        <w:rPr>
          <w:rFonts w:ascii="Times New Roman" w:hAnsi="Times New Roman" w:cs="Times New Roman"/>
          <w:sz w:val="24"/>
          <w:szCs w:val="24"/>
        </w:rPr>
      </w:pPr>
      <w:r>
        <w:rPr>
          <w:rFonts w:ascii="Times New Roman" w:hAnsi="Times New Roman" w:cs="Times New Roman"/>
          <w:sz w:val="24"/>
          <w:szCs w:val="24"/>
        </w:rPr>
        <w:t>Note: N = 3,678 patients. Variables are sorted in descending order of missing percentage. Variables with &gt;50% missing data (C-reactive protein, N-terminal pro-B-type natriuretic peptide, and troponin T) were excluded from the multiple imputation model and all subsequent analyses. The remaining variables were imputed using MICE with m = 5 imputed datasets. Variables with 0.00% missing had complete data for all 3,678 patients.</w:t>
      </w:r>
    </w:p>
    <w:p w14:paraId="0E300E68" w14:textId="77777777" w:rsidR="00F94B2A" w:rsidRDefault="00F94B2A" w:rsidP="00F94B2A">
      <w:pPr>
        <w:spacing w:after="0" w:line="480" w:lineRule="auto"/>
        <w:rPr>
          <w:rFonts w:ascii="Times New Roman" w:hAnsi="Times New Roman" w:cs="Times New Roman"/>
          <w:sz w:val="24"/>
          <w:szCs w:val="24"/>
        </w:rPr>
      </w:pPr>
    </w:p>
    <w:p w14:paraId="64A56E9E" w14:textId="77777777" w:rsidR="00F94B2A" w:rsidRDefault="00F94B2A" w:rsidP="00F94B2A">
      <w:pPr>
        <w:spacing w:after="0" w:line="480" w:lineRule="auto"/>
        <w:rPr>
          <w:rFonts w:ascii="Times New Roman" w:hAnsi="Times New Roman" w:cs="Times New Roman"/>
          <w:b/>
          <w:bCs/>
          <w:sz w:val="24"/>
          <w:szCs w:val="24"/>
        </w:rPr>
      </w:pPr>
    </w:p>
    <w:p w14:paraId="39917E23" w14:textId="77777777" w:rsidR="00F94B2A" w:rsidRDefault="00F94B2A" w:rsidP="00F94B2A">
      <w:pPr>
        <w:spacing w:after="0" w:line="480" w:lineRule="auto"/>
        <w:rPr>
          <w:rFonts w:ascii="Times New Roman" w:hAnsi="Times New Roman" w:cs="Times New Roman"/>
          <w:b/>
          <w:bCs/>
          <w:sz w:val="24"/>
          <w:szCs w:val="24"/>
        </w:rPr>
      </w:pPr>
    </w:p>
    <w:p w14:paraId="1DA0DD48" w14:textId="77777777" w:rsidR="00F94B2A" w:rsidRDefault="00F94B2A" w:rsidP="00F94B2A">
      <w:pPr>
        <w:spacing w:after="0" w:line="480" w:lineRule="auto"/>
        <w:rPr>
          <w:rFonts w:ascii="Times New Roman" w:hAnsi="Times New Roman" w:cs="Times New Roman"/>
          <w:b/>
          <w:bCs/>
          <w:sz w:val="24"/>
          <w:szCs w:val="24"/>
        </w:rPr>
      </w:pPr>
    </w:p>
    <w:p w14:paraId="3F55E175" w14:textId="77777777" w:rsidR="00F94B2A" w:rsidRDefault="00F94B2A" w:rsidP="00F94B2A">
      <w:pPr>
        <w:spacing w:after="0" w:line="480" w:lineRule="auto"/>
        <w:rPr>
          <w:rFonts w:ascii="Times New Roman" w:hAnsi="Times New Roman" w:cs="Times New Roman"/>
          <w:b/>
          <w:bCs/>
          <w:sz w:val="24"/>
          <w:szCs w:val="24"/>
        </w:rPr>
      </w:pPr>
    </w:p>
    <w:p w14:paraId="5CB71839" w14:textId="77777777" w:rsidR="00F94B2A" w:rsidRDefault="00F94B2A" w:rsidP="00F94B2A">
      <w:pPr>
        <w:spacing w:after="0" w:line="480" w:lineRule="auto"/>
        <w:rPr>
          <w:rFonts w:ascii="Times New Roman" w:hAnsi="Times New Roman" w:cs="Times New Roman"/>
          <w:b/>
          <w:bCs/>
          <w:sz w:val="24"/>
          <w:szCs w:val="24"/>
        </w:rPr>
      </w:pPr>
    </w:p>
    <w:p w14:paraId="772930EC" w14:textId="77777777" w:rsidR="00F94B2A" w:rsidRDefault="00F94B2A" w:rsidP="00F94B2A">
      <w:pPr>
        <w:spacing w:after="0" w:line="480" w:lineRule="auto"/>
        <w:rPr>
          <w:rFonts w:ascii="Times New Roman" w:hAnsi="Times New Roman" w:cs="Times New Roman"/>
          <w:b/>
          <w:bCs/>
          <w:sz w:val="24"/>
          <w:szCs w:val="24"/>
        </w:rPr>
      </w:pPr>
    </w:p>
    <w:p w14:paraId="0246D55C" w14:textId="77777777" w:rsidR="00F94B2A" w:rsidRDefault="00F94B2A" w:rsidP="00F94B2A">
      <w:pPr>
        <w:spacing w:after="0" w:line="480" w:lineRule="auto"/>
        <w:rPr>
          <w:rFonts w:ascii="Times New Roman" w:hAnsi="Times New Roman" w:cs="Times New Roman"/>
          <w:b/>
          <w:bCs/>
          <w:sz w:val="24"/>
          <w:szCs w:val="24"/>
        </w:rPr>
      </w:pPr>
    </w:p>
    <w:p w14:paraId="7273D534" w14:textId="77777777" w:rsidR="00F94B2A" w:rsidRDefault="00F94B2A" w:rsidP="00F94B2A">
      <w:pPr>
        <w:spacing w:after="0" w:line="480" w:lineRule="auto"/>
        <w:rPr>
          <w:rFonts w:ascii="Times New Roman" w:hAnsi="Times New Roman" w:cs="Times New Roman"/>
          <w:b/>
          <w:bCs/>
          <w:sz w:val="24"/>
          <w:szCs w:val="24"/>
        </w:rPr>
      </w:pPr>
    </w:p>
    <w:p w14:paraId="60C7213B" w14:textId="77777777" w:rsidR="00F94B2A" w:rsidRDefault="00F94B2A" w:rsidP="00F94B2A">
      <w:pPr>
        <w:spacing w:after="0" w:line="480" w:lineRule="auto"/>
        <w:rPr>
          <w:rFonts w:ascii="Times New Roman" w:hAnsi="Times New Roman" w:cs="Times New Roman"/>
          <w:b/>
          <w:bCs/>
          <w:sz w:val="24"/>
          <w:szCs w:val="24"/>
        </w:rPr>
      </w:pPr>
    </w:p>
    <w:p w14:paraId="5252B038" w14:textId="77777777" w:rsidR="00F94B2A" w:rsidRDefault="00F94B2A" w:rsidP="00F94B2A">
      <w:pPr>
        <w:spacing w:after="0" w:line="480" w:lineRule="auto"/>
        <w:rPr>
          <w:rFonts w:ascii="Times New Roman" w:hAnsi="Times New Roman" w:cs="Times New Roman"/>
          <w:b/>
          <w:bCs/>
          <w:sz w:val="24"/>
          <w:szCs w:val="24"/>
        </w:rPr>
      </w:pPr>
    </w:p>
    <w:p w14:paraId="493F41BD" w14:textId="77777777" w:rsidR="00F94B2A" w:rsidRDefault="00F94B2A" w:rsidP="00F94B2A">
      <w:pPr>
        <w:spacing w:after="0" w:line="480" w:lineRule="auto"/>
        <w:rPr>
          <w:rFonts w:ascii="Times New Roman" w:hAnsi="Times New Roman" w:cs="Times New Roman"/>
          <w:b/>
          <w:bCs/>
          <w:sz w:val="24"/>
          <w:szCs w:val="24"/>
        </w:rPr>
      </w:pPr>
    </w:p>
    <w:p w14:paraId="1AC9D0FF" w14:textId="77777777" w:rsidR="00F94B2A" w:rsidRDefault="00F94B2A" w:rsidP="00F94B2A">
      <w:pPr>
        <w:spacing w:after="0" w:line="480" w:lineRule="auto"/>
        <w:rPr>
          <w:rFonts w:ascii="Times New Roman" w:hAnsi="Times New Roman" w:cs="Times New Roman"/>
          <w:b/>
          <w:bCs/>
          <w:sz w:val="24"/>
          <w:szCs w:val="24"/>
        </w:rPr>
      </w:pPr>
    </w:p>
    <w:p w14:paraId="4B63783D" w14:textId="77777777" w:rsidR="00F94B2A" w:rsidRDefault="00F94B2A" w:rsidP="00F94B2A">
      <w:pPr>
        <w:spacing w:after="0" w:line="480" w:lineRule="auto"/>
        <w:rPr>
          <w:rFonts w:ascii="Times New Roman" w:hAnsi="Times New Roman" w:cs="Times New Roman"/>
          <w:b/>
          <w:bCs/>
          <w:sz w:val="24"/>
          <w:szCs w:val="24"/>
        </w:rPr>
      </w:pPr>
    </w:p>
    <w:p w14:paraId="42089F71" w14:textId="77777777" w:rsidR="00F94B2A" w:rsidRDefault="00F94B2A" w:rsidP="00F94B2A">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Supplementary Figure Legends</w:t>
      </w:r>
    </w:p>
    <w:p w14:paraId="5FD97F60" w14:textId="77777777" w:rsidR="00F94B2A" w:rsidRDefault="00F94B2A" w:rsidP="00F94B2A">
      <w:pPr>
        <w:pStyle w:val="Heading2"/>
        <w:spacing w:line="48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Supplementary Figure S</w:t>
      </w:r>
      <w:r>
        <w:rPr>
          <w:rFonts w:ascii="Times New Roman" w:hAnsi="Times New Roman" w:cs="Times New Roman" w:hint="eastAsia"/>
          <w:b/>
          <w:bCs/>
          <w:color w:val="auto"/>
          <w:sz w:val="24"/>
          <w:szCs w:val="24"/>
          <w:lang w:val="en-US" w:eastAsia="zh-CN"/>
        </w:rPr>
        <w:t>1.</w:t>
      </w:r>
      <w:r>
        <w:rPr>
          <w:rFonts w:ascii="Times New Roman" w:hAnsi="Times New Roman" w:cs="Times New Roman"/>
          <w:b/>
          <w:bCs/>
          <w:color w:val="auto"/>
          <w:sz w:val="24"/>
          <w:szCs w:val="24"/>
        </w:rPr>
        <w:t xml:space="preserve"> Missing data pattern heatmap.</w:t>
      </w:r>
    </w:p>
    <w:p w14:paraId="35F87119" w14:textId="77777777" w:rsidR="00F94B2A" w:rsidRDefault="00F94B2A" w:rsidP="00F94B2A">
      <w:pPr>
        <w:pStyle w:val="Heading2"/>
        <w:rPr>
          <w:rFonts w:ascii="Times New Roman" w:eastAsia="SimSun" w:hAnsi="Times New Roman" w:cs="Times New Roman"/>
          <w:color w:val="auto"/>
        </w:rPr>
      </w:pPr>
      <w:r>
        <w:rPr>
          <w:rFonts w:ascii="Times New Roman" w:eastAsia="SimSun" w:hAnsi="Times New Roman" w:cs="Times New Roman"/>
          <w:noProof/>
          <w:color w:val="auto"/>
        </w:rPr>
        <w:drawing>
          <wp:inline distT="0" distB="0" distL="114300" distR="114300" wp14:anchorId="0DCA2423" wp14:editId="1ED9031F">
            <wp:extent cx="5727700" cy="3341370"/>
            <wp:effectExtent l="0" t="0" r="2540" b="11430"/>
            <wp:docPr id="6" name="图片 6" descr="FigureS_Missing_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S_Missing_Pattern"/>
                    <pic:cNvPicPr>
                      <a:picLocks noChangeAspect="1"/>
                    </pic:cNvPicPr>
                  </pic:nvPicPr>
                  <pic:blipFill>
                    <a:blip r:embed="rId4"/>
                    <a:stretch>
                      <a:fillRect/>
                    </a:stretch>
                  </pic:blipFill>
                  <pic:spPr>
                    <a:xfrm>
                      <a:off x="0" y="0"/>
                      <a:ext cx="5727700" cy="3341370"/>
                    </a:xfrm>
                    <a:prstGeom prst="rect">
                      <a:avLst/>
                    </a:prstGeom>
                  </pic:spPr>
                </pic:pic>
              </a:graphicData>
            </a:graphic>
          </wp:inline>
        </w:drawing>
      </w:r>
    </w:p>
    <w:p w14:paraId="1717A327" w14:textId="77777777" w:rsidR="00F94B2A" w:rsidRDefault="00F94B2A" w:rsidP="00F94B2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Note: Heatmap displaying missing data patterns for the top 20 variables with the highest percentages of missing values. Each column represents a variable, and each row represents a specific pattern of missingness. Blue indicates observed (non-missing) values; red indicates missing values. The bar chart on the left shows the overall proportion of missing data for each variable. Missingness was concentrated primarily among laboratory-derived variables (e.g., C-reactive protein 94.8%, N-terminal pro-B-type natriuretic peptide 88.0%, albumin 45.5%, lactate 38.4%), while comorbidity diagnoses, demographic characteristics, and severity scores were nearly complete (0-1% missing). This pattern is consistent with the clinical reality of ICU care, in which not all </w:t>
      </w:r>
      <w:r>
        <w:rPr>
          <w:rFonts w:ascii="Times New Roman" w:hAnsi="Times New Roman" w:cs="Times New Roman"/>
          <w:sz w:val="24"/>
          <w:szCs w:val="24"/>
        </w:rPr>
        <w:lastRenderedPageBreak/>
        <w:t>laboratory tests are uniformly performed, whereas administrative and comorbidity data are systematically recorded.</w:t>
      </w:r>
    </w:p>
    <w:p w14:paraId="00DAC532" w14:textId="77777777" w:rsidR="00F94B2A" w:rsidRDefault="00F94B2A" w:rsidP="00F94B2A">
      <w:pPr>
        <w:spacing w:after="0" w:line="480" w:lineRule="auto"/>
        <w:rPr>
          <w:rFonts w:ascii="Times New Roman" w:hAnsi="Times New Roman" w:cs="Times New Roman"/>
          <w:sz w:val="24"/>
          <w:szCs w:val="24"/>
        </w:rPr>
      </w:pPr>
    </w:p>
    <w:p w14:paraId="63CBC137" w14:textId="77777777" w:rsidR="00F94B2A" w:rsidRDefault="00F94B2A" w:rsidP="00F94B2A">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Supplementary Figure S</w:t>
      </w:r>
      <w:r>
        <w:rPr>
          <w:rFonts w:ascii="Times New Roman" w:hAnsi="Times New Roman" w:cs="Times New Roman" w:hint="eastAsia"/>
          <w:b/>
          <w:bCs/>
          <w:sz w:val="24"/>
          <w:szCs w:val="24"/>
        </w:rPr>
        <w:t>2</w:t>
      </w:r>
      <w:r>
        <w:rPr>
          <w:rFonts w:ascii="Times New Roman" w:hAnsi="Times New Roman" w:cs="Times New Roman"/>
          <w:b/>
          <w:bCs/>
          <w:sz w:val="24"/>
          <w:szCs w:val="24"/>
        </w:rPr>
        <w:t>. Variable importance ranking based on Wald chi-squared statistics from the multivariable Cox model.</w:t>
      </w:r>
    </w:p>
    <w:p w14:paraId="1AC041B6" w14:textId="77777777" w:rsidR="00F94B2A" w:rsidRDefault="00F94B2A" w:rsidP="00F94B2A">
      <w:pPr>
        <w:spacing w:after="0" w:line="480" w:lineRule="auto"/>
        <w:rPr>
          <w:rFonts w:ascii="Times New Roman" w:eastAsia="SimSun" w:hAnsi="Times New Roman" w:cs="Times New Roman"/>
        </w:rPr>
      </w:pPr>
      <w:r>
        <w:rPr>
          <w:rFonts w:ascii="Times New Roman" w:eastAsia="SimSun" w:hAnsi="Times New Roman" w:cs="Times New Roman"/>
          <w:noProof/>
        </w:rPr>
        <w:drawing>
          <wp:inline distT="0" distB="0" distL="114300" distR="114300" wp14:anchorId="06597CC7" wp14:editId="3214A0D5">
            <wp:extent cx="5274310" cy="3955415"/>
            <wp:effectExtent l="0" t="0" r="13970" b="6985"/>
            <wp:docPr id="3" name="图片 3" descr="FigureS1_Variable_Impor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S1_Variable_Importance"/>
                    <pic:cNvPicPr>
                      <a:picLocks noChangeAspect="1"/>
                    </pic:cNvPicPr>
                  </pic:nvPicPr>
                  <pic:blipFill>
                    <a:blip r:embed="rId5"/>
                    <a:stretch>
                      <a:fillRect/>
                    </a:stretch>
                  </pic:blipFill>
                  <pic:spPr>
                    <a:xfrm>
                      <a:off x="0" y="0"/>
                      <a:ext cx="5274310" cy="3955415"/>
                    </a:xfrm>
                    <a:prstGeom prst="rect">
                      <a:avLst/>
                    </a:prstGeom>
                    <a:noFill/>
                    <a:ln>
                      <a:noFill/>
                    </a:ln>
                  </pic:spPr>
                </pic:pic>
              </a:graphicData>
            </a:graphic>
          </wp:inline>
        </w:drawing>
      </w:r>
    </w:p>
    <w:p w14:paraId="5CA5A32E" w14:textId="77777777" w:rsidR="00F94B2A" w:rsidRDefault="00F94B2A" w:rsidP="00F94B2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Note: Bar chart showing the Wald chi-squared </w:t>
      </w:r>
      <w:proofErr w:type="gramStart"/>
      <w:r>
        <w:rPr>
          <w:rFonts w:ascii="Times New Roman" w:hAnsi="Times New Roman" w:cs="Times New Roman"/>
          <w:sz w:val="24"/>
          <w:szCs w:val="24"/>
        </w:rPr>
        <w:t>statistic</w:t>
      </w:r>
      <w:proofErr w:type="gramEnd"/>
      <w:r>
        <w:rPr>
          <w:rFonts w:ascii="Times New Roman" w:hAnsi="Times New Roman" w:cs="Times New Roman"/>
          <w:sz w:val="24"/>
          <w:szCs w:val="24"/>
        </w:rPr>
        <w:t xml:space="preserve"> for each covariate in the multivariable Cox regression model, quantifying its relative contribution to the prediction of 90-day readmission. Red bars denote statistically significant predictors (</w:t>
      </w:r>
      <w:r>
        <w:rPr>
          <w:rFonts w:ascii="Times New Roman" w:hAnsi="Times New Roman" w:cs="Times New Roman"/>
          <w:i/>
          <w:iCs/>
          <w:sz w:val="24"/>
          <w:szCs w:val="24"/>
        </w:rPr>
        <w:t xml:space="preserve">P </w:t>
      </w:r>
      <w:r>
        <w:rPr>
          <w:rFonts w:ascii="Times New Roman" w:hAnsi="Times New Roman" w:cs="Times New Roman"/>
          <w:sz w:val="24"/>
          <w:szCs w:val="24"/>
        </w:rPr>
        <w:t>&lt; 0.05); dark gray bars denote non-significant predictors (</w:t>
      </w:r>
      <w:r>
        <w:rPr>
          <w:rFonts w:ascii="Times New Roman" w:hAnsi="Times New Roman" w:cs="Times New Roman"/>
          <w:i/>
          <w:iCs/>
          <w:sz w:val="24"/>
          <w:szCs w:val="24"/>
        </w:rPr>
        <w:t xml:space="preserve">P </w:t>
      </w:r>
      <w:r>
        <w:rPr>
          <w:rFonts w:ascii="Times New Roman" w:hAnsi="Times New Roman" w:cs="Times New Roman"/>
          <w:sz w:val="24"/>
          <w:szCs w:val="24"/>
        </w:rPr>
        <w:t xml:space="preserve">&gt;= 0.05). ACAG (albumin-corrected anion gap), congestive heart failure, and NLR (neutrophil-to-lymphocyte ratio) were the three most influential predictors in the model. Abbreviations: LAR, lactate-to-albumin </w:t>
      </w:r>
      <w:r>
        <w:rPr>
          <w:rFonts w:ascii="Times New Roman" w:hAnsi="Times New Roman" w:cs="Times New Roman"/>
          <w:sz w:val="24"/>
          <w:szCs w:val="24"/>
        </w:rPr>
        <w:lastRenderedPageBreak/>
        <w:t>ratio; CKD, chronic kidney disease; PNI, prognostic nutritional index; SOFA, Sequential Organ Failure Assessment.</w:t>
      </w:r>
    </w:p>
    <w:p w14:paraId="5972012A" w14:textId="77777777" w:rsidR="00F94B2A" w:rsidRDefault="00F94B2A" w:rsidP="00F94B2A">
      <w:pPr>
        <w:spacing w:after="0" w:line="480" w:lineRule="auto"/>
        <w:rPr>
          <w:rFonts w:ascii="Times New Roman" w:eastAsia="SimSun" w:hAnsi="Times New Roman" w:cs="Times New Roman"/>
          <w:b/>
          <w:bCs/>
        </w:rPr>
      </w:pPr>
    </w:p>
    <w:p w14:paraId="05A37FDA" w14:textId="77777777" w:rsidR="00F94B2A" w:rsidRDefault="00F94B2A" w:rsidP="00F94B2A">
      <w:pPr>
        <w:pStyle w:val="Heading2"/>
        <w:spacing w:line="480" w:lineRule="auto"/>
        <w:rPr>
          <w:rFonts w:ascii="Times New Roman" w:hAnsi="Times New Roman" w:cs="Times New Roman"/>
          <w:b/>
          <w:bCs/>
          <w:color w:val="auto"/>
        </w:rPr>
      </w:pPr>
      <w:r>
        <w:rPr>
          <w:rFonts w:ascii="Times New Roman" w:hAnsi="Times New Roman" w:cs="Times New Roman"/>
          <w:b/>
          <w:bCs/>
          <w:color w:val="auto"/>
        </w:rPr>
        <w:t>Supplementary Figure S</w:t>
      </w:r>
      <w:r>
        <w:rPr>
          <w:rFonts w:ascii="Times New Roman" w:hAnsi="Times New Roman" w:cs="Times New Roman" w:hint="eastAsia"/>
          <w:b/>
          <w:bCs/>
          <w:color w:val="auto"/>
          <w:lang w:val="en-US" w:eastAsia="zh-CN"/>
        </w:rPr>
        <w:t>3</w:t>
      </w:r>
      <w:r>
        <w:rPr>
          <w:rFonts w:ascii="Times New Roman" w:hAnsi="Times New Roman" w:cs="Times New Roman"/>
          <w:b/>
          <w:bCs/>
          <w:color w:val="auto"/>
        </w:rPr>
        <w:t>. Restricted cubic spline (4 knots) for the association between albumin-corrected anion gap and 90-day readmission.</w:t>
      </w:r>
    </w:p>
    <w:p w14:paraId="6C6C8EA2" w14:textId="77777777" w:rsidR="00F94B2A" w:rsidRDefault="00F94B2A" w:rsidP="00F94B2A">
      <w:pPr>
        <w:pStyle w:val="Heading2"/>
        <w:rPr>
          <w:rFonts w:ascii="Times New Roman" w:hAnsi="Times New Roman" w:cs="Times New Roman"/>
          <w:color w:val="auto"/>
        </w:rPr>
      </w:pPr>
      <w:r>
        <w:rPr>
          <w:rFonts w:ascii="Times New Roman" w:eastAsia="SimSun" w:hAnsi="Times New Roman" w:cs="Times New Roman"/>
          <w:noProof/>
          <w:color w:val="auto"/>
          <w:sz w:val="21"/>
        </w:rPr>
        <w:drawing>
          <wp:inline distT="0" distB="0" distL="114300" distR="114300" wp14:anchorId="5C6ACA3E" wp14:editId="07DD9594">
            <wp:extent cx="5274310" cy="3296285"/>
            <wp:effectExtent l="0" t="0" r="13970" b="10795"/>
            <wp:docPr id="5" name="图片 5" descr="Figure_ACAG_Linear_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_ACAG_Linear_Effect"/>
                    <pic:cNvPicPr>
                      <a:picLocks noChangeAspect="1"/>
                    </pic:cNvPicPr>
                  </pic:nvPicPr>
                  <pic:blipFill>
                    <a:blip r:embed="rId6"/>
                    <a:stretch>
                      <a:fillRect/>
                    </a:stretch>
                  </pic:blipFill>
                  <pic:spPr>
                    <a:xfrm>
                      <a:off x="0" y="0"/>
                      <a:ext cx="5274310" cy="3296285"/>
                    </a:xfrm>
                    <a:prstGeom prst="rect">
                      <a:avLst/>
                    </a:prstGeom>
                    <a:noFill/>
                    <a:ln>
                      <a:noFill/>
                    </a:ln>
                  </pic:spPr>
                </pic:pic>
              </a:graphicData>
            </a:graphic>
          </wp:inline>
        </w:drawing>
      </w:r>
    </w:p>
    <w:p w14:paraId="1BA8BEC9" w14:textId="77777777" w:rsidR="00F94B2A" w:rsidRDefault="00F94B2A" w:rsidP="00F94B2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Note: Restricted cubic spline with four knots (located at the 5th, 35th, 65th, and 95th percentiles of the ACAG distribution) showing the adjusted hazard ratio (solid red line) and 95% confidence interval (shaded area) for 90-day readmission as a function of albumin-corrected anion gap (ACAG). The reference value (HR = 1.0) is set at the median ACAG level (11.4 mmol/L). The model was adjusted for age, sex, SOFA score, Charlson Comorbidity Index, acute kidney injury, albumin, lactate-to-albumin ratio, </w:t>
      </w:r>
      <w:r>
        <w:rPr>
          <w:rFonts w:ascii="Times New Roman" w:hAnsi="Times New Roman" w:cs="Times New Roman"/>
          <w:sz w:val="24"/>
          <w:szCs w:val="24"/>
        </w:rPr>
        <w:lastRenderedPageBreak/>
        <w:t>invasive mechanical ventilation, congestive heart failure, chronic kidney disease, diabetes, neutrophil-to-lymphocyte ratio, and prognostic nutritional index. The test for nonlinearity was not significant (</w:t>
      </w:r>
      <w:r>
        <w:rPr>
          <w:rFonts w:ascii="Times New Roman" w:hAnsi="Times New Roman" w:cs="Times New Roman"/>
          <w:i/>
          <w:iCs/>
          <w:sz w:val="24"/>
          <w:szCs w:val="24"/>
        </w:rPr>
        <w:t>P</w:t>
      </w:r>
      <w:r>
        <w:rPr>
          <w:rFonts w:ascii="Times New Roman" w:hAnsi="Times New Roman" w:cs="Times New Roman"/>
          <w:sz w:val="24"/>
          <w:szCs w:val="24"/>
        </w:rPr>
        <w:t xml:space="preserve"> = 0.448), indicating that the protective association between ACAG and readmission is approximately linear within the observed range of ACAG values in this cohort.</w:t>
      </w:r>
    </w:p>
    <w:p w14:paraId="33ABE815" w14:textId="77777777" w:rsidR="00F94B2A" w:rsidRDefault="00F94B2A" w:rsidP="00F94B2A">
      <w:pPr>
        <w:spacing w:after="0" w:line="480" w:lineRule="auto"/>
        <w:rPr>
          <w:rFonts w:ascii="Times New Roman" w:eastAsia="SimSun" w:hAnsi="Times New Roman" w:cs="Times New Roman"/>
          <w:b/>
          <w:bCs/>
        </w:rPr>
      </w:pPr>
    </w:p>
    <w:p w14:paraId="64F336E8" w14:textId="77777777" w:rsidR="00F94B2A" w:rsidRDefault="00F94B2A" w:rsidP="00F94B2A">
      <w:pPr>
        <w:pStyle w:val="Heading2"/>
        <w:spacing w:line="480" w:lineRule="auto"/>
        <w:rPr>
          <w:rFonts w:ascii="Times New Roman" w:hAnsi="Times New Roman" w:cs="Times New Roman"/>
          <w:b/>
          <w:bCs/>
          <w:color w:val="auto"/>
        </w:rPr>
      </w:pPr>
      <w:r>
        <w:rPr>
          <w:rFonts w:ascii="Times New Roman" w:hAnsi="Times New Roman" w:cs="Times New Roman"/>
          <w:b/>
          <w:bCs/>
          <w:color w:val="auto"/>
        </w:rPr>
        <w:t>Supplementary Figure S</w:t>
      </w:r>
      <w:r>
        <w:rPr>
          <w:rFonts w:ascii="Times New Roman" w:hAnsi="Times New Roman" w:cs="Times New Roman" w:hint="eastAsia"/>
          <w:b/>
          <w:bCs/>
          <w:color w:val="auto"/>
          <w:lang w:val="en-US" w:eastAsia="zh-CN"/>
        </w:rPr>
        <w:t>4</w:t>
      </w:r>
      <w:r>
        <w:rPr>
          <w:rFonts w:ascii="Times New Roman" w:hAnsi="Times New Roman" w:cs="Times New Roman"/>
          <w:b/>
          <w:bCs/>
          <w:color w:val="auto"/>
        </w:rPr>
        <w:t>. Subgroup analysis of the association between acute kidney injury and 90-day readmission.</w:t>
      </w:r>
    </w:p>
    <w:p w14:paraId="618E54D8" w14:textId="77777777" w:rsidR="00F94B2A" w:rsidRDefault="00F94B2A" w:rsidP="00F94B2A">
      <w:pPr>
        <w:pStyle w:val="Heading2"/>
        <w:rPr>
          <w:rFonts w:ascii="Times New Roman" w:hAnsi="Times New Roman" w:cs="Times New Roman"/>
          <w:color w:val="auto"/>
        </w:rPr>
      </w:pPr>
      <w:r>
        <w:rPr>
          <w:rFonts w:ascii="Times New Roman" w:eastAsia="SimSun" w:hAnsi="Times New Roman" w:cs="Times New Roman"/>
          <w:b/>
          <w:bCs/>
          <w:noProof/>
          <w:color w:val="auto"/>
          <w:sz w:val="19"/>
          <w:szCs w:val="19"/>
          <w:shd w:val="clear" w:color="auto" w:fill="FFFFFF"/>
        </w:rPr>
        <w:drawing>
          <wp:inline distT="0" distB="0" distL="114300" distR="114300" wp14:anchorId="5ABFF534" wp14:editId="112EACB3">
            <wp:extent cx="5274310" cy="3296285"/>
            <wp:effectExtent l="0" t="0" r="13970" b="10795"/>
            <wp:docPr id="4" name="图片 4" descr="FigureS2_Subgroup_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S2_Subgroup_Forest"/>
                    <pic:cNvPicPr>
                      <a:picLocks noChangeAspect="1"/>
                    </pic:cNvPicPr>
                  </pic:nvPicPr>
                  <pic:blipFill>
                    <a:blip r:embed="rId7"/>
                    <a:stretch>
                      <a:fillRect/>
                    </a:stretch>
                  </pic:blipFill>
                  <pic:spPr>
                    <a:xfrm>
                      <a:off x="0" y="0"/>
                      <a:ext cx="5274310" cy="3296285"/>
                    </a:xfrm>
                    <a:prstGeom prst="rect">
                      <a:avLst/>
                    </a:prstGeom>
                    <a:noFill/>
                    <a:ln>
                      <a:noFill/>
                    </a:ln>
                  </pic:spPr>
                </pic:pic>
              </a:graphicData>
            </a:graphic>
          </wp:inline>
        </w:drawing>
      </w:r>
    </w:p>
    <w:p w14:paraId="2C59D842" w14:textId="77777777" w:rsidR="00F94B2A" w:rsidRDefault="00F94B2A" w:rsidP="00F94B2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Note: Forest plot of adjusted hazard ratios (HR) for the association between acute kidney injury (AKI) and 90-day readmission across pre-specified subgroups. Hazard ratios were adjusted for age and sex. Horizontal bars represent 95% confidence intervals. All </w:t>
      </w:r>
      <w:r>
        <w:rPr>
          <w:rFonts w:ascii="Times New Roman" w:hAnsi="Times New Roman" w:cs="Times New Roman"/>
          <w:i/>
          <w:iCs/>
          <w:sz w:val="24"/>
          <w:szCs w:val="24"/>
        </w:rPr>
        <w:t>P</w:t>
      </w:r>
      <w:r>
        <w:rPr>
          <w:rFonts w:ascii="Times New Roman" w:hAnsi="Times New Roman" w:cs="Times New Roman"/>
          <w:sz w:val="24"/>
          <w:szCs w:val="24"/>
        </w:rPr>
        <w:t>-interaction values were &gt;</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0.05, indicating no statistically significant effect modification. A marginal interaction between AKI and invasive mechanical ventilation (IMV) status </w:t>
      </w:r>
      <w:r>
        <w:rPr>
          <w:rFonts w:ascii="Times New Roman" w:hAnsi="Times New Roman" w:cs="Times New Roman"/>
          <w:sz w:val="24"/>
          <w:szCs w:val="24"/>
        </w:rPr>
        <w:lastRenderedPageBreak/>
        <w:t>was observed (</w:t>
      </w:r>
      <w:r>
        <w:rPr>
          <w:rFonts w:ascii="Times New Roman" w:hAnsi="Times New Roman" w:cs="Times New Roman"/>
          <w:i/>
          <w:iCs/>
          <w:sz w:val="24"/>
          <w:szCs w:val="24"/>
        </w:rPr>
        <w:t>P</w:t>
      </w:r>
      <w:r>
        <w:rPr>
          <w:rFonts w:ascii="Times New Roman" w:hAnsi="Times New Roman" w:cs="Times New Roman"/>
          <w:sz w:val="24"/>
          <w:szCs w:val="24"/>
        </w:rPr>
        <w:t>-interaction = 0.052), with a wider confidence interval in the IMV subgroup reflecting the limited number of events. Given the exploratory nature of this analysis, this finding should be interpreted with caution and warrants replication in larger cohorts.</w:t>
      </w:r>
    </w:p>
    <w:p w14:paraId="42204FB8" w14:textId="77777777" w:rsidR="00C6465A" w:rsidRDefault="00C6465A"/>
    <w:sectPr w:rsidR="00C6465A" w:rsidSect="00F94B2A">
      <w:footerReference w:type="default" r:id="rId8"/>
      <w:pgSz w:w="12240" w:h="15840"/>
      <w:pgMar w:top="1440" w:right="1800" w:bottom="1440" w:left="180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202400"/>
    </w:sdtPr>
    <w:sdtContent>
      <w:p w14:paraId="46A41C94" w14:textId="77777777" w:rsidR="00F94B2A" w:rsidRDefault="00F94B2A">
        <w:pPr>
          <w:pStyle w:val="Footer"/>
          <w:jc w:val="center"/>
        </w:pPr>
        <w:r>
          <w:fldChar w:fldCharType="begin"/>
        </w:r>
        <w:r>
          <w:instrText>PAGE   \* MERGEFORMAT</w:instrText>
        </w:r>
        <w:r>
          <w:fldChar w:fldCharType="separate"/>
        </w:r>
        <w:r>
          <w:rPr>
            <w:lang w:val="zh-CN"/>
          </w:rPr>
          <w:t>18</w:t>
        </w:r>
        <w:r>
          <w:fldChar w:fldCharType="end"/>
        </w:r>
      </w:p>
    </w:sdtContent>
  </w:sdt>
  <w:p w14:paraId="20E93388" w14:textId="77777777" w:rsidR="00F94B2A" w:rsidRDefault="00F94B2A">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B2A"/>
    <w:rsid w:val="000905F0"/>
    <w:rsid w:val="00112C91"/>
    <w:rsid w:val="00242B4F"/>
    <w:rsid w:val="00302F9E"/>
    <w:rsid w:val="004E23CF"/>
    <w:rsid w:val="006D5216"/>
    <w:rsid w:val="00A80498"/>
    <w:rsid w:val="00AF7735"/>
    <w:rsid w:val="00C52040"/>
    <w:rsid w:val="00C62D14"/>
    <w:rsid w:val="00C6465A"/>
    <w:rsid w:val="00EA3576"/>
    <w:rsid w:val="00F94B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A199D"/>
  <w15:chartTrackingRefBased/>
  <w15:docId w15:val="{FE1E3D6B-4347-4466-B4B3-C5CD99C0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B2A"/>
    <w:pPr>
      <w:spacing w:line="259" w:lineRule="auto"/>
    </w:pPr>
    <w:rPr>
      <w:rFonts w:eastAsiaTheme="minorEastAsia"/>
      <w:kern w:val="0"/>
      <w:sz w:val="22"/>
      <w:szCs w:val="22"/>
      <w:lang w:val="en-US" w:eastAsia="zh-CN"/>
      <w14:ligatures w14:val="none"/>
    </w:rPr>
  </w:style>
  <w:style w:type="paragraph" w:styleId="Heading1">
    <w:name w:val="heading 1"/>
    <w:basedOn w:val="Normal"/>
    <w:next w:val="Normal"/>
    <w:link w:val="Heading1Char"/>
    <w:uiPriority w:val="9"/>
    <w:qFormat/>
    <w:rsid w:val="00F94B2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F94B2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F94B2A"/>
    <w:pPr>
      <w:keepNext/>
      <w:keepLines/>
      <w:spacing w:before="160" w:after="80" w:line="278" w:lineRule="auto"/>
      <w:outlineLvl w:val="2"/>
    </w:pPr>
    <w:rPr>
      <w:rFonts w:eastAsiaTheme="majorEastAsia"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F94B2A"/>
    <w:pPr>
      <w:keepNext/>
      <w:keepLines/>
      <w:spacing w:before="80" w:after="40" w:line="278" w:lineRule="auto"/>
      <w:outlineLvl w:val="3"/>
    </w:pPr>
    <w:rPr>
      <w:rFonts w:eastAsiaTheme="majorEastAsia" w:cstheme="majorBidi"/>
      <w:i/>
      <w:iCs/>
      <w:color w:val="0F4761" w:themeColor="accent1" w:themeShade="BF"/>
      <w:kern w:val="2"/>
      <w:sz w:val="24"/>
      <w:szCs w:val="24"/>
      <w:lang w:val="en-IN" w:eastAsia="en-US"/>
      <w14:ligatures w14:val="standardContextual"/>
    </w:rPr>
  </w:style>
  <w:style w:type="paragraph" w:styleId="Heading5">
    <w:name w:val="heading 5"/>
    <w:basedOn w:val="Normal"/>
    <w:next w:val="Normal"/>
    <w:link w:val="Heading5Char"/>
    <w:uiPriority w:val="9"/>
    <w:semiHidden/>
    <w:unhideWhenUsed/>
    <w:qFormat/>
    <w:rsid w:val="00F94B2A"/>
    <w:pPr>
      <w:keepNext/>
      <w:keepLines/>
      <w:spacing w:before="80" w:after="40" w:line="278" w:lineRule="auto"/>
      <w:outlineLvl w:val="4"/>
    </w:pPr>
    <w:rPr>
      <w:rFonts w:eastAsiaTheme="majorEastAsia" w:cstheme="majorBidi"/>
      <w:color w:val="0F4761" w:themeColor="accent1" w:themeShade="BF"/>
      <w:kern w:val="2"/>
      <w:sz w:val="24"/>
      <w:szCs w:val="24"/>
      <w:lang w:val="en-IN" w:eastAsia="en-US"/>
      <w14:ligatures w14:val="standardContextual"/>
    </w:rPr>
  </w:style>
  <w:style w:type="paragraph" w:styleId="Heading6">
    <w:name w:val="heading 6"/>
    <w:basedOn w:val="Normal"/>
    <w:next w:val="Normal"/>
    <w:link w:val="Heading6Char"/>
    <w:uiPriority w:val="9"/>
    <w:semiHidden/>
    <w:unhideWhenUsed/>
    <w:qFormat/>
    <w:rsid w:val="00F94B2A"/>
    <w:pPr>
      <w:keepNext/>
      <w:keepLines/>
      <w:spacing w:before="40" w:after="0" w:line="278" w:lineRule="auto"/>
      <w:outlineLvl w:val="5"/>
    </w:pPr>
    <w:rPr>
      <w:rFonts w:eastAsiaTheme="majorEastAsia" w:cstheme="majorBidi"/>
      <w:i/>
      <w:iCs/>
      <w:color w:val="595959" w:themeColor="text1" w:themeTint="A6"/>
      <w:kern w:val="2"/>
      <w:sz w:val="24"/>
      <w:szCs w:val="24"/>
      <w:lang w:val="en-IN" w:eastAsia="en-US"/>
      <w14:ligatures w14:val="standardContextual"/>
    </w:rPr>
  </w:style>
  <w:style w:type="paragraph" w:styleId="Heading7">
    <w:name w:val="heading 7"/>
    <w:basedOn w:val="Normal"/>
    <w:next w:val="Normal"/>
    <w:link w:val="Heading7Char"/>
    <w:uiPriority w:val="9"/>
    <w:semiHidden/>
    <w:unhideWhenUsed/>
    <w:qFormat/>
    <w:rsid w:val="00F94B2A"/>
    <w:pPr>
      <w:keepNext/>
      <w:keepLines/>
      <w:spacing w:before="40" w:after="0" w:line="278" w:lineRule="auto"/>
      <w:outlineLvl w:val="6"/>
    </w:pPr>
    <w:rPr>
      <w:rFonts w:eastAsiaTheme="majorEastAsia" w:cstheme="majorBidi"/>
      <w:color w:val="595959" w:themeColor="text1" w:themeTint="A6"/>
      <w:kern w:val="2"/>
      <w:sz w:val="24"/>
      <w:szCs w:val="24"/>
      <w:lang w:val="en-IN" w:eastAsia="en-US"/>
      <w14:ligatures w14:val="standardContextual"/>
    </w:rPr>
  </w:style>
  <w:style w:type="paragraph" w:styleId="Heading8">
    <w:name w:val="heading 8"/>
    <w:basedOn w:val="Normal"/>
    <w:next w:val="Normal"/>
    <w:link w:val="Heading8Char"/>
    <w:uiPriority w:val="9"/>
    <w:semiHidden/>
    <w:unhideWhenUsed/>
    <w:qFormat/>
    <w:rsid w:val="00F94B2A"/>
    <w:pPr>
      <w:keepNext/>
      <w:keepLines/>
      <w:spacing w:after="0" w:line="278" w:lineRule="auto"/>
      <w:outlineLvl w:val="7"/>
    </w:pPr>
    <w:rPr>
      <w:rFonts w:eastAsiaTheme="majorEastAsia" w:cstheme="majorBidi"/>
      <w:i/>
      <w:iCs/>
      <w:color w:val="272727" w:themeColor="text1" w:themeTint="D8"/>
      <w:kern w:val="2"/>
      <w:sz w:val="24"/>
      <w:szCs w:val="24"/>
      <w:lang w:val="en-IN" w:eastAsia="en-US"/>
      <w14:ligatures w14:val="standardContextual"/>
    </w:rPr>
  </w:style>
  <w:style w:type="paragraph" w:styleId="Heading9">
    <w:name w:val="heading 9"/>
    <w:basedOn w:val="Normal"/>
    <w:next w:val="Normal"/>
    <w:link w:val="Heading9Char"/>
    <w:uiPriority w:val="9"/>
    <w:semiHidden/>
    <w:unhideWhenUsed/>
    <w:qFormat/>
    <w:rsid w:val="00F94B2A"/>
    <w:pPr>
      <w:keepNext/>
      <w:keepLines/>
      <w:spacing w:after="0" w:line="278" w:lineRule="auto"/>
      <w:outlineLvl w:val="8"/>
    </w:pPr>
    <w:rPr>
      <w:rFonts w:eastAsiaTheme="majorEastAsia" w:cstheme="majorBidi"/>
      <w:color w:val="272727" w:themeColor="text1" w:themeTint="D8"/>
      <w:kern w:val="2"/>
      <w:sz w:val="24"/>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B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F94B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4B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4B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4B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4B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B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B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B2A"/>
    <w:rPr>
      <w:rFonts w:eastAsiaTheme="majorEastAsia" w:cstheme="majorBidi"/>
      <w:color w:val="272727" w:themeColor="text1" w:themeTint="D8"/>
    </w:rPr>
  </w:style>
  <w:style w:type="paragraph" w:styleId="Title">
    <w:name w:val="Title"/>
    <w:basedOn w:val="Normal"/>
    <w:next w:val="Normal"/>
    <w:link w:val="TitleChar"/>
    <w:uiPriority w:val="10"/>
    <w:qFormat/>
    <w:rsid w:val="00F94B2A"/>
    <w:pPr>
      <w:spacing w:after="80" w:line="240" w:lineRule="auto"/>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F94B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B2A"/>
    <w:pPr>
      <w:numPr>
        <w:ilvl w:val="1"/>
      </w:numPr>
      <w:spacing w:line="278" w:lineRule="auto"/>
    </w:pPr>
    <w:rPr>
      <w:rFonts w:eastAsiaTheme="majorEastAsia"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F94B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B2A"/>
    <w:pPr>
      <w:spacing w:before="160" w:line="278" w:lineRule="auto"/>
      <w:jc w:val="center"/>
    </w:pPr>
    <w:rPr>
      <w:rFonts w:eastAsiaTheme="minorHAnsi"/>
      <w:i/>
      <w:iCs/>
      <w:color w:val="404040" w:themeColor="text1" w:themeTint="BF"/>
      <w:kern w:val="2"/>
      <w:sz w:val="24"/>
      <w:szCs w:val="24"/>
      <w:lang w:val="en-IN" w:eastAsia="en-US"/>
      <w14:ligatures w14:val="standardContextual"/>
    </w:rPr>
  </w:style>
  <w:style w:type="character" w:customStyle="1" w:styleId="QuoteChar">
    <w:name w:val="Quote Char"/>
    <w:basedOn w:val="DefaultParagraphFont"/>
    <w:link w:val="Quote"/>
    <w:uiPriority w:val="29"/>
    <w:rsid w:val="00F94B2A"/>
    <w:rPr>
      <w:i/>
      <w:iCs/>
      <w:color w:val="404040" w:themeColor="text1" w:themeTint="BF"/>
    </w:rPr>
  </w:style>
  <w:style w:type="paragraph" w:styleId="ListParagraph">
    <w:name w:val="List Paragraph"/>
    <w:basedOn w:val="Normal"/>
    <w:uiPriority w:val="34"/>
    <w:qFormat/>
    <w:rsid w:val="00F94B2A"/>
    <w:pPr>
      <w:spacing w:line="278" w:lineRule="auto"/>
      <w:ind w:left="720"/>
      <w:contextualSpacing/>
    </w:pPr>
    <w:rPr>
      <w:rFonts w:eastAsiaTheme="minorHAnsi"/>
      <w:kern w:val="2"/>
      <w:sz w:val="24"/>
      <w:szCs w:val="24"/>
      <w:lang w:val="en-IN" w:eastAsia="en-US"/>
      <w14:ligatures w14:val="standardContextual"/>
    </w:rPr>
  </w:style>
  <w:style w:type="character" w:styleId="IntenseEmphasis">
    <w:name w:val="Intense Emphasis"/>
    <w:basedOn w:val="DefaultParagraphFont"/>
    <w:uiPriority w:val="21"/>
    <w:qFormat/>
    <w:rsid w:val="00F94B2A"/>
    <w:rPr>
      <w:i/>
      <w:iCs/>
      <w:color w:val="0F4761" w:themeColor="accent1" w:themeShade="BF"/>
    </w:rPr>
  </w:style>
  <w:style w:type="paragraph" w:styleId="IntenseQuote">
    <w:name w:val="Intense Quote"/>
    <w:basedOn w:val="Normal"/>
    <w:next w:val="Normal"/>
    <w:link w:val="IntenseQuoteChar"/>
    <w:uiPriority w:val="30"/>
    <w:qFormat/>
    <w:rsid w:val="00F94B2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en-IN" w:eastAsia="en-US"/>
      <w14:ligatures w14:val="standardContextual"/>
    </w:rPr>
  </w:style>
  <w:style w:type="character" w:customStyle="1" w:styleId="IntenseQuoteChar">
    <w:name w:val="Intense Quote Char"/>
    <w:basedOn w:val="DefaultParagraphFont"/>
    <w:link w:val="IntenseQuote"/>
    <w:uiPriority w:val="30"/>
    <w:rsid w:val="00F94B2A"/>
    <w:rPr>
      <w:i/>
      <w:iCs/>
      <w:color w:val="0F4761" w:themeColor="accent1" w:themeShade="BF"/>
    </w:rPr>
  </w:style>
  <w:style w:type="character" w:styleId="IntenseReference">
    <w:name w:val="Intense Reference"/>
    <w:basedOn w:val="DefaultParagraphFont"/>
    <w:uiPriority w:val="32"/>
    <w:qFormat/>
    <w:rsid w:val="00F94B2A"/>
    <w:rPr>
      <w:b/>
      <w:bCs/>
      <w:smallCaps/>
      <w:color w:val="0F4761" w:themeColor="accent1" w:themeShade="BF"/>
      <w:spacing w:val="5"/>
    </w:rPr>
  </w:style>
  <w:style w:type="paragraph" w:styleId="Footer">
    <w:name w:val="footer"/>
    <w:basedOn w:val="Normal"/>
    <w:link w:val="FooterChar"/>
    <w:uiPriority w:val="99"/>
    <w:unhideWhenUsed/>
    <w:qFormat/>
    <w:rsid w:val="00F94B2A"/>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qFormat/>
    <w:rsid w:val="00F94B2A"/>
    <w:rPr>
      <w:rFonts w:eastAsiaTheme="minorEastAsia"/>
      <w:kern w:val="0"/>
      <w:sz w:val="18"/>
      <w:szCs w:val="18"/>
      <w:lang w:val="en-US" w:eastAsia="zh-CN"/>
      <w14:ligatures w14:val="none"/>
    </w:rPr>
  </w:style>
  <w:style w:type="character" w:styleId="LineNumber">
    <w:name w:val="line number"/>
    <w:basedOn w:val="DefaultParagraphFont"/>
    <w:uiPriority w:val="99"/>
    <w:semiHidden/>
    <w:unhideWhenUsed/>
    <w:rsid w:val="00F94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1166</Words>
  <Characters>7911</Characters>
  <Application>Microsoft Office Word</Application>
  <DocSecurity>0</DocSecurity>
  <Lines>179</Lines>
  <Paragraphs>89</Paragraphs>
  <ScaleCrop>false</ScaleCrop>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2026-07-06T17:51:00Z</dcterms:created>
  <dcterms:modified xsi:type="dcterms:W3CDTF">2026-07-06T17:51:00Z</dcterms:modified>
</cp:coreProperties>
</file>