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F0" w:rsidRDefault="00E02094">
      <w:pPr>
        <w:spacing w:line="480" w:lineRule="auto"/>
        <w:jc w:val="left"/>
        <w:rPr>
          <w:rFonts w:eastAsia="Calibri" w:cs="Calibri"/>
          <w:b/>
          <w:bCs/>
          <w:sz w:val="22"/>
          <w:szCs w:val="22"/>
        </w:rPr>
      </w:pPr>
      <w:bookmarkStart w:id="0" w:name="OLE_LINK121"/>
      <w:bookmarkStart w:id="1" w:name="OLE_LINK120"/>
      <w:bookmarkStart w:id="2" w:name="OLE_LINK917"/>
      <w:bookmarkStart w:id="3" w:name="OLE_LINK916"/>
      <w:r>
        <w:rPr>
          <w:rFonts w:eastAsia="Calibri" w:cs="Calibri"/>
          <w:b/>
          <w:bCs/>
          <w:sz w:val="22"/>
          <w:szCs w:val="22"/>
        </w:rPr>
        <w:t>Supplementary Material</w:t>
      </w:r>
    </w:p>
    <w:p w:rsidR="00C72BF0" w:rsidRDefault="00E02094">
      <w:pPr>
        <w:rPr>
          <w:rFonts w:eastAsia="Calibri" w:cs="Calibri"/>
          <w:sz w:val="22"/>
          <w:szCs w:val="22"/>
        </w:rPr>
      </w:pPr>
      <w:bookmarkStart w:id="4" w:name="OLE_LINK98"/>
      <w:bookmarkStart w:id="5" w:name="OLE_LINK97"/>
      <w:bookmarkStart w:id="6" w:name="OLE_LINK96"/>
      <w:bookmarkStart w:id="7" w:name="OLE_LINK99"/>
      <w:r>
        <w:rPr>
          <w:rFonts w:eastAsia="Calibri" w:cs="Calibri"/>
          <w:b/>
          <w:bCs/>
          <w:sz w:val="22"/>
          <w:szCs w:val="22"/>
        </w:rPr>
        <w:t>Article</w:t>
      </w:r>
      <w:r>
        <w:rPr>
          <w:rFonts w:eastAsia="Calibri" w:cs="Calibri"/>
          <w:b/>
          <w:bCs/>
          <w:spacing w:val="-5"/>
          <w:sz w:val="22"/>
          <w:szCs w:val="22"/>
        </w:rPr>
        <w:t xml:space="preserve"> </w:t>
      </w:r>
      <w:r>
        <w:rPr>
          <w:rFonts w:eastAsia="Calibri" w:cs="Calibri"/>
          <w:b/>
          <w:bCs/>
          <w:sz w:val="22"/>
          <w:szCs w:val="22"/>
        </w:rPr>
        <w:t>type:</w:t>
      </w:r>
      <w:r>
        <w:rPr>
          <w:rFonts w:eastAsia="Calibri" w:cs="Calibri"/>
          <w:b/>
          <w:bCs/>
          <w:spacing w:val="-4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>Original</w:t>
      </w:r>
      <w:r>
        <w:rPr>
          <w:rFonts w:eastAsia="Calibri" w:cs="Calibri"/>
          <w:spacing w:val="-7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>a</w:t>
      </w:r>
      <w:r>
        <w:rPr>
          <w:rFonts w:eastAsia="Calibri" w:cs="Calibri"/>
          <w:spacing w:val="2"/>
          <w:sz w:val="22"/>
          <w:szCs w:val="22"/>
        </w:rPr>
        <w:t>r</w:t>
      </w:r>
      <w:r>
        <w:rPr>
          <w:rFonts w:eastAsia="Calibri" w:cs="Calibri"/>
          <w:sz w:val="22"/>
          <w:szCs w:val="22"/>
        </w:rPr>
        <w:t>ti</w:t>
      </w:r>
      <w:r>
        <w:rPr>
          <w:rFonts w:eastAsia="Calibri" w:cs="Calibri"/>
          <w:spacing w:val="-1"/>
          <w:sz w:val="22"/>
          <w:szCs w:val="22"/>
        </w:rPr>
        <w:t>c</w:t>
      </w:r>
      <w:r>
        <w:rPr>
          <w:rFonts w:eastAsia="Calibri" w:cs="Calibri"/>
          <w:spacing w:val="1"/>
          <w:sz w:val="22"/>
          <w:szCs w:val="22"/>
        </w:rPr>
        <w:t>l</w:t>
      </w:r>
      <w:r>
        <w:rPr>
          <w:rFonts w:eastAsia="Calibri" w:cs="Calibri"/>
          <w:sz w:val="22"/>
          <w:szCs w:val="22"/>
        </w:rPr>
        <w:t>e</w:t>
      </w:r>
    </w:p>
    <w:p w:rsidR="00C72BF0" w:rsidRPr="00605BB4" w:rsidRDefault="00E02094" w:rsidP="00605BB4">
      <w:pPr>
        <w:jc w:val="center"/>
        <w:rPr>
          <w:rFonts w:eastAsiaTheme="minorEastAsia" w:cs="Calibri" w:hint="eastAsia"/>
        </w:rPr>
      </w:pPr>
      <w:r>
        <w:rPr>
          <w:rFonts w:eastAsia="Calibri" w:cs="Calibri"/>
          <w:b/>
          <w:bCs/>
          <w:position w:val="1"/>
          <w:sz w:val="22"/>
          <w:szCs w:val="22"/>
        </w:rPr>
        <w:t>Title:</w:t>
      </w:r>
      <w:r>
        <w:rPr>
          <w:rFonts w:eastAsia="Calibri" w:cs="Calibri"/>
          <w:b/>
          <w:bCs/>
          <w:spacing w:val="-5"/>
          <w:position w:val="1"/>
          <w:sz w:val="22"/>
          <w:szCs w:val="22"/>
        </w:rPr>
        <w:t xml:space="preserve"> </w:t>
      </w:r>
      <w:r w:rsidR="00605BB4">
        <w:rPr>
          <w:rFonts w:eastAsia="Calibri" w:cs="Calibri" w:hint="eastAsia"/>
          <w:position w:val="1"/>
        </w:rPr>
        <w:t>Association between</w:t>
      </w:r>
      <w:r w:rsidR="00605BB4">
        <w:rPr>
          <w:rFonts w:cs="Calibri" w:hint="eastAsia"/>
          <w:position w:val="1"/>
        </w:rPr>
        <w:t xml:space="preserve"> </w:t>
      </w:r>
      <w:r w:rsidR="00605BB4">
        <w:rPr>
          <w:rFonts w:eastAsia="Calibri" w:cs="Calibri"/>
          <w:position w:val="1"/>
        </w:rPr>
        <w:t>urinary heavy metals and non-melanoma skin cancer: Insights from a population-based study</w:t>
      </w:r>
    </w:p>
    <w:p w:rsidR="00C72BF0" w:rsidRPr="00605BB4" w:rsidRDefault="00E02094" w:rsidP="00605BB4">
      <w:pPr>
        <w:jc w:val="center"/>
        <w:rPr>
          <w:rFonts w:eastAsiaTheme="minorEastAsia" w:cs="Calibri" w:hint="eastAsia"/>
        </w:rPr>
      </w:pP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>Kexun Zhang</w:t>
      </w:r>
      <w:r>
        <w:rPr>
          <w:rFonts w:eastAsia="等线" w:cs="Calibri" w:hint="eastAsia"/>
          <w:kern w:val="0"/>
          <w:position w:val="1"/>
          <w:sz w:val="22"/>
          <w:szCs w:val="22"/>
        </w:rPr>
        <w:t>,</w:t>
      </w: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 xml:space="preserve"> </w:t>
      </w:r>
      <w:r>
        <w:rPr>
          <w:rFonts w:eastAsia="等线" w:cs="Calibri" w:hint="eastAsia"/>
          <w:kern w:val="0"/>
          <w:position w:val="1"/>
          <w:sz w:val="22"/>
          <w:szCs w:val="22"/>
        </w:rPr>
        <w:t>MD</w:t>
      </w:r>
      <w:r>
        <w:rPr>
          <w:rFonts w:eastAsia="Calibri" w:cs="Calibri"/>
          <w:kern w:val="0"/>
          <w:position w:val="1"/>
          <w:sz w:val="22"/>
          <w:szCs w:val="22"/>
          <w:vertAlign w:val="superscript"/>
          <w:lang w:eastAsia="en-US"/>
        </w:rPr>
        <w:t>1</w:t>
      </w: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>, Ke Zhang</w:t>
      </w:r>
      <w:r>
        <w:rPr>
          <w:rFonts w:eastAsia="等线" w:cs="Calibri" w:hint="eastAsia"/>
          <w:kern w:val="0"/>
          <w:position w:val="1"/>
          <w:sz w:val="22"/>
          <w:szCs w:val="22"/>
        </w:rPr>
        <w:t>,</w:t>
      </w: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 xml:space="preserve"> </w:t>
      </w:r>
      <w:r>
        <w:rPr>
          <w:rFonts w:eastAsia="等线" w:cs="Calibri" w:hint="eastAsia"/>
          <w:kern w:val="0"/>
          <w:position w:val="1"/>
          <w:sz w:val="22"/>
          <w:szCs w:val="22"/>
        </w:rPr>
        <w:t>MS</w:t>
      </w:r>
      <w:r>
        <w:rPr>
          <w:rFonts w:eastAsia="Calibri" w:cs="Calibri"/>
          <w:kern w:val="0"/>
          <w:position w:val="1"/>
          <w:sz w:val="22"/>
          <w:szCs w:val="22"/>
          <w:vertAlign w:val="superscript"/>
          <w:lang w:eastAsia="en-US"/>
        </w:rPr>
        <w:t>2</w:t>
      </w: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 xml:space="preserve">, </w:t>
      </w:r>
      <w:r>
        <w:rPr>
          <w:rFonts w:eastAsia="等线" w:cs="Calibri" w:hint="eastAsia"/>
          <w:kern w:val="0"/>
          <w:position w:val="1"/>
          <w:sz w:val="22"/>
          <w:szCs w:val="22"/>
        </w:rPr>
        <w:t xml:space="preserve">Hua Wang, </w:t>
      </w: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>M</w:t>
      </w:r>
      <w:r>
        <w:rPr>
          <w:rFonts w:eastAsia="等线" w:cs="Calibri" w:hint="eastAsia"/>
          <w:kern w:val="0"/>
          <w:position w:val="1"/>
          <w:sz w:val="22"/>
          <w:szCs w:val="22"/>
        </w:rPr>
        <w:t>D</w:t>
      </w:r>
      <w:r>
        <w:rPr>
          <w:rFonts w:eastAsia="等线" w:cs="Calibri" w:hint="eastAsia"/>
          <w:kern w:val="0"/>
          <w:position w:val="1"/>
          <w:sz w:val="22"/>
          <w:szCs w:val="22"/>
          <w:vertAlign w:val="superscript"/>
        </w:rPr>
        <w:t>1</w:t>
      </w:r>
      <w:r>
        <w:rPr>
          <w:rFonts w:eastAsia="Calibri" w:cs="Calibri"/>
          <w:kern w:val="0"/>
          <w:position w:val="1"/>
          <w:sz w:val="22"/>
          <w:szCs w:val="22"/>
          <w:lang w:eastAsia="en-US"/>
        </w:rPr>
        <w:t xml:space="preserve">, </w:t>
      </w:r>
      <w:bookmarkStart w:id="8" w:name="_Hlk167430490"/>
      <w:r w:rsidR="00605BB4">
        <w:rPr>
          <w:rFonts w:cs="Calibri" w:hint="eastAsia"/>
          <w:position w:val="1"/>
        </w:rPr>
        <w:t>Yang Qin</w:t>
      </w:r>
      <w:r w:rsidR="00605BB4">
        <w:rPr>
          <w:rFonts w:eastAsia="Calibri" w:cs="Calibri"/>
          <w:position w:val="1"/>
          <w:vertAlign w:val="superscript"/>
        </w:rPr>
        <w:t>2</w:t>
      </w:r>
      <w:r w:rsidR="00605BB4">
        <w:rPr>
          <w:rFonts w:cs="Calibri" w:hint="eastAsia"/>
          <w:position w:val="1"/>
        </w:rPr>
        <w:t>,</w:t>
      </w:r>
      <w:r w:rsidR="00605BB4">
        <w:rPr>
          <w:rFonts w:eastAsia="Calibri" w:cs="Calibri"/>
          <w:position w:val="1"/>
        </w:rPr>
        <w:t xml:space="preserve"> Feng Hong</w:t>
      </w:r>
      <w:r w:rsidR="00605BB4">
        <w:rPr>
          <w:rFonts w:cs="Calibri" w:hint="eastAsia"/>
          <w:position w:val="1"/>
        </w:rPr>
        <w:t>,</w:t>
      </w:r>
      <w:r w:rsidR="00605BB4">
        <w:rPr>
          <w:rFonts w:eastAsia="Calibri" w:cs="Calibri"/>
          <w:position w:val="1"/>
        </w:rPr>
        <w:t xml:space="preserve"> Ph</w:t>
      </w:r>
      <w:bookmarkEnd w:id="8"/>
      <w:r w:rsidR="00605BB4">
        <w:rPr>
          <w:rFonts w:cs="Calibri" w:hint="eastAsia"/>
          <w:position w:val="1"/>
        </w:rPr>
        <w:t>D</w:t>
      </w:r>
      <w:r w:rsidR="00605BB4" w:rsidRPr="00EC5E63">
        <w:rPr>
          <w:rFonts w:cs="Calibri" w:hint="eastAsia"/>
          <w:position w:val="1"/>
          <w:vertAlign w:val="superscript"/>
        </w:rPr>
        <w:t>3</w:t>
      </w:r>
      <w:r w:rsidR="00605BB4">
        <w:rPr>
          <w:rFonts w:eastAsia="Calibri" w:cs="Calibri"/>
          <w:position w:val="1"/>
          <w:vertAlign w:val="superscript"/>
        </w:rPr>
        <w:t>*</w:t>
      </w:r>
      <w:r w:rsidR="00605BB4">
        <w:rPr>
          <w:rFonts w:cs="Calibri" w:hint="eastAsia"/>
          <w:position w:val="1"/>
        </w:rPr>
        <w:t>,</w:t>
      </w:r>
      <w:r w:rsidR="00605BB4">
        <w:rPr>
          <w:rFonts w:eastAsia="Calibri" w:cs="Calibri"/>
          <w:position w:val="1"/>
        </w:rPr>
        <w:t xml:space="preserve"> Wei Zhang</w:t>
      </w:r>
      <w:r w:rsidR="00605BB4">
        <w:rPr>
          <w:rFonts w:cs="Calibri" w:hint="eastAsia"/>
          <w:position w:val="1"/>
        </w:rPr>
        <w:t>,</w:t>
      </w:r>
      <w:r w:rsidR="00605BB4">
        <w:rPr>
          <w:rFonts w:eastAsia="Calibri" w:cs="Calibri"/>
          <w:position w:val="1"/>
        </w:rPr>
        <w:t xml:space="preserve"> MD</w:t>
      </w:r>
      <w:r w:rsidR="00605BB4">
        <w:rPr>
          <w:rFonts w:cs="Calibri" w:hint="eastAsia"/>
          <w:position w:val="1"/>
        </w:rPr>
        <w:t>,</w:t>
      </w:r>
      <w:r w:rsidR="00605BB4">
        <w:rPr>
          <w:rFonts w:eastAsia="Calibri" w:cs="Calibri"/>
          <w:position w:val="1"/>
          <w:vertAlign w:val="superscript"/>
        </w:rPr>
        <w:t xml:space="preserve"> </w:t>
      </w:r>
      <w:r w:rsidR="00605BB4">
        <w:rPr>
          <w:rFonts w:eastAsia="Calibri" w:cs="Calibri"/>
          <w:position w:val="1"/>
        </w:rPr>
        <w:t>PhD</w:t>
      </w:r>
      <w:r w:rsidR="00605BB4">
        <w:rPr>
          <w:rFonts w:eastAsia="Calibri" w:cs="Calibri"/>
          <w:position w:val="1"/>
          <w:vertAlign w:val="superscript"/>
        </w:rPr>
        <w:t>2*</w:t>
      </w:r>
      <w:r w:rsidR="00605BB4" w:rsidRPr="00EC5E63">
        <w:rPr>
          <w:rFonts w:cs="Calibri" w:hint="eastAsia"/>
          <w:position w:val="1"/>
          <w:vertAlign w:val="superscript"/>
        </w:rPr>
        <w:t>3</w:t>
      </w:r>
      <w:r w:rsidR="00605BB4">
        <w:rPr>
          <w:rFonts w:eastAsia="Calibri" w:cs="Calibri"/>
          <w:position w:val="1"/>
          <w:vertAlign w:val="superscript"/>
        </w:rPr>
        <w:t>*</w:t>
      </w:r>
    </w:p>
    <w:p w:rsidR="00C72BF0" w:rsidRDefault="00C72BF0">
      <w:pPr>
        <w:jc w:val="center"/>
        <w:rPr>
          <w:rFonts w:eastAsiaTheme="minorEastAsia" w:cs="Calibri"/>
          <w:sz w:val="22"/>
          <w:szCs w:val="22"/>
        </w:rPr>
      </w:pPr>
    </w:p>
    <w:p w:rsidR="00C72BF0" w:rsidRDefault="00E02094">
      <w:pPr>
        <w:rPr>
          <w:rFonts w:eastAsia="Calibri" w:cs="Calibri"/>
          <w:position w:val="1"/>
          <w:sz w:val="22"/>
          <w:szCs w:val="22"/>
        </w:rPr>
      </w:pPr>
      <w:r>
        <w:rPr>
          <w:rFonts w:eastAsia="Calibri" w:cs="Calibri"/>
          <w:position w:val="1"/>
          <w:sz w:val="22"/>
          <w:szCs w:val="22"/>
          <w:vertAlign w:val="superscript"/>
        </w:rPr>
        <w:t>1</w:t>
      </w:r>
      <w:r>
        <w:rPr>
          <w:rFonts w:cs="Calibri"/>
          <w:position w:val="1"/>
          <w:sz w:val="22"/>
          <w:szCs w:val="22"/>
        </w:rPr>
        <w:t xml:space="preserve"> Department of Infectious Disease Control, Kunshan Center for Disease Control and Prevention, Kunshan, Jiangsu, </w:t>
      </w:r>
      <w:r>
        <w:rPr>
          <w:rFonts w:eastAsia="Calibri" w:cs="Calibri"/>
          <w:position w:val="1"/>
          <w:sz w:val="22"/>
          <w:szCs w:val="22"/>
        </w:rPr>
        <w:t>China.</w:t>
      </w:r>
    </w:p>
    <w:p w:rsidR="00C72BF0" w:rsidRDefault="00E02094">
      <w:pPr>
        <w:rPr>
          <w:rFonts w:eastAsia="Calibri" w:cs="Calibri"/>
          <w:position w:val="1"/>
          <w:sz w:val="22"/>
          <w:szCs w:val="22"/>
        </w:rPr>
      </w:pPr>
      <w:r>
        <w:rPr>
          <w:rFonts w:eastAsia="Calibri" w:cs="Calibri"/>
          <w:position w:val="1"/>
          <w:sz w:val="22"/>
          <w:szCs w:val="22"/>
          <w:vertAlign w:val="superscript"/>
        </w:rPr>
        <w:t>2</w:t>
      </w:r>
      <w:r>
        <w:rPr>
          <w:rFonts w:eastAsia="Calibri" w:cs="Calibri"/>
          <w:position w:val="1"/>
          <w:sz w:val="22"/>
          <w:szCs w:val="22"/>
        </w:rPr>
        <w:t xml:space="preserve"> Department of Dermatology, Affiliated Hospital of Guizhou Medical University, Guiyang, Guizho</w:t>
      </w:r>
      <w:r>
        <w:rPr>
          <w:rFonts w:eastAsia="Calibri" w:cs="Calibri"/>
          <w:position w:val="1"/>
          <w:sz w:val="22"/>
          <w:szCs w:val="22"/>
        </w:rPr>
        <w:t>u, China.</w:t>
      </w:r>
    </w:p>
    <w:p w:rsidR="00C72BF0" w:rsidRDefault="00E02094">
      <w:pPr>
        <w:rPr>
          <w:rFonts w:eastAsia="Calibri" w:cs="Calibri"/>
          <w:position w:val="1"/>
          <w:sz w:val="22"/>
          <w:szCs w:val="22"/>
        </w:rPr>
      </w:pPr>
      <w:r>
        <w:rPr>
          <w:rFonts w:eastAsia="Calibri" w:cs="Calibri"/>
          <w:position w:val="1"/>
          <w:sz w:val="22"/>
          <w:szCs w:val="22"/>
          <w:vertAlign w:val="superscript"/>
        </w:rPr>
        <w:t>3</w:t>
      </w:r>
      <w:r>
        <w:rPr>
          <w:rFonts w:eastAsia="Calibri" w:cs="Calibri"/>
          <w:position w:val="1"/>
          <w:sz w:val="22"/>
          <w:szCs w:val="22"/>
        </w:rPr>
        <w:t xml:space="preserve"> School of Public Health, the Key Laboratory of Environmental Pollution Monitoring and Disease</w:t>
      </w:r>
      <w:r>
        <w:rPr>
          <w:rFonts w:cs="Calibri"/>
          <w:position w:val="1"/>
          <w:sz w:val="22"/>
          <w:szCs w:val="22"/>
        </w:rPr>
        <w:t xml:space="preserve"> </w:t>
      </w:r>
      <w:r>
        <w:rPr>
          <w:rFonts w:eastAsia="Calibri" w:cs="Calibri"/>
          <w:position w:val="1"/>
          <w:sz w:val="22"/>
          <w:szCs w:val="22"/>
        </w:rPr>
        <w:t>Control, Ministry of Education, Guizhou Medical University, Guizhou, China.</w:t>
      </w:r>
    </w:p>
    <w:p w:rsidR="00C72BF0" w:rsidRDefault="00C72BF0">
      <w:pPr>
        <w:rPr>
          <w:rFonts w:eastAsiaTheme="minorEastAsia" w:cs="Calibri"/>
          <w:position w:val="1"/>
          <w:sz w:val="22"/>
          <w:szCs w:val="22"/>
          <w:lang w:val="en-GB"/>
        </w:rPr>
      </w:pPr>
    </w:p>
    <w:p w:rsidR="00C72BF0" w:rsidRDefault="00E02094">
      <w:pPr>
        <w:pStyle w:val="a8"/>
        <w:rPr>
          <w:rFonts w:ascii="Calibri" w:hAnsi="Calibri" w:cs="Calibri"/>
          <w:b/>
          <w:bCs/>
          <w:lang w:eastAsia="zh-CN"/>
        </w:rPr>
      </w:pPr>
      <w:r>
        <w:rPr>
          <w:rFonts w:ascii="Calibri" w:eastAsia="Calibri" w:hAnsi="Calibri" w:cs="Calibri"/>
          <w:spacing w:val="2"/>
          <w:position w:val="1"/>
        </w:rPr>
        <w:t>*</w:t>
      </w:r>
      <w:r>
        <w:rPr>
          <w:rFonts w:ascii="Calibri" w:eastAsia="Calibri" w:hAnsi="Calibri" w:cs="Calibri"/>
          <w:b/>
          <w:bCs/>
        </w:rPr>
        <w:t>Correspond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ng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autho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:</w:t>
      </w:r>
    </w:p>
    <w:p w:rsidR="00C72BF0" w:rsidRDefault="00C72BF0">
      <w:pPr>
        <w:pStyle w:val="a8"/>
        <w:rPr>
          <w:rFonts w:ascii="Calibri" w:hAnsi="Calibri" w:cs="Calibri"/>
          <w:lang w:eastAsia="zh-CN"/>
        </w:rPr>
      </w:pPr>
    </w:p>
    <w:p w:rsidR="00C72BF0" w:rsidRDefault="00E02094">
      <w:pPr>
        <w:pStyle w:val="a8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Feng Hong, PhD </w:t>
      </w:r>
    </w:p>
    <w:p w:rsidR="00C72BF0" w:rsidRDefault="00E02094">
      <w:pPr>
        <w:pStyle w:val="a8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>Wei Zhang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eastAsia="zh-CN"/>
        </w:rPr>
        <w:t>MD, PhD</w:t>
      </w:r>
    </w:p>
    <w:p w:rsidR="00C72BF0" w:rsidRDefault="00E02094">
      <w:pPr>
        <w:pStyle w:val="a8"/>
        <w:rPr>
          <w:rFonts w:ascii="Calibri" w:hAnsi="Calibri" w:cs="Calibri"/>
        </w:rPr>
      </w:pPr>
      <w:r>
        <w:rPr>
          <w:rFonts w:ascii="Calibri" w:hAnsi="Calibri" w:cs="Calibri"/>
        </w:rPr>
        <w:t xml:space="preserve">No. 28 Guiyi Street, </w:t>
      </w:r>
    </w:p>
    <w:p w:rsidR="00C72BF0" w:rsidRDefault="00E02094">
      <w:pPr>
        <w:pStyle w:val="a8"/>
        <w:rPr>
          <w:rFonts w:ascii="Calibri" w:hAnsi="Calibri" w:cs="Calibri"/>
          <w:lang w:eastAsia="zh-CN"/>
        </w:rPr>
      </w:pPr>
      <w:r>
        <w:rPr>
          <w:rFonts w:ascii="Calibri" w:hAnsi="Calibri" w:cs="Calibri"/>
        </w:rPr>
        <w:t xml:space="preserve">Guiyang, Guizhou, 550001, China </w:t>
      </w:r>
    </w:p>
    <w:p w:rsidR="00C72BF0" w:rsidRDefault="00E02094">
      <w:pPr>
        <w:pStyle w:val="a8"/>
        <w:rPr>
          <w:rFonts w:ascii="Calibri" w:hAnsi="Calibri" w:cs="Calibri"/>
        </w:rPr>
      </w:pPr>
      <w:r>
        <w:rPr>
          <w:rFonts w:ascii="Calibri" w:hAnsi="Calibri" w:cs="Calibri"/>
        </w:rPr>
        <w:t>Email: fhong@gmc.edu.cn, weizahn@gmc.edu.cn</w:t>
      </w:r>
    </w:p>
    <w:p w:rsidR="00C72BF0" w:rsidRDefault="00C72BF0">
      <w:pPr>
        <w:pStyle w:val="a8"/>
        <w:rPr>
          <w:rFonts w:ascii="Calibri" w:hAnsi="Calibri" w:cs="Calibri"/>
        </w:rPr>
      </w:pPr>
    </w:p>
    <w:p w:rsidR="00C72BF0" w:rsidRDefault="00E02094">
      <w:pPr>
        <w:tabs>
          <w:tab w:val="left" w:pos="700"/>
        </w:tabs>
        <w:ind w:right="-20"/>
        <w:rPr>
          <w:rFonts w:eastAsia="Calibri" w:cs="Calibri"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Supplement</w:t>
      </w:r>
      <w:r>
        <w:rPr>
          <w:rFonts w:eastAsia="Calibri" w:cs="Calibri"/>
          <w:b/>
          <w:spacing w:val="1"/>
          <w:sz w:val="22"/>
          <w:szCs w:val="22"/>
        </w:rPr>
        <w:t>a</w:t>
      </w:r>
      <w:r>
        <w:rPr>
          <w:rFonts w:eastAsia="Calibri" w:cs="Calibri"/>
          <w:b/>
          <w:sz w:val="22"/>
          <w:szCs w:val="22"/>
        </w:rPr>
        <w:t>ry</w:t>
      </w:r>
      <w:r>
        <w:rPr>
          <w:rFonts w:eastAsia="Calibri" w:cs="Calibri"/>
          <w:b/>
          <w:spacing w:val="-14"/>
          <w:sz w:val="22"/>
          <w:szCs w:val="22"/>
        </w:rPr>
        <w:t xml:space="preserve"> </w:t>
      </w:r>
      <w:r>
        <w:rPr>
          <w:rFonts w:eastAsia="Calibri" w:cs="Calibri"/>
          <w:b/>
          <w:sz w:val="22"/>
          <w:szCs w:val="22"/>
        </w:rPr>
        <w:t>figures</w:t>
      </w:r>
      <w:r>
        <w:rPr>
          <w:rFonts w:eastAsia="Calibri" w:cs="Calibri"/>
          <w:sz w:val="22"/>
          <w:szCs w:val="22"/>
        </w:rPr>
        <w:t>:</w:t>
      </w:r>
      <w:r>
        <w:rPr>
          <w:rFonts w:eastAsia="Calibri" w:cs="Calibri"/>
          <w:spacing w:val="-7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>2 (Figure S1, Figure S2)</w:t>
      </w:r>
    </w:p>
    <w:p w:rsidR="00C72BF0" w:rsidRDefault="00C72BF0">
      <w:pPr>
        <w:tabs>
          <w:tab w:val="left" w:pos="700"/>
        </w:tabs>
        <w:ind w:right="-20"/>
        <w:rPr>
          <w:rFonts w:eastAsia="Calibri" w:cs="Calibri"/>
          <w:b/>
          <w:bCs/>
          <w:sz w:val="22"/>
          <w:szCs w:val="22"/>
        </w:rPr>
      </w:pPr>
    </w:p>
    <w:p w:rsidR="00C72BF0" w:rsidRDefault="00E02094">
      <w:pPr>
        <w:tabs>
          <w:tab w:val="left" w:pos="700"/>
        </w:tabs>
        <w:ind w:right="-20"/>
        <w:rPr>
          <w:rFonts w:eastAsia="Calibri" w:cs="Calibri"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Supplement</w:t>
      </w:r>
      <w:r>
        <w:rPr>
          <w:rFonts w:eastAsia="Calibri" w:cs="Calibri"/>
          <w:b/>
          <w:spacing w:val="1"/>
          <w:sz w:val="22"/>
          <w:szCs w:val="22"/>
        </w:rPr>
        <w:t>a</w:t>
      </w:r>
      <w:r>
        <w:rPr>
          <w:rFonts w:eastAsia="Calibri" w:cs="Calibri"/>
          <w:b/>
          <w:sz w:val="22"/>
          <w:szCs w:val="22"/>
        </w:rPr>
        <w:t>ry</w:t>
      </w:r>
      <w:r>
        <w:rPr>
          <w:rFonts w:eastAsia="Calibri" w:cs="Calibri"/>
          <w:b/>
          <w:spacing w:val="-14"/>
          <w:sz w:val="22"/>
          <w:szCs w:val="22"/>
        </w:rPr>
        <w:t xml:space="preserve"> </w:t>
      </w:r>
      <w:r>
        <w:rPr>
          <w:rFonts w:eastAsia="Calibri" w:cs="Calibri"/>
          <w:b/>
          <w:sz w:val="22"/>
          <w:szCs w:val="22"/>
        </w:rPr>
        <w:t>tables</w:t>
      </w:r>
      <w:r>
        <w:rPr>
          <w:rFonts w:eastAsia="Calibri" w:cs="Calibri"/>
          <w:sz w:val="22"/>
          <w:szCs w:val="22"/>
        </w:rPr>
        <w:t>:</w:t>
      </w:r>
      <w:r>
        <w:rPr>
          <w:rFonts w:eastAsia="Calibri" w:cs="Calibri"/>
          <w:spacing w:val="-6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</w:rPr>
        <w:t>3</w:t>
      </w:r>
      <w:r w:rsidR="00605BB4">
        <w:rPr>
          <w:rFonts w:cs="Calibri"/>
          <w:sz w:val="22"/>
          <w:szCs w:val="22"/>
        </w:rPr>
        <w:t xml:space="preserve"> (Table S1, Table S2</w:t>
      </w:r>
      <w:r>
        <w:rPr>
          <w:rFonts w:cs="Calibri"/>
          <w:sz w:val="22"/>
          <w:szCs w:val="22"/>
        </w:rPr>
        <w:t>)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:rsidR="00C72BF0" w:rsidRDefault="00C72BF0">
      <w:pPr>
        <w:spacing w:line="360" w:lineRule="auto"/>
        <w:jc w:val="left"/>
        <w:rPr>
          <w:rFonts w:cs="Calibri"/>
          <w:position w:val="1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E02094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8120" cy="52781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7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BF0" w:rsidRDefault="00E02094">
      <w:pPr>
        <w:widowControl/>
        <w:tabs>
          <w:tab w:val="left" w:pos="700"/>
        </w:tabs>
        <w:spacing w:before="15" w:line="480" w:lineRule="auto"/>
        <w:ind w:right="-20"/>
        <w:jc w:val="center"/>
        <w:rPr>
          <w:rFonts w:eastAsia="等线"/>
          <w:kern w:val="0"/>
          <w:sz w:val="22"/>
          <w:szCs w:val="22"/>
        </w:rPr>
      </w:pPr>
      <w:r>
        <w:rPr>
          <w:rFonts w:eastAsia="等线" w:hint="eastAsia"/>
          <w:kern w:val="0"/>
          <w:sz w:val="22"/>
          <w:szCs w:val="22"/>
        </w:rPr>
        <w:t>Figure S1. Spearman</w:t>
      </w:r>
      <w:r>
        <w:rPr>
          <w:rFonts w:eastAsia="等线"/>
          <w:kern w:val="0"/>
          <w:sz w:val="22"/>
          <w:szCs w:val="22"/>
        </w:rPr>
        <w:t xml:space="preserve"> correlation </w:t>
      </w:r>
      <w:r>
        <w:rPr>
          <w:rFonts w:eastAsia="等线" w:hint="eastAsia"/>
          <w:kern w:val="0"/>
          <w:sz w:val="22"/>
          <w:szCs w:val="22"/>
        </w:rPr>
        <w:t>of</w:t>
      </w:r>
      <w:r>
        <w:rPr>
          <w:rFonts w:eastAsia="等线"/>
          <w:kern w:val="0"/>
          <w:sz w:val="22"/>
          <w:szCs w:val="22"/>
        </w:rPr>
        <w:t xml:space="preserve"> </w:t>
      </w:r>
      <w:r>
        <w:rPr>
          <w:rFonts w:eastAsia="等线" w:hint="eastAsia"/>
          <w:kern w:val="0"/>
          <w:sz w:val="22"/>
          <w:szCs w:val="22"/>
        </w:rPr>
        <w:t>l</w:t>
      </w:r>
      <w:r>
        <w:rPr>
          <w:rFonts w:eastAsia="等线"/>
          <w:kern w:val="0"/>
          <w:sz w:val="22"/>
          <w:szCs w:val="22"/>
        </w:rPr>
        <w:t>n-transformed urinary metals in th</w:t>
      </w:r>
      <w:r>
        <w:rPr>
          <w:rFonts w:eastAsia="等线" w:hint="eastAsia"/>
          <w:kern w:val="0"/>
          <w:sz w:val="22"/>
          <w:szCs w:val="22"/>
        </w:rPr>
        <w:t>is</w:t>
      </w:r>
      <w:r>
        <w:rPr>
          <w:rFonts w:eastAsia="等线"/>
          <w:kern w:val="0"/>
          <w:sz w:val="22"/>
          <w:szCs w:val="22"/>
        </w:rPr>
        <w:t xml:space="preserve"> study population.</w:t>
      </w:r>
    </w:p>
    <w:p w:rsidR="00C72BF0" w:rsidRDefault="00C72BF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E02094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278120" cy="37369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BF0" w:rsidRDefault="00E02094">
      <w:pPr>
        <w:widowControl/>
        <w:tabs>
          <w:tab w:val="left" w:pos="700"/>
        </w:tabs>
        <w:spacing w:before="15" w:line="480" w:lineRule="auto"/>
        <w:ind w:right="-20"/>
        <w:rPr>
          <w:rFonts w:eastAsia="等线"/>
          <w:kern w:val="0"/>
          <w:sz w:val="22"/>
          <w:szCs w:val="22"/>
        </w:rPr>
      </w:pPr>
      <w:r>
        <w:rPr>
          <w:rFonts w:eastAsia="等线" w:hint="eastAsia"/>
          <w:kern w:val="0"/>
          <w:sz w:val="22"/>
          <w:szCs w:val="22"/>
        </w:rPr>
        <w:t>Figure S2. Weights of urinary metals associated with NMSC in WQS analyses, adjusting for age, sex, race/ethnicity, educational level, smoking, BMI, and urine creatinine. X-axis: The weights</w:t>
      </w:r>
      <w:r>
        <w:rPr>
          <w:rFonts w:eastAsia="等线" w:hint="eastAsia"/>
          <w:kern w:val="0"/>
          <w:sz w:val="22"/>
          <w:szCs w:val="22"/>
        </w:rPr>
        <w:t xml:space="preserve"> of each urinary metal in the positive WQS model regression index (total weight = 1). Y-axis: Nine urinary metals.</w:t>
      </w:r>
    </w:p>
    <w:p w:rsidR="00C72BF0" w:rsidRDefault="00C72BF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C72BF0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</w:p>
    <w:p w:rsidR="00C72BF0" w:rsidRDefault="00E02094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center"/>
        <w:textAlignment w:val="baseline"/>
        <w:rPr>
          <w:rFonts w:ascii="Arial" w:hAnsi="Arial" w:cs="Arial"/>
          <w:snapToGrid w:val="0"/>
          <w:color w:val="000000"/>
          <w:kern w:val="0"/>
          <w:sz w:val="19"/>
          <w:szCs w:val="19"/>
        </w:rPr>
      </w:pPr>
      <w:r>
        <w:rPr>
          <w:rFonts w:ascii="Arial" w:hAnsi="Arial" w:cs="Arial" w:hint="eastAsia"/>
          <w:snapToGrid w:val="0"/>
          <w:color w:val="000000"/>
          <w:kern w:val="0"/>
          <w:sz w:val="19"/>
          <w:szCs w:val="19"/>
        </w:rPr>
        <w:t xml:space="preserve">Table S1. Associations of single, combined metals with skin cancer with additional adjustment for family </w:t>
      </w:r>
      <w:r>
        <w:rPr>
          <w:rFonts w:ascii="Arial" w:hAnsi="Arial" w:cs="Arial" w:hint="eastAsia"/>
          <w:snapToGrid w:val="0"/>
          <w:color w:val="000000"/>
          <w:kern w:val="0"/>
          <w:sz w:val="19"/>
          <w:szCs w:val="19"/>
        </w:rPr>
        <w:t>income-to-poverty ratio</w:t>
      </w: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line="72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lang w:eastAsia="en-US"/>
        </w:rPr>
      </w:pPr>
    </w:p>
    <w:tbl>
      <w:tblPr>
        <w:tblStyle w:val="TableNormal"/>
        <w:tblW w:w="9811" w:type="dxa"/>
        <w:tblInd w:w="-42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425"/>
        <w:gridCol w:w="1449"/>
        <w:gridCol w:w="1449"/>
        <w:gridCol w:w="1449"/>
        <w:gridCol w:w="1451"/>
        <w:gridCol w:w="1153"/>
      </w:tblGrid>
      <w:tr w:rsidR="00C72BF0">
        <w:trPr>
          <w:trHeight w:val="355"/>
        </w:trPr>
        <w:tc>
          <w:tcPr>
            <w:tcW w:w="1435" w:type="dxa"/>
            <w:vMerge w:val="restart"/>
            <w:tcBorders>
              <w:top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Heavy metals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Chars="100" w:firstLine="154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Chars="200" w:firstLine="308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Continuous</w:t>
            </w: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579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Quartiles of single, combined metals [OR (95% CI)]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159" w:lineRule="exact"/>
              <w:textAlignment w:val="baseline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4" w:line="159" w:lineRule="exact"/>
              <w:ind w:firstLineChars="100" w:firstLine="154"/>
              <w:textAlignment w:val="baseline"/>
              <w:rPr>
                <w:rFonts w:ascii="Times New Roman" w:eastAsia="Times New Roman" w:hAnsi="Times New Roman"/>
                <w:snapToGrid w:val="0"/>
                <w:color w:val="000000"/>
                <w:kern w:val="0"/>
                <w:sz w:val="15"/>
                <w:szCs w:val="15"/>
                <w:lang w:eastAsia="en-US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P for trend</w:t>
            </w:r>
          </w:p>
        </w:tc>
      </w:tr>
      <w:tr w:rsidR="00C72BF0">
        <w:trPr>
          <w:trHeight w:val="291"/>
        </w:trPr>
        <w:tc>
          <w:tcPr>
            <w:tcW w:w="1435" w:type="dxa"/>
            <w:vMerge/>
            <w:tcBorders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vMerge/>
            <w:tcBorders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Q1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Q2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Q3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Q4</w:t>
            </w:r>
          </w:p>
        </w:tc>
        <w:tc>
          <w:tcPr>
            <w:tcW w:w="1153" w:type="dxa"/>
            <w:vMerge/>
            <w:tcBorders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88" w:lineRule="auto"/>
              <w:ind w:left="632"/>
              <w:jc w:val="left"/>
              <w:textAlignment w:val="baseline"/>
              <w:rPr>
                <w:rFonts w:ascii="Times New Roman" w:eastAsia="Times New Roman" w:hAnsi="Times New Roman"/>
                <w:snapToGrid w:val="0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72BF0">
        <w:trPr>
          <w:trHeight w:val="367"/>
        </w:trPr>
        <w:tc>
          <w:tcPr>
            <w:tcW w:w="1435" w:type="dxa"/>
            <w:tcBorders>
              <w:top w:val="single" w:sz="4" w:space="0" w:color="000000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Hg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1.34 (1.07, 1.69)</w:t>
            </w:r>
          </w:p>
        </w:tc>
        <w:tc>
          <w:tcPr>
            <w:tcW w:w="1449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1.40 (0.69, 2.83)</w:t>
            </w:r>
          </w:p>
        </w:tc>
        <w:tc>
          <w:tcPr>
            <w:tcW w:w="1449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1.70 (0.77, 3.75)</w:t>
            </w:r>
          </w:p>
        </w:tc>
        <w:tc>
          <w:tcPr>
            <w:tcW w:w="1451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2.72 (1.45, 5.12)</w:t>
            </w:r>
          </w:p>
        </w:tc>
        <w:tc>
          <w:tcPr>
            <w:tcW w:w="1153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0.003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Cs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1.28 (0.90, </w:t>
            </w: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1.84)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1.51 (0.71, 3.24)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1.08 (0.52, 2.22)</w:t>
            </w:r>
          </w:p>
        </w:tc>
        <w:tc>
          <w:tcPr>
            <w:tcW w:w="1451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1.65 (0.72, 3.75)</w:t>
            </w:r>
          </w:p>
        </w:tc>
        <w:tc>
          <w:tcPr>
            <w:tcW w:w="1153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0.331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Tl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1.20 (0.89, 1.61)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1.06 (0.62, 1.83)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1.62 (0.93, 2.82)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1.34 (0.59, 3.03)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0.246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Io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1.32 (1.10, 1.59)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1.73 (0.81, 3.69)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2.19 (1.04, 4.64)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2.79 (1.23, 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6.31)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0.016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Co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1.29 (1.03, 1.62)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1.97 (1.08, 3.58)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2.17 (1.10, 4.25)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2.33 (1.24, 4.39)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0.012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Mo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1.17 (0.93, 1.47)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1.52 (0.85, 2.72)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1.95 (1.08, 3.52)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0.96 (0.45, 2.05)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0.634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Pb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1.26 (0.97, 1.63)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1.85 (1.03, 3.33)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2.01 (1.05, 3.85)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1.78 (0.93, 3.41)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0.106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Ba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1.10 (0.87, 1.39)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1.31 (0.67, 2.58)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1.96 (0.91, 4.20)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1.72 (0.88, 3.39)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0.090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As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1.20 (0.93, 1.56)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1.74 (0.98, 3.11)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1.90 (1.01, 3.56)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1.62 (0.74, 3.53)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0.190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Combined metals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2.16 </w:t>
            </w: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(1.42, 3.29)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2.56 (1.25, 5.26)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4.41 (2.04, 9.53)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4.46 (1.74, 11.47)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0.001</w:t>
            </w:r>
          </w:p>
        </w:tc>
      </w:tr>
      <w:tr w:rsidR="00C72BF0">
        <w:trPr>
          <w:trHeight w:val="367"/>
        </w:trPr>
        <w:tc>
          <w:tcPr>
            <w:tcW w:w="1435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51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153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</w:tr>
    </w:tbl>
    <w:p w:rsidR="00C72BF0" w:rsidRDefault="00E02094">
      <w:pPr>
        <w:widowControl/>
        <w:kinsoku w:val="0"/>
        <w:autoSpaceDE w:val="0"/>
        <w:autoSpaceDN w:val="0"/>
        <w:adjustRightInd w:val="0"/>
        <w:snapToGrid w:val="0"/>
        <w:textAlignment w:val="bottom"/>
        <w:rPr>
          <w:rFonts w:ascii="Arial" w:eastAsia="Arial" w:hAnsi="Arial" w:cs="Arial"/>
          <w:snapToGrid w:val="0"/>
          <w:color w:val="000000"/>
          <w:spacing w:val="-3"/>
          <w:kern w:val="0"/>
          <w:sz w:val="16"/>
          <w:szCs w:val="16"/>
        </w:rPr>
        <w:sectPr w:rsidR="00C72BF0">
          <w:pgSz w:w="11700" w:h="15660"/>
          <w:pgMar w:top="546" w:right="1184" w:bottom="0" w:left="1185" w:header="0" w:footer="0" w:gutter="0"/>
          <w:pgBorders>
            <w:top w:val="single" w:sz="4" w:space="1" w:color="auto"/>
            <w:bottom w:val="single" w:sz="4" w:space="1" w:color="auto"/>
          </w:pgBorders>
          <w:cols w:space="720" w:equalWidth="0">
            <w:col w:w="9330"/>
          </w:cols>
        </w:sectPr>
      </w:pPr>
      <w:r>
        <w:rPr>
          <w:rFonts w:ascii="Arial" w:eastAsia="Arial" w:hAnsi="Arial" w:cs="Arial" w:hint="eastAsia"/>
          <w:snapToGrid w:val="0"/>
          <w:color w:val="000000"/>
          <w:spacing w:val="-3"/>
          <w:kern w:val="0"/>
          <w:sz w:val="16"/>
          <w:szCs w:val="16"/>
        </w:rPr>
        <w:t>Note:</w:t>
      </w:r>
      <w:r>
        <w:rPr>
          <w:rFonts w:ascii="Arial" w:eastAsia="Arial" w:hAnsi="Arial" w:cs="Arial"/>
          <w:snapToGrid w:val="0"/>
          <w:color w:val="000000"/>
          <w:spacing w:val="-3"/>
          <w:kern w:val="0"/>
          <w:sz w:val="16"/>
          <w:szCs w:val="16"/>
        </w:rPr>
        <w:t xml:space="preserve"> Model was adjusted for age, sex, race/ethnicity, educational level, smoking, BMI, urine creatinine, and family income-to-poverty ratio. The number of missing data for family income-to-poverty ratio was 910</w:t>
      </w: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hAnsi="Arial" w:cs="Arial"/>
          <w:snapToGrid w:val="0"/>
          <w:color w:val="000000"/>
          <w:kern w:val="0"/>
          <w:sz w:val="19"/>
          <w:szCs w:val="19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hAnsi="Arial" w:cs="Arial"/>
          <w:snapToGrid w:val="0"/>
          <w:color w:val="000000"/>
          <w:kern w:val="0"/>
          <w:sz w:val="19"/>
          <w:szCs w:val="19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hAnsi="Arial" w:cs="Arial"/>
          <w:snapToGrid w:val="0"/>
          <w:color w:val="000000"/>
          <w:kern w:val="0"/>
          <w:sz w:val="19"/>
          <w:szCs w:val="19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hAnsi="Arial" w:cs="Arial"/>
          <w:snapToGrid w:val="0"/>
          <w:color w:val="000000"/>
          <w:kern w:val="0"/>
          <w:sz w:val="19"/>
          <w:szCs w:val="19"/>
        </w:rPr>
      </w:pPr>
    </w:p>
    <w:p w:rsidR="00C72BF0" w:rsidRDefault="00E02094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center"/>
        <w:textAlignment w:val="baseline"/>
        <w:rPr>
          <w:rFonts w:ascii="Arial" w:hAnsi="Arial" w:cs="Arial"/>
          <w:snapToGrid w:val="0"/>
          <w:color w:val="000000"/>
          <w:kern w:val="0"/>
          <w:sz w:val="19"/>
          <w:szCs w:val="19"/>
        </w:rPr>
      </w:pPr>
      <w:r>
        <w:rPr>
          <w:rFonts w:ascii="Arial" w:hAnsi="Arial" w:cs="Arial" w:hint="eastAsia"/>
          <w:snapToGrid w:val="0"/>
          <w:color w:val="000000"/>
          <w:kern w:val="0"/>
          <w:sz w:val="19"/>
          <w:szCs w:val="19"/>
        </w:rPr>
        <w:t>Table S2. Associations of single, combined me</w:t>
      </w:r>
      <w:r>
        <w:rPr>
          <w:rFonts w:ascii="Arial" w:hAnsi="Arial" w:cs="Arial" w:hint="eastAsia"/>
          <w:snapToGrid w:val="0"/>
          <w:color w:val="000000"/>
          <w:kern w:val="0"/>
          <w:sz w:val="19"/>
          <w:szCs w:val="19"/>
        </w:rPr>
        <w:t>tals</w:t>
      </w:r>
      <w:r>
        <w:rPr>
          <w:rFonts w:ascii="Arial" w:hAnsi="Arial" w:cs="Arial" w:hint="eastAsia"/>
          <w:snapToGrid w:val="0"/>
          <w:color w:val="000000"/>
          <w:kern w:val="0"/>
          <w:sz w:val="19"/>
          <w:szCs w:val="19"/>
        </w:rPr>
        <w:t xml:space="preserve"> </w:t>
      </w:r>
      <w:r>
        <w:rPr>
          <w:rFonts w:ascii="Arial" w:hAnsi="Arial" w:cs="Arial" w:hint="eastAsia"/>
          <w:snapToGrid w:val="0"/>
          <w:color w:val="000000"/>
          <w:kern w:val="0"/>
          <w:sz w:val="19"/>
          <w:szCs w:val="19"/>
        </w:rPr>
        <w:t>with skin cancer with additional adjustment for marriage status</w:t>
      </w: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line="72" w:lineRule="exact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lang w:eastAsia="en-US"/>
        </w:rPr>
      </w:pPr>
    </w:p>
    <w:tbl>
      <w:tblPr>
        <w:tblStyle w:val="TableNormal"/>
        <w:tblW w:w="9811" w:type="dxa"/>
        <w:tblInd w:w="-42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425"/>
        <w:gridCol w:w="1449"/>
        <w:gridCol w:w="1449"/>
        <w:gridCol w:w="1449"/>
        <w:gridCol w:w="1451"/>
        <w:gridCol w:w="1153"/>
      </w:tblGrid>
      <w:tr w:rsidR="00C72BF0">
        <w:trPr>
          <w:trHeight w:val="355"/>
        </w:trPr>
        <w:tc>
          <w:tcPr>
            <w:tcW w:w="1435" w:type="dxa"/>
            <w:vMerge w:val="restart"/>
            <w:tcBorders>
              <w:top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Heavy metals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Continuous</w:t>
            </w: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OR (95% CI)</w:t>
            </w:r>
          </w:p>
        </w:tc>
        <w:tc>
          <w:tcPr>
            <w:tcW w:w="579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Quartiles of single, combined metals [OR (95% CI)]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P for trend</w:t>
            </w:r>
          </w:p>
        </w:tc>
      </w:tr>
      <w:tr w:rsidR="00C72BF0">
        <w:trPr>
          <w:trHeight w:val="355"/>
        </w:trPr>
        <w:tc>
          <w:tcPr>
            <w:tcW w:w="1435" w:type="dxa"/>
            <w:vMerge/>
            <w:tcBorders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vMerge/>
            <w:tcBorders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Q1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Q2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Q3</w:t>
            </w:r>
          </w:p>
        </w:tc>
        <w:tc>
          <w:tcPr>
            <w:tcW w:w="1451" w:type="dxa"/>
            <w:tcBorders>
              <w:top w:val="single" w:sz="4" w:space="0" w:color="000000"/>
              <w:bottom w:val="single" w:sz="4" w:space="0" w:color="000000"/>
            </w:tcBorders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 w:hint="eastAsia"/>
                <w:snapToGrid w:val="0"/>
                <w:color w:val="000000"/>
                <w:spacing w:val="-3"/>
                <w:kern w:val="0"/>
                <w:sz w:val="16"/>
                <w:szCs w:val="16"/>
              </w:rPr>
              <w:t>Q4</w:t>
            </w:r>
          </w:p>
        </w:tc>
        <w:tc>
          <w:tcPr>
            <w:tcW w:w="1153" w:type="dxa"/>
            <w:vMerge/>
            <w:tcBorders>
              <w:bottom w:val="single" w:sz="4" w:space="0" w:color="000000"/>
            </w:tcBorders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9" w:line="188" w:lineRule="auto"/>
              <w:ind w:left="632"/>
              <w:jc w:val="left"/>
              <w:textAlignment w:val="baseline"/>
              <w:rPr>
                <w:rFonts w:ascii="Times New Roman" w:eastAsia="Times New Roman" w:hAnsi="Times New Roman"/>
                <w:snapToGrid w:val="0"/>
                <w:color w:val="000000"/>
                <w:kern w:val="0"/>
                <w:sz w:val="15"/>
                <w:szCs w:val="15"/>
                <w:lang w:eastAsia="en-US"/>
              </w:rPr>
            </w:pPr>
          </w:p>
        </w:tc>
      </w:tr>
      <w:tr w:rsidR="00C72BF0">
        <w:trPr>
          <w:trHeight w:val="367"/>
        </w:trPr>
        <w:tc>
          <w:tcPr>
            <w:tcW w:w="1435" w:type="dxa"/>
            <w:tcBorders>
              <w:top w:val="single" w:sz="4" w:space="0" w:color="000000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Hg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1.31 (1.05, 1.63)</w:t>
            </w:r>
          </w:p>
        </w:tc>
        <w:tc>
          <w:tcPr>
            <w:tcW w:w="1449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1.40 (0.71, 2.76)</w:t>
            </w:r>
          </w:p>
        </w:tc>
        <w:tc>
          <w:tcPr>
            <w:tcW w:w="1449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1.62 (0.75, </w:t>
            </w: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3.50)</w:t>
            </w:r>
          </w:p>
        </w:tc>
        <w:tc>
          <w:tcPr>
            <w:tcW w:w="1451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2.49 (1.39, 4.48)</w:t>
            </w:r>
          </w:p>
        </w:tc>
        <w:tc>
          <w:tcPr>
            <w:tcW w:w="1153" w:type="dxa"/>
            <w:tcBorders>
              <w:top w:val="single" w:sz="4" w:space="0" w:color="000000"/>
              <w:bottom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0.004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Cs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1.25 (0.89, 1.74)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1.44 (0.69, 2.99)</w:t>
            </w:r>
          </w:p>
        </w:tc>
        <w:tc>
          <w:tcPr>
            <w:tcW w:w="1449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1.05 (0.53, 2.10)</w:t>
            </w:r>
          </w:p>
        </w:tc>
        <w:tc>
          <w:tcPr>
            <w:tcW w:w="1451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1.56 (0.71, 3.40)</w:t>
            </w:r>
          </w:p>
        </w:tc>
        <w:tc>
          <w:tcPr>
            <w:tcW w:w="1153" w:type="dxa"/>
            <w:tcBorders>
              <w:top w:val="nil"/>
            </w:tcBorders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0.366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Tl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1.17 (0.88, 1.55)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1.14 (0.68, 1.93)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1.53 (0.87, 2.68)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1.30 (0.59, 2.86)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0.299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Io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1.29 (1.09, 1.54)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1.54 (0.74, 3.21)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2.02 (0.98, 4.20)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2.56 (1.16, 5.63)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0.021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Co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1.34 (1.07, 1.68)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1.90 (1.05, 3.42)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2.03 (1.05, 3.94)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2.31 (1.26, 4.22)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0.011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Mo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1.12 (0.89, 1.41)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1.38 (0.78, 2.43)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1.67 (0.94, 2.97)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0.86 (0.41, 1.80)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0.930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Pb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1.18 (0.93, 1.51)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1.67 (0.95, 2.96)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1.89 (0.99, 3.60)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1.58 (0.85, 2.93)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0.164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Ba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1.11 (0.89, 1.39)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1.33 (0.69, 2.57)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1.95 (0.93, 4.09)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1.73 (0.90, 3.31)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0.083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As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1.21 (0.94, 1.55)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1.70 (0.95, 3.02)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1.92 (1.04, 3.54)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1.67 (0.78, 3.58)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 xml:space="preserve">0.154 </w:t>
            </w:r>
          </w:p>
        </w:tc>
      </w:tr>
      <w:tr w:rsidR="00C72BF0">
        <w:trPr>
          <w:trHeight w:val="367"/>
        </w:trPr>
        <w:tc>
          <w:tcPr>
            <w:tcW w:w="143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Combined metals</w:t>
            </w:r>
          </w:p>
        </w:tc>
        <w:tc>
          <w:tcPr>
            <w:tcW w:w="1425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2.03 (1.34, 3.08)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  <w:t>1.00 (Ref.)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2.43 (1.24, 4.77)</w:t>
            </w:r>
          </w:p>
        </w:tc>
        <w:tc>
          <w:tcPr>
            <w:tcW w:w="1449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4.15 (1.97, 8.72)</w:t>
            </w:r>
          </w:p>
        </w:tc>
        <w:tc>
          <w:tcPr>
            <w:tcW w:w="1451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3.88 (1.59, 9.48)</w:t>
            </w:r>
          </w:p>
        </w:tc>
        <w:tc>
          <w:tcPr>
            <w:tcW w:w="1153" w:type="dxa"/>
            <w:vAlign w:val="center"/>
          </w:tcPr>
          <w:p w:rsidR="00C72BF0" w:rsidRDefault="00E02094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  <w:t>0.001</w:t>
            </w:r>
          </w:p>
        </w:tc>
      </w:tr>
      <w:tr w:rsidR="00C72BF0">
        <w:trPr>
          <w:trHeight w:val="367"/>
        </w:trPr>
        <w:tc>
          <w:tcPr>
            <w:tcW w:w="1435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451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  <w:tc>
          <w:tcPr>
            <w:tcW w:w="1153" w:type="dxa"/>
            <w:tcBorders>
              <w:bottom w:val="single" w:sz="4" w:space="0" w:color="000000"/>
            </w:tcBorders>
            <w:vAlign w:val="center"/>
          </w:tcPr>
          <w:p w:rsidR="00C72BF0" w:rsidRDefault="00C72BF0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Arial" w:eastAsia="Arial" w:hAnsi="Arial" w:cs="Arial"/>
                <w:b/>
                <w:bCs/>
                <w:snapToGrid w:val="0"/>
                <w:color w:val="000000"/>
                <w:spacing w:val="-3"/>
                <w:kern w:val="0"/>
                <w:sz w:val="16"/>
                <w:szCs w:val="16"/>
              </w:rPr>
            </w:pPr>
          </w:p>
        </w:tc>
      </w:tr>
    </w:tbl>
    <w:p w:rsidR="00C72BF0" w:rsidRDefault="00E02094">
      <w:pPr>
        <w:widowControl/>
        <w:kinsoku w:val="0"/>
        <w:autoSpaceDE w:val="0"/>
        <w:autoSpaceDN w:val="0"/>
        <w:adjustRightInd w:val="0"/>
        <w:snapToGrid w:val="0"/>
        <w:textAlignment w:val="bottom"/>
        <w:rPr>
          <w:rFonts w:ascii="Arial" w:eastAsia="Arial" w:hAnsi="Arial" w:cs="Arial"/>
          <w:snapToGrid w:val="0"/>
          <w:color w:val="000000"/>
          <w:spacing w:val="-3"/>
          <w:kern w:val="0"/>
          <w:sz w:val="16"/>
          <w:szCs w:val="16"/>
        </w:rPr>
      </w:pPr>
      <w:r>
        <w:rPr>
          <w:rFonts w:ascii="Arial" w:eastAsia="Arial" w:hAnsi="Arial" w:cs="Arial" w:hint="eastAsia"/>
          <w:snapToGrid w:val="0"/>
          <w:color w:val="000000"/>
          <w:spacing w:val="-3"/>
          <w:kern w:val="0"/>
          <w:sz w:val="16"/>
          <w:szCs w:val="16"/>
        </w:rPr>
        <w:t>Note:</w:t>
      </w:r>
      <w:r>
        <w:rPr>
          <w:rFonts w:ascii="Arial" w:eastAsia="Arial" w:hAnsi="Arial" w:cs="Arial"/>
          <w:snapToGrid w:val="0"/>
          <w:color w:val="000000"/>
          <w:spacing w:val="-3"/>
          <w:kern w:val="0"/>
          <w:sz w:val="16"/>
          <w:szCs w:val="16"/>
        </w:rPr>
        <w:t xml:space="preserve"> Model was adjusted for age, sex, race/ethnicity, educational level, smoking, BMI, urine creatinine, and marriage status. The number of missing data for marriage status was 4, and this covariate was divided into three factors, including married/ cohabiting</w:t>
      </w:r>
      <w:r>
        <w:rPr>
          <w:rFonts w:ascii="Arial" w:eastAsia="Arial" w:hAnsi="Arial" w:cs="Arial"/>
          <w:snapToGrid w:val="0"/>
          <w:color w:val="000000"/>
          <w:spacing w:val="-3"/>
          <w:kern w:val="0"/>
          <w:sz w:val="16"/>
          <w:szCs w:val="16"/>
        </w:rPr>
        <w:t>, widowed/divorced/separated, or never married.</w:t>
      </w: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textAlignment w:val="bottom"/>
        <w:rPr>
          <w:rFonts w:ascii="Arial" w:eastAsia="Arial" w:hAnsi="Arial" w:cs="Arial"/>
          <w:snapToGrid w:val="0"/>
          <w:color w:val="000000"/>
          <w:spacing w:val="-3"/>
          <w:kern w:val="0"/>
          <w:sz w:val="16"/>
          <w:szCs w:val="16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 w:firstLineChars="200" w:firstLine="380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>
      <w:pPr>
        <w:widowControl/>
        <w:kinsoku w:val="0"/>
        <w:autoSpaceDE w:val="0"/>
        <w:autoSpaceDN w:val="0"/>
        <w:adjustRightInd w:val="0"/>
        <w:snapToGrid w:val="0"/>
        <w:spacing w:before="54" w:line="226" w:lineRule="auto"/>
        <w:ind w:right="240" w:firstLineChars="200" w:firstLine="380"/>
        <w:textAlignment w:val="baseline"/>
        <w:rPr>
          <w:rFonts w:ascii="Arial" w:eastAsia="Arial" w:hAnsi="Arial" w:cs="Arial"/>
          <w:snapToGrid w:val="0"/>
          <w:color w:val="000000"/>
          <w:kern w:val="0"/>
          <w:sz w:val="19"/>
          <w:szCs w:val="19"/>
          <w:lang w:eastAsia="en-US"/>
        </w:rPr>
      </w:pPr>
    </w:p>
    <w:p w:rsidR="00C72BF0" w:rsidRDefault="00C72BF0" w:rsidP="00605BB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9" w:name="_GoBack"/>
      <w:bookmarkEnd w:id="9"/>
    </w:p>
    <w:sectPr w:rsidR="00C72BF0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94" w:rsidRDefault="00E02094" w:rsidP="00605BB4">
      <w:r>
        <w:separator/>
      </w:r>
    </w:p>
  </w:endnote>
  <w:endnote w:type="continuationSeparator" w:id="0">
    <w:p w:rsidR="00E02094" w:rsidRDefault="00E02094" w:rsidP="0060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94" w:rsidRDefault="00E02094" w:rsidP="00605BB4">
      <w:r>
        <w:separator/>
      </w:r>
    </w:p>
  </w:footnote>
  <w:footnote w:type="continuationSeparator" w:id="0">
    <w:p w:rsidR="00E02094" w:rsidRDefault="00E02094" w:rsidP="00605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hMDc4OTgxMDFhZGI4MTQ0MjEzOWI2OTZkOTQyZGYifQ=="/>
  </w:docVars>
  <w:rsids>
    <w:rsidRoot w:val="00661C39"/>
    <w:rsid w:val="000004E1"/>
    <w:rsid w:val="00284509"/>
    <w:rsid w:val="002868A2"/>
    <w:rsid w:val="002B65B8"/>
    <w:rsid w:val="003B25E2"/>
    <w:rsid w:val="0049664E"/>
    <w:rsid w:val="004D0136"/>
    <w:rsid w:val="00513672"/>
    <w:rsid w:val="00541C6F"/>
    <w:rsid w:val="00566524"/>
    <w:rsid w:val="00594F0C"/>
    <w:rsid w:val="00605BB4"/>
    <w:rsid w:val="00611DF4"/>
    <w:rsid w:val="00661C39"/>
    <w:rsid w:val="00790C22"/>
    <w:rsid w:val="00856332"/>
    <w:rsid w:val="00856541"/>
    <w:rsid w:val="0088683F"/>
    <w:rsid w:val="008A49F6"/>
    <w:rsid w:val="0099386F"/>
    <w:rsid w:val="009A0ED1"/>
    <w:rsid w:val="009A14BE"/>
    <w:rsid w:val="009D519B"/>
    <w:rsid w:val="009D7432"/>
    <w:rsid w:val="00A26FFD"/>
    <w:rsid w:val="00A56A9D"/>
    <w:rsid w:val="00B46639"/>
    <w:rsid w:val="00B56E14"/>
    <w:rsid w:val="00BA6FB5"/>
    <w:rsid w:val="00C72BF0"/>
    <w:rsid w:val="00CB41AB"/>
    <w:rsid w:val="00CE2AA4"/>
    <w:rsid w:val="00D0462A"/>
    <w:rsid w:val="00D5764C"/>
    <w:rsid w:val="00D7533C"/>
    <w:rsid w:val="00DB0F3A"/>
    <w:rsid w:val="00DF7573"/>
    <w:rsid w:val="00E02094"/>
    <w:rsid w:val="00E216BD"/>
    <w:rsid w:val="00E825E0"/>
    <w:rsid w:val="00E8319C"/>
    <w:rsid w:val="00F873E8"/>
    <w:rsid w:val="081E6D6D"/>
    <w:rsid w:val="1F8D685B"/>
    <w:rsid w:val="3BAC49DC"/>
    <w:rsid w:val="3CF91BB0"/>
    <w:rsid w:val="40234DE4"/>
    <w:rsid w:val="47CD0E2E"/>
    <w:rsid w:val="514A0506"/>
    <w:rsid w:val="5B0B62AA"/>
    <w:rsid w:val="5D5606A6"/>
    <w:rsid w:val="62B62F9F"/>
    <w:rsid w:val="69AF1706"/>
    <w:rsid w:val="6F9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EFCC4"/>
  <w15:docId w15:val="{F89155F5-B0F8-4B37-BB97-FC636188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kern w:val="2"/>
      <w:sz w:val="18"/>
      <w:szCs w:val="18"/>
    </w:rPr>
  </w:style>
  <w:style w:type="table" w:customStyle="1" w:styleId="1">
    <w:name w:val="网格型1"/>
    <w:basedOn w:val="a1"/>
    <w:uiPriority w:val="99"/>
    <w:rPr>
      <w:kern w:val="2"/>
      <w:sz w:val="21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99"/>
    <w:qFormat/>
    <w:rPr>
      <w:kern w:val="2"/>
      <w:sz w:val="21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table" w:customStyle="1" w:styleId="TableNormal">
    <w:name w:val="Table Normal"/>
    <w:autoRedefine/>
    <w:semiHidden/>
    <w:unhideWhenUsed/>
    <w:qFormat/>
    <w:rPr>
      <w:rFonts w:ascii="Times New Roman" w:eastAsia="宋体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E35EB-B3BC-4068-9F71-549A6AA1F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凡慧</dc:creator>
  <cp:lastModifiedBy>金涛（华西开发事业部合约中心）</cp:lastModifiedBy>
  <cp:revision>27</cp:revision>
  <cp:lastPrinted>2024-04-24T13:17:00Z</cp:lastPrinted>
  <dcterms:created xsi:type="dcterms:W3CDTF">2024-04-24T09:49:00Z</dcterms:created>
  <dcterms:modified xsi:type="dcterms:W3CDTF">2026-06-14T10:13:00Z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052A174D65C8481D9EDFFBA3F98A3008_12</vt:lpwstr>
  </property>
  <property fmtid="{D5CDD505-2E9C-101B-9397-08002B2CF9AE}" pid="4" name="KSOTemplateDocerSaveRecord">
    <vt:lpwstr>eyJoZGlkIjoiOWU2ZjcyYWYyMWFjZWUzODA0OWNjNGFlYTc4YTExY2UiLCJ1c2VySWQiOiIxMTUwODgyNjQzIn0=</vt:lpwstr>
  </property>
</Properties>
</file>