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Times New Roman" w:cs="Times New Roman" w:eastAsia="Times New Roman" w:hAnsi="Times New Roman"/>
          <w:b/>
          <w:bCs/>
          <w:sz w:val="34"/>
          <w:szCs w:val="34"/>
        </w:rPr>
        <w:t xml:space="preserve">2023 Energy Survey: Instruments and Protocols</w:t>
      </w:r>
    </w:p>
    <w:p>
      <w:pPr>
        <w:spacing w:after="60"/>
        <w:jc w:val="center"/>
      </w:pPr>
      <w:r>
        <w:rPr>
          <w:rFonts w:ascii="Times New Roman" w:cs="Times New Roman" w:eastAsia="Times New Roman" w:hAnsi="Times New Roman"/>
          <w:i/>
          <w:iCs/>
          <w:sz w:val="24"/>
          <w:szCs w:val="24"/>
        </w:rPr>
        <w:t xml:space="preserve">Supplementary Methods Documentation</w:t>
      </w:r>
    </w:p>
    <w:p>
      <w:pPr>
        <w:spacing w:after="40"/>
        <w:jc w:val="center"/>
      </w:pPr>
      <w:r>
        <w:rPr>
          <w:rFonts w:ascii="Times New Roman" w:cs="Times New Roman" w:eastAsia="Times New Roman" w:hAnsi="Times New Roman"/>
          <w:sz w:val="22"/>
          <w:szCs w:val="22"/>
        </w:rPr>
        <w:t xml:space="preserve">Companion to the manuscript “Beyond the cosmopolitan assumption: National and</w:t>
      </w:r>
    </w:p>
    <w:p>
      <w:pPr>
        <w:spacing w:after="200"/>
        <w:jc w:val="center"/>
      </w:pPr>
      <w:r>
        <w:rPr>
          <w:rFonts w:ascii="Times New Roman" w:cs="Times New Roman" w:eastAsia="Times New Roman" w:hAnsi="Times New Roman"/>
          <w:sz w:val="22"/>
          <w:szCs w:val="22"/>
        </w:rPr>
        <w:t xml:space="preserve">global identity as complementary, not antagonistic, drivers of climate engagement”</w:t>
      </w:r>
    </w:p>
    <w:p>
      <w:pPr>
        <w:spacing w:after="40"/>
        <w:jc w:val="center"/>
      </w:pPr>
      <w:r>
        <w:rPr>
          <w:rFonts w:ascii="Times New Roman" w:cs="Times New Roman" w:eastAsia="Times New Roman" w:hAnsi="Times New Roman"/>
          <w:sz w:val="22"/>
          <w:szCs w:val="22"/>
        </w:rPr>
        <w:t xml:space="preserve">Dagyum Jung</w:t>
      </w:r>
      <w:r>
        <w:rPr>
          <w:rFonts w:ascii="Times New Roman" w:cs="Times New Roman" w:eastAsia="Times New Roman" w:hAnsi="Times New Roman"/>
          <w:sz w:val="22"/>
          <w:szCs w:val="22"/>
        </w:rPr>
        <w:t xml:space="preserve">  ·  Research Institute for Future Safety Policy, Ajou University</w:t>
      </w:r>
    </w:p>
    <w:p>
      <w:pPr>
        <w:spacing w:after="240"/>
        <w:jc w:val="center"/>
      </w:pPr>
      <w:r>
        <w:rPr>
          <w:rFonts w:ascii="Times New Roman" w:cs="Times New Roman" w:eastAsia="Times New Roman" w:hAnsi="Times New Roman"/>
          <w:sz w:val="22"/>
          <w:szCs w:val="22"/>
        </w:rPr>
        <w:t xml:space="preserve">Seoyong Kim (corresponding author)</w:t>
      </w:r>
      <w:r>
        <w:rPr>
          <w:rFonts w:ascii="Times New Roman" w:cs="Times New Roman" w:eastAsia="Times New Roman" w:hAnsi="Times New Roman"/>
          <w:sz w:val="22"/>
          <w:szCs w:val="22"/>
        </w:rPr>
        <w:t xml:space="preserve">  ·  Department of Public Administration, Ajou University, Suwon 16499, Republic of Korea</w:t>
      </w:r>
    </w:p>
    <w:p>
      <w:pPr>
        <w:pBdr>
          <w:bottom w:val="single" w:color="2E5C8A" w:sz="6" w:space="4"/>
        </w:pBdr>
        <w:spacing w:after="200"/>
      </w:pPr>
      <w:r>
        <w:rPr>
          <w:rFonts w:ascii="Times New Roman" w:cs="Times New Roman" w:eastAsia="Times New Roman" w:hAnsi="Times New Roman"/>
          <w:sz w:val="22"/>
          <w:szCs w:val="22"/>
        </w:rPr>
        <w:t xml:space="preserve"/>
      </w:r>
    </w:p>
    <w:p>
      <w:pPr>
        <w:pStyle w:val="Heading1"/>
        <w:spacing w:after="160" w:before="320"/>
      </w:pPr>
      <w:r>
        <w:rPr>
          <w:rFonts w:ascii="Times New Roman" w:cs="Times New Roman" w:eastAsia="Times New Roman" w:hAnsi="Times New Roman"/>
          <w:b/>
          <w:bCs/>
          <w:sz w:val="30"/>
          <w:szCs w:val="30"/>
        </w:rPr>
        <w:t xml:space="preserve">1. Purpose and scope of this document</w:t>
      </w:r>
    </w:p>
    <w:p>
      <w:pPr>
        <w:spacing w:after="160" w:before="0" w:line="276"/>
        <w:jc w:val="both"/>
      </w:pPr>
      <w:r>
        <w:rPr>
          <w:rFonts w:ascii="Times New Roman" w:cs="Times New Roman" w:eastAsia="Times New Roman" w:hAnsi="Times New Roman"/>
          <w:sz w:val="22"/>
          <w:szCs w:val="22"/>
        </w:rPr>
        <w:t xml:space="preserve">This document describes the survey instrument, sampling and field procedures, variable definitions, scale construction, and analytic protocols used to produce the results reported in the accompanying manuscript. It is intended to make the study fully reproducible: every construct in the manuscript is traced here to its source items in the questionnaire, its variable names in the raw data file, and the exact transformations applied before analysis. Where the manuscript reports a coefficient, a reliability, or a frequency, the procedures that generated it are documented below.</w:t>
      </w:r>
    </w:p>
    <w:p>
      <w:pPr>
        <w:spacing w:after="160" w:before="0" w:line="276"/>
        <w:jc w:val="both"/>
      </w:pPr>
      <w:r>
        <w:rPr>
          <w:rFonts w:ascii="Times New Roman" w:cs="Times New Roman" w:eastAsia="Times New Roman" w:hAnsi="Times New Roman"/>
          <w:sz w:val="22"/>
          <w:szCs w:val="22"/>
        </w:rPr>
        <w:t xml:space="preserve">Four source files underlie this documentation: the full survey instrument (</w:t>
      </w:r>
      <w:r>
        <w:rPr>
          <w:rFonts w:ascii="Times New Roman" w:cs="Times New Roman" w:eastAsia="Times New Roman" w:hAnsi="Times New Roman"/>
          <w:i/>
          <w:iCs/>
          <w:sz w:val="22"/>
          <w:szCs w:val="22"/>
        </w:rPr>
        <w:t xml:space="preserve">2023 Public Opinion Survey on Energy</w:t>
      </w:r>
      <w:r>
        <w:rPr>
          <w:rFonts w:ascii="Times New Roman" w:cs="Times New Roman" w:eastAsia="Times New Roman" w:hAnsi="Times New Roman"/>
          <w:sz w:val="22"/>
          <w:szCs w:val="22"/>
        </w:rPr>
        <w:t xml:space="preserve">), the variable codebook, the raw respondent-level data file (N = 1,552), and the analysis syntax used to construct scales and estimate models. The present study draws on a focused subset of the instrument; the full questionnaire is considerably broader (covering solar, wind, and nuclear energy acceptance, energy justice, and policy support) and supports analyses beyond the scope of this paper.</w:t>
      </w:r>
    </w:p>
    <w:p>
      <w:pPr>
        <w:pStyle w:val="Heading1"/>
        <w:spacing w:after="160" w:before="320"/>
      </w:pPr>
      <w:r>
        <w:rPr>
          <w:rFonts w:ascii="Times New Roman" w:cs="Times New Roman" w:eastAsia="Times New Roman" w:hAnsi="Times New Roman"/>
          <w:b/>
          <w:bCs/>
          <w:sz w:val="30"/>
          <w:szCs w:val="30"/>
        </w:rPr>
        <w:t xml:space="preserve">2. Survey overview</w:t>
      </w:r>
    </w:p>
    <w:p>
      <w:pPr>
        <w:spacing w:after="160" w:before="0" w:line="276"/>
        <w:jc w:val="both"/>
      </w:pPr>
      <w:r>
        <w:rPr>
          <w:rFonts w:ascii="Times New Roman" w:cs="Times New Roman" w:eastAsia="Times New Roman" w:hAnsi="Times New Roman"/>
          <w:sz w:val="22"/>
          <w:szCs w:val="22"/>
        </w:rPr>
        <w:t xml:space="preserve">The 2023 Public Opinion Survey on Energy was a nationally oriented survey of adults in the Republic of Korea, conducted by the Social Science Research Institute at Ajou University. Its stated purpose was to collect foundational data for academic research and government policy development on energy and climate issues. Respondents were assured that their answers would be used only as statistical data and that confidentiality was guaranteed.</w:t>
      </w:r>
    </w:p>
    <w:p>
      <w:pPr>
        <w:pStyle w:val="Heading2"/>
        <w:spacing w:after="120" w:before="260"/>
      </w:pPr>
      <w:r>
        <w:rPr>
          <w:rFonts w:ascii="Times New Roman" w:cs="Times New Roman" w:eastAsia="Times New Roman" w:hAnsi="Times New Roman"/>
          <w:b/>
          <w:bCs/>
          <w:sz w:val="26"/>
          <w:szCs w:val="26"/>
        </w:rPr>
        <w:t xml:space="preserve">2.1 Field administration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Parameter</w:t>
            </w:r>
          </w:p>
        </w:tc>
        <w:tc>
          <w:tcPr>
            <w:tcW w:type="dxa" w:w="63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Specification</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Target population</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Adults aged 18 and over residing in the Republic of Korea</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Sampling frame</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Master Sample panel maintained by Korea Research (professional survey organization)</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Sampling method</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Proportional quota sampling by sex, age, and region, followed by random selection</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Quota benchmark</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Resident-registration population, Ministry of the Interior and Safety, December 2022</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Mode</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Computer-assisted web interview (CAWI)</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Field period</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April 5–April 7, 2023 (three days)</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Invitations issued</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29,082 panel members</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Started the survey</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2,908 respondents</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Completed (analytic N)</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1,552 respondents</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Completion rate</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5.3% of invitations; 53.4% of those who began</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Maximum sampling error</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Approximately ±2.5% at the 95% confidence level (under SRS assumption)</w:t>
            </w:r>
          </w:p>
        </w:tc>
      </w:tr>
      <w:tr>
        <w:tc>
          <w:tcPr>
            <w:tcW w:type="dxa" w:w="30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Response scale</w:t>
            </w:r>
          </w:p>
        </w:tc>
        <w:tc>
          <w:tcPr>
            <w:tcW w:type="dxa" w:w="6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Five-point Likert (1 = strongly disagree to 5 = strongly agree) for all focal items</w:t>
            </w:r>
          </w:p>
        </w:tc>
      </w:tr>
    </w:tbl>
    <w:p>
      <w:pPr>
        <w:spacing w:after="80"/>
      </w:pPr>
      <w:r>
        <w:rPr>
          <w:rFonts w:ascii="Times New Roman" w:cs="Times New Roman" w:eastAsia="Times New Roman" w:hAnsi="Times New Roman"/>
          <w:sz w:val="22"/>
          <w:szCs w:val="22"/>
        </w:rPr>
        <w:t xml:space="preserve"/>
      </w:r>
    </w:p>
    <w:p>
      <w:pPr>
        <w:pStyle w:val="Heading2"/>
        <w:spacing w:after="120" w:before="260"/>
      </w:pPr>
      <w:r>
        <w:rPr>
          <w:rFonts w:ascii="Times New Roman" w:cs="Times New Roman" w:eastAsia="Times New Roman" w:hAnsi="Times New Roman"/>
          <w:b/>
          <w:bCs/>
          <w:sz w:val="26"/>
          <w:szCs w:val="26"/>
        </w:rPr>
        <w:t xml:space="preserve">2.2 Realized sample composition</w:t>
      </w:r>
    </w:p>
    <w:p>
      <w:pPr>
        <w:spacing w:after="160" w:before="0" w:line="276"/>
        <w:jc w:val="both"/>
      </w:pPr>
      <w:r>
        <w:rPr>
          <w:rFonts w:ascii="Times New Roman" w:cs="Times New Roman" w:eastAsia="Times New Roman" w:hAnsi="Times New Roman"/>
          <w:sz w:val="22"/>
          <w:szCs w:val="22"/>
        </w:rPr>
        <w:t xml:space="preserve">The realized sample tracked the national adult population across the quota dimensions: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Dimension</w:t>
            </w:r>
          </w:p>
        </w:tc>
        <w:tc>
          <w:tcPr>
            <w:tcW w:type="dxa" w:w="69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Distribution</w:t>
            </w:r>
          </w:p>
        </w:tc>
      </w:tr>
      <w:tr>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Sex</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Female 51.1%, Male 48.9%</w:t>
            </w:r>
          </w:p>
        </w:tc>
      </w:tr>
      <w:tr>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Age</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18–29: 15.7%; 30s: 14.3%; 40s: 18.2%; 50s: 19.5%; 60+: 32.2%</w:t>
            </w:r>
          </w:p>
        </w:tc>
      </w:tr>
      <w:tr>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Region</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Largest shares in Incheon/Gyeonggi (31.7%) and Seoul (18.2%); remainder across Daejeon/Chungcheong, Gwangju/Jeolla, Daegu/Gyeongbuk, Busan/Ulsan/Gyeongnam, and Gangwon/Jeju</w:t>
            </w:r>
          </w:p>
        </w:tc>
      </w:tr>
      <w:tr>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Education</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At least junior college 52.6%; high-school completion 44.1%; less than high school 3.2%</w:t>
            </w:r>
          </w:p>
        </w:tc>
      </w:tr>
      <w:tr>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Settlement type</w:t>
            </w:r>
          </w:p>
        </w:tc>
        <w:tc>
          <w:tcPr>
            <w:tcW w:type="dxa" w:w="69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Large cities 49.3%; small/mid-sized cities 42.5%; rural areas 7.9%</w:t>
            </w:r>
          </w:p>
        </w:tc>
      </w:tr>
    </w:tbl>
    <w:p>
      <w:pPr>
        <w:pStyle w:val="Heading1"/>
        <w:spacing w:after="160" w:before="320"/>
      </w:pPr>
      <w:r>
        <w:rPr>
          <w:rFonts w:ascii="Times New Roman" w:cs="Times New Roman" w:eastAsia="Times New Roman" w:hAnsi="Times New Roman"/>
          <w:b/>
          <w:bCs/>
          <w:sz w:val="30"/>
          <w:szCs w:val="30"/>
        </w:rPr>
        <w:t xml:space="preserve">3. Instrument structure</w:t>
      </w:r>
    </w:p>
    <w:p>
      <w:pPr>
        <w:spacing w:after="160" w:before="0" w:line="276"/>
        <w:jc w:val="both"/>
      </w:pPr>
      <w:r>
        <w:rPr>
          <w:rFonts w:ascii="Times New Roman" w:cs="Times New Roman" w:eastAsia="Times New Roman" w:hAnsi="Times New Roman"/>
          <w:sz w:val="22"/>
          <w:szCs w:val="22"/>
        </w:rPr>
        <w:t xml:space="preserve">The questionnaire opened with screening questions (SQ1–SQ4), proceeded through substantive blocks (Q1–Q18), captured social position and political orientation (Q19–Q25), and closed with background items (BQ1–BQ10). The blocks most relevant to the present study are summarized below; the constructs analyzed in the manuscript are drawn primarily from Q2 (identity), Q7 (climate-change attitudes, intention, and behavior), and Q8 (information sources and trust), together with the screening and background items used for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500"/>
        <w:gridCol w:w="3360"/>
      </w:tblGrid>
      <w:tr>
        <w:trPr>
          <w:tblHeader/>
        </w:trPr>
        <w:tc>
          <w:tcPr>
            <w:tcW w:type="dxa" w:w="1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Block</w:t>
            </w:r>
          </w:p>
        </w:tc>
        <w:tc>
          <w:tcPr>
            <w:tcW w:type="dxa" w:w="4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Content</w:t>
            </w:r>
          </w:p>
        </w:tc>
        <w:tc>
          <w:tcPr>
            <w:tcW w:type="dxa" w:w="33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Use in present study</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SQ1–SQ4</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Screening: sex, age, region, education</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Sociodemographic controls</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Q1</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Values and worldviews (56 items: NEP, science, religiosity, optimism, etc.)</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Optimism items used in scale checks; not focal</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Q2</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Identity battery (global, local, national; 47 items)</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Global identity and national identity (focal)</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Q6 / Q6-1</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Past practice and future intention for 32 climate actions</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Not focal in this paper</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Climate-change attitudes, responsibility, intention, behavior, risk, benefit, affect, knowledge (110 items)</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Dependent variables and most predictors (focal)</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Q8 / Q8-1</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Frequency of, and trust in, seven climate-information sources</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Institutional trust (focal)</w:t>
            </w:r>
          </w:p>
        </w:tc>
      </w:tr>
      <w:tr>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BQ6–BQ7</w:t>
            </w:r>
          </w:p>
        </w:tc>
        <w:tc>
          <w:tcPr>
            <w:tcW w:type="dxa" w:w="4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Personal and household monthly income</w:t>
            </w:r>
          </w:p>
        </w:tc>
        <w:tc>
          <w:tcPr>
            <w:tcW w:type="dxa" w:w="3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Income control (household, log-transformed)</w:t>
            </w:r>
          </w:p>
        </w:tc>
      </w:tr>
    </w:tbl>
    <w:p>
      <w:pPr>
        <w:pStyle w:val="Heading1"/>
        <w:spacing w:after="160" w:before="320"/>
      </w:pPr>
      <w:r>
        <w:rPr>
          <w:rFonts w:ascii="Times New Roman" w:cs="Times New Roman" w:eastAsia="Times New Roman" w:hAnsi="Times New Roman"/>
          <w:b/>
          <w:bCs/>
          <w:sz w:val="30"/>
          <w:szCs w:val="30"/>
        </w:rPr>
        <w:t xml:space="preserve">4. Construct operationalization and item mapping</w:t>
      </w:r>
    </w:p>
    <w:p>
      <w:pPr>
        <w:spacing w:after="160" w:before="0" w:line="276"/>
        <w:jc w:val="both"/>
      </w:pPr>
      <w:r>
        <w:rPr>
          <w:rFonts w:ascii="Times New Roman" w:cs="Times New Roman" w:eastAsia="Times New Roman" w:hAnsi="Times New Roman"/>
          <w:sz w:val="22"/>
          <w:szCs w:val="22"/>
        </w:rPr>
        <w:t xml:space="preserve">Each construct used in the analysis is a unit-weighted mean of its component items. The table below gives, for every construct, the source items (raw variable names as they appear in the data file), the exact item wording from the instrument, the response scale, and the internal-consistency reliability (Cronbach’s α) reported in the manuscript. Variable names follow the convention </w:t>
      </w:r>
      <w:r>
        <w:rPr>
          <w:rFonts w:ascii="Times New Roman" w:cs="Times New Roman" w:eastAsia="Times New Roman" w:hAnsi="Times New Roman"/>
          <w:i/>
          <w:iCs/>
          <w:sz w:val="22"/>
          <w:szCs w:val="22"/>
        </w:rPr>
        <w:t xml:space="preserve">q&lt;question&gt;_&lt;item&gt;</w:t>
      </w:r>
      <w:r>
        <w:rPr>
          <w:rFonts w:ascii="Times New Roman" w:cs="Times New Roman" w:eastAsia="Times New Roman" w:hAnsi="Times New Roman"/>
          <w:sz w:val="22"/>
          <w:szCs w:val="22"/>
        </w:rPr>
        <w:t xml:space="preserve">; for example, q7_17 is item 17 of question Q7. The data file stores Q7 items under the q7_ prefix and the identity items under the q2_ prefix.</w:t>
      </w:r>
    </w:p>
    <w:p>
      <w:pPr>
        <w:pStyle w:val="Heading2"/>
        <w:spacing w:after="120" w:before="260"/>
      </w:pPr>
      <w:r>
        <w:rPr>
          <w:rFonts w:ascii="Times New Roman" w:cs="Times New Roman" w:eastAsia="Times New Roman" w:hAnsi="Times New Roman"/>
          <w:b/>
          <w:bCs/>
          <w:sz w:val="26"/>
          <w:szCs w:val="26"/>
        </w:rPr>
        <w:t xml:space="preserve">4.1 Dependent variables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500"/>
        <w:gridCol w:w="4360"/>
        <w:gridCol w:w="1400"/>
      </w:tblGrid>
      <w:tr>
        <w:trPr>
          <w:tblHeader/>
        </w:trPr>
        <w:tc>
          <w:tcPr>
            <w:tcW w:type="dxa" w:w="21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Construct</w:t>
            </w:r>
          </w:p>
        </w:tc>
        <w:tc>
          <w:tcPr>
            <w:tcW w:type="dxa" w:w="1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Variables</w:t>
            </w:r>
          </w:p>
        </w:tc>
        <w:tc>
          <w:tcPr>
            <w:tcW w:type="dxa" w:w="43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Items (abbreviated)</w:t>
            </w:r>
          </w:p>
        </w:tc>
        <w:tc>
          <w:tcPr>
            <w:tcW w:type="dxa" w:w="1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α</w:t>
            </w:r>
          </w:p>
        </w:tc>
      </w:tr>
      <w:tr>
        <w:tc>
          <w:tcPr>
            <w:tcW w:type="dxa" w:w="21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Climate-response intention</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q7_17, q7_18, q7_22, q7_23</w:t>
            </w:r>
          </w:p>
        </w:tc>
        <w:tc>
          <w:tcPr>
            <w:tcW w:type="dxa" w:w="4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Willing to take practical action; buy energy-efficient appliances though costlier; join government policy projects under constraints; cooperate with policy in difficult times</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.842</w:t>
            </w:r>
          </w:p>
        </w:tc>
      </w:tr>
      <w:tr>
        <w:tc>
          <w:tcPr>
            <w:tcW w:type="dxa" w:w="21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Climate-response action</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q7_5, q7_6, q7_11, q7_12</w:t>
            </w:r>
          </w:p>
        </w:tc>
        <w:tc>
          <w:tcPr>
            <w:tcW w:type="dxa" w:w="43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Take more action than most; buy pricier products to help; participate in policy initiatives under constraints; cooperate with government policy when circumstances are difficult</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.789</w:t>
            </w:r>
          </w:p>
        </w:tc>
      </w:tr>
    </w:tbl>
    <w:p>
      <w:pPr>
        <w:spacing w:after="80"/>
      </w:pPr>
      <w:r>
        <w:rPr>
          <w:rFonts w:ascii="Times New Roman" w:cs="Times New Roman" w:eastAsia="Times New Roman" w:hAnsi="Times New Roman"/>
          <w:sz w:val="22"/>
          <w:szCs w:val="22"/>
        </w:rPr>
        <w:t xml:space="preserve"/>
      </w:r>
    </w:p>
    <w:p>
      <w:pPr>
        <w:pStyle w:val="Heading2"/>
        <w:spacing w:after="120" w:before="260"/>
      </w:pPr>
      <w:r>
        <w:rPr>
          <w:rFonts w:ascii="Times New Roman" w:cs="Times New Roman" w:eastAsia="Times New Roman" w:hAnsi="Times New Roman"/>
          <w:b/>
          <w:bCs/>
          <w:sz w:val="26"/>
          <w:szCs w:val="26"/>
        </w:rPr>
        <w:t xml:space="preserve">4.2 Psychometric risk-perception paradigm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4560"/>
        <w:gridCol w:w="1400"/>
      </w:tblGrid>
      <w:tr>
        <w:trPr>
          <w:tblHeader/>
        </w:trPr>
        <w:tc>
          <w:tcPr>
            <w:tcW w:type="dxa" w:w="19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Construct</w:t>
            </w:r>
          </w:p>
        </w:tc>
        <w:tc>
          <w:tcPr>
            <w:tcW w:type="dxa" w:w="1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Variables</w:t>
            </w:r>
          </w:p>
        </w:tc>
        <w:tc>
          <w:tcPr>
            <w:tcW w:type="dxa" w:w="45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Items (abbreviated)</w:t>
            </w:r>
          </w:p>
        </w:tc>
        <w:tc>
          <w:tcPr>
            <w:tcW w:type="dxa" w:w="1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α</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Perceived risk</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q7_73, q7_74</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Climate change will bring severe risks to humanity if unaddressed; significant personal risk if I do not act</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.828</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Perceived benefit</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q7_67, q7_68</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Solving climate change will bring enormous economic benefits; will lead to economic development</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.858</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Trust</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q8_1_1, q8_1_2</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Frequency of obtaining, and trust in, climate information provided by the Government (information source 1 in Q8/Q8-1)</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.788</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Negative feeling</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q7_79, q7_80</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 feel sad when I see climate change; I feel hopeless when I think about climate change</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.876</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Knowledge</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q7_103, q7_104</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 am well aware of the causes of climate change; I have considerable knowledge compared to others</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.711</w:t>
            </w:r>
          </w:p>
        </w:tc>
      </w:tr>
    </w:tbl>
    <w:p>
      <w:pPr>
        <w:spacing w:after="80"/>
      </w:pPr>
      <w:r>
        <w:rPr>
          <w:rFonts w:ascii="Times New Roman" w:cs="Times New Roman" w:eastAsia="Times New Roman" w:hAnsi="Times New Roman"/>
          <w:sz w:val="22"/>
          <w:szCs w:val="22"/>
        </w:rPr>
        <w:t xml:space="preserve"/>
      </w:r>
    </w:p>
    <w:p>
      <w:pPr>
        <w:pStyle w:val="Heading2"/>
        <w:spacing w:after="120" w:before="260"/>
      </w:pPr>
      <w:r>
        <w:rPr>
          <w:rFonts w:ascii="Times New Roman" w:cs="Times New Roman" w:eastAsia="Times New Roman" w:hAnsi="Times New Roman"/>
          <w:b/>
          <w:bCs/>
          <w:sz w:val="26"/>
          <w:szCs w:val="26"/>
        </w:rPr>
        <w:t xml:space="preserve">4.3 Theory of planned behavior and morality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4560"/>
        <w:gridCol w:w="1400"/>
      </w:tblGrid>
      <w:tr>
        <w:trPr>
          <w:tblHeader/>
        </w:trPr>
        <w:tc>
          <w:tcPr>
            <w:tcW w:type="dxa" w:w="19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Construct</w:t>
            </w:r>
          </w:p>
        </w:tc>
        <w:tc>
          <w:tcPr>
            <w:tcW w:type="dxa" w:w="1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Variables</w:t>
            </w:r>
          </w:p>
        </w:tc>
        <w:tc>
          <w:tcPr>
            <w:tcW w:type="dxa" w:w="45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Items (abbreviated)</w:t>
            </w:r>
          </w:p>
        </w:tc>
        <w:tc>
          <w:tcPr>
            <w:tcW w:type="dxa" w:w="1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α</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Attitude</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q7_45, q7_46</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Addressing climate change is more important than other environmental issues; more important than economic development</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.693</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Sense of control</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q7_51, q7_52</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Climate change can be addressed through my actions; I can contribute to solving it through my efforts</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.879</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Personal norm</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q7_47, q7_48</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 feel a moral obligation to address climate change for future generations; it is my ethical duty</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.818</w:t>
            </w:r>
          </w:p>
        </w:tc>
      </w:tr>
    </w:tbl>
    <w:p>
      <w:pPr>
        <w:spacing w:after="80"/>
      </w:pPr>
      <w:r>
        <w:rPr>
          <w:rFonts w:ascii="Times New Roman" w:cs="Times New Roman" w:eastAsia="Times New Roman" w:hAnsi="Times New Roman"/>
          <w:sz w:val="22"/>
          <w:szCs w:val="22"/>
        </w:rPr>
        <w:t xml:space="preserve"/>
      </w:r>
    </w:p>
    <w:p>
      <w:pPr>
        <w:pStyle w:val="Heading2"/>
        <w:spacing w:after="120" w:before="260"/>
      </w:pPr>
      <w:r>
        <w:rPr>
          <w:rFonts w:ascii="Times New Roman" w:cs="Times New Roman" w:eastAsia="Times New Roman" w:hAnsi="Times New Roman"/>
          <w:b/>
          <w:bCs/>
          <w:sz w:val="26"/>
          <w:szCs w:val="26"/>
        </w:rPr>
        <w:t xml:space="preserve">4.4 Identity (focal moderators)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1500"/>
        <w:gridCol w:w="4560"/>
        <w:gridCol w:w="1400"/>
      </w:tblGrid>
      <w:tr>
        <w:trPr>
          <w:tblHeader/>
        </w:trPr>
        <w:tc>
          <w:tcPr>
            <w:tcW w:type="dxa" w:w="19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Construct</w:t>
            </w:r>
          </w:p>
        </w:tc>
        <w:tc>
          <w:tcPr>
            <w:tcW w:type="dxa" w:w="15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Variables</w:t>
            </w:r>
          </w:p>
        </w:tc>
        <w:tc>
          <w:tcPr>
            <w:tcW w:type="dxa" w:w="45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Items (abbreviated)</w:t>
            </w:r>
          </w:p>
        </w:tc>
        <w:tc>
          <w:tcPr>
            <w:tcW w:type="dxa" w:w="1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α</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Global identity</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q2_1, q2_2, rq2_3</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My interests are mainly global rather than local; I think of myself as a world citizen; (reverse-coded) I am more interested in my local region than the whole world</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.635</w:t>
            </w:r>
          </w:p>
        </w:tc>
      </w:tr>
      <w:tr>
        <w:tc>
          <w:tcPr>
            <w:tcW w:type="dxa" w:w="19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National identity</w:t>
            </w:r>
          </w:p>
        </w:tc>
        <w:tc>
          <w:tcPr>
            <w:tcW w:type="dxa" w:w="15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q2_11, q2_12, q2_13</w:t>
            </w:r>
          </w:p>
        </w:tc>
        <w:tc>
          <w:tcPr>
            <w:tcW w:type="dxa" w:w="45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 am proud to be a citizen of Korea; Korea’s superiority is a source of national pride; I feel a strong sense of belonging to my country</w:t>
            </w:r>
          </w:p>
        </w:tc>
        <w:tc>
          <w:tcPr>
            <w:tcW w:type="dxa" w:w="1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sz w:val="20"/>
                <w:szCs w:val="20"/>
              </w:rPr>
              <w:t xml:space="preserve">.869</w:t>
            </w:r>
          </w:p>
        </w:tc>
      </w:tr>
    </w:tbl>
    <w:p>
      <w:pPr>
        <w:spacing w:after="120" w:before="0" w:line="276"/>
        <w:jc w:val="both"/>
      </w:pPr>
      <w:r>
        <w:rPr>
          <w:rFonts w:ascii="Times New Roman" w:cs="Times New Roman" w:eastAsia="Times New Roman" w:hAnsi="Times New Roman"/>
          <w:i/>
          <w:iCs/>
          <w:sz w:val="20"/>
          <w:szCs w:val="20"/>
        </w:rPr>
        <w:t xml:space="preserve">Note. </w:t>
      </w:r>
      <w:r>
        <w:rPr>
          <w:rFonts w:ascii="Times New Roman" w:cs="Times New Roman" w:eastAsia="Times New Roman" w:hAnsi="Times New Roman"/>
          <w:sz w:val="20"/>
          <w:szCs w:val="20"/>
        </w:rPr>
        <w:t xml:space="preserve">rq2_3 is the reverse-coded version of q2_3, recoded 1→5, 2→4, 3→3, 4→2, 5→1 so that higher values denote stronger global orientation before averaging. The comparatively lower α for global identity reflects the breadth of the construct and the inclusion of a reverse-coded item, and is consistent with values reported for short global-identity measures.</w:t>
      </w:r>
    </w:p>
    <w:p>
      <w:pPr>
        <w:pStyle w:val="Heading1"/>
        <w:spacing w:after="160" w:before="320"/>
      </w:pPr>
      <w:r>
        <w:rPr>
          <w:rFonts w:ascii="Times New Roman" w:cs="Times New Roman" w:eastAsia="Times New Roman" w:hAnsi="Times New Roman"/>
          <w:b/>
          <w:bCs/>
          <w:sz w:val="30"/>
          <w:szCs w:val="30"/>
        </w:rPr>
        <w:t xml:space="preserve">5. Control variables and transformations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4760"/>
      </w:tblGrid>
      <w:tr>
        <w:trPr>
          <w:tblHeader/>
        </w:trPr>
        <w:tc>
          <w:tcPr>
            <w:tcW w:type="dxa" w:w="22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Control</w:t>
            </w:r>
          </w:p>
        </w:tc>
        <w:tc>
          <w:tcPr>
            <w:tcW w:type="dxa" w:w="24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Source / new variable</w:t>
            </w:r>
          </w:p>
        </w:tc>
        <w:tc>
          <w:tcPr>
            <w:tcW w:type="dxa" w:w="47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Definition</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Gender</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SQ1 → gender</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Recoded 1 (male) = 0, 2 (female) = 1</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Age</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SQ2 (also sq2_n2)</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Age in completed years (open-ended); age bands (sq2_n2) used for descriptive ANOVA</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Education (dummy)</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SQ4 → edudummy</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SQ4 categories 1–4 = 0 (high school or below), 5–8 = 1 (junior college or above)</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Education (group)</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SQ4 → educationgroup</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1–4 = 1 (≤ high school), 5–8 = 2 (≥ junior college); used in descriptive tables</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Income</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BQ7 → income</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Natural-log transform of total monthly household income: income = LN(BQ7)</w:t>
            </w:r>
          </w:p>
        </w:tc>
      </w:tr>
      <w:tr>
        <w:tc>
          <w:tcPr>
            <w:tcW w:type="dxa" w:w="22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Income (group)</w:t>
            </w:r>
          </w:p>
        </w:tc>
        <w:tc>
          <w:tcPr>
            <w:tcW w:type="dxa" w:w="24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BQ7 → incomethreegroup</w:t>
            </w:r>
          </w:p>
        </w:tc>
        <w:tc>
          <w:tcPr>
            <w:tcW w:type="dxa" w:w="4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 3.0M KRW = 1; 3.01–5.0M = 2; ≥ 5.01M = 3 (descriptive use)</w:t>
            </w:r>
          </w:p>
        </w:tc>
      </w:tr>
    </w:tbl>
    <w:p>
      <w:pPr>
        <w:pStyle w:val="Heading1"/>
        <w:spacing w:after="160" w:before="320"/>
      </w:pPr>
      <w:r>
        <w:rPr>
          <w:rFonts w:ascii="Times New Roman" w:cs="Times New Roman" w:eastAsia="Times New Roman" w:hAnsi="Times New Roman"/>
          <w:b/>
          <w:bCs/>
          <w:sz w:val="30"/>
          <w:szCs w:val="30"/>
        </w:rPr>
        <w:t xml:space="preserve">6. Scale-construction protocol</w:t>
      </w:r>
    </w:p>
    <w:p>
      <w:pPr>
        <w:spacing w:after="160" w:before="0" w:line="276"/>
        <w:jc w:val="both"/>
      </w:pPr>
      <w:r>
        <w:rPr>
          <w:rFonts w:ascii="Times New Roman" w:cs="Times New Roman" w:eastAsia="Times New Roman" w:hAnsi="Times New Roman"/>
          <w:sz w:val="22"/>
          <w:szCs w:val="22"/>
        </w:rPr>
        <w:t xml:space="preserve">All multi-item constructs were built with the following standardized procedure, applied in the analysis syntax:</w:t>
      </w:r>
    </w:p>
    <w:p>
      <w:pPr>
        <w:pStyle w:val="ListParagraph"/>
        <w:numPr>
          <w:ilvl w:val="0"/>
          <w:numId w:val="2"/>
        </w:numPr>
        <w:spacing w:after="80" w:line="276"/>
        <w:jc w:val="both"/>
      </w:pPr>
      <w:r>
        <w:rPr>
          <w:rFonts w:ascii="Times New Roman" w:cs="Times New Roman" w:eastAsia="Times New Roman" w:hAnsi="Times New Roman"/>
          <w:b/>
          <w:bCs/>
          <w:sz w:val="22"/>
          <w:szCs w:val="22"/>
        </w:rPr>
        <w:t xml:space="preserve">Reverse-coding. </w:t>
      </w:r>
      <w:r>
        <w:rPr>
          <w:rFonts w:ascii="Times New Roman" w:cs="Times New Roman" w:eastAsia="Times New Roman" w:hAnsi="Times New Roman"/>
          <w:sz w:val="22"/>
          <w:szCs w:val="22"/>
        </w:rPr>
        <w:t xml:space="preserve">Items worded against the construct direction were reverse-coded before aggregation (q2_3 → rq2_3 for global identity).</w:t>
      </w:r>
    </w:p>
    <w:p>
      <w:pPr>
        <w:pStyle w:val="ListParagraph"/>
        <w:numPr>
          <w:ilvl w:val="0"/>
          <w:numId w:val="2"/>
        </w:numPr>
        <w:spacing w:after="80" w:line="276"/>
        <w:jc w:val="both"/>
      </w:pPr>
      <w:r>
        <w:rPr>
          <w:rFonts w:ascii="Times New Roman" w:cs="Times New Roman" w:eastAsia="Times New Roman" w:hAnsi="Times New Roman"/>
          <w:b/>
          <w:bCs/>
          <w:sz w:val="22"/>
          <w:szCs w:val="22"/>
        </w:rPr>
        <w:t xml:space="preserve">Reliability check. </w:t>
      </w:r>
      <w:r>
        <w:rPr>
          <w:rFonts w:ascii="Times New Roman" w:cs="Times New Roman" w:eastAsia="Times New Roman" w:hAnsi="Times New Roman"/>
          <w:sz w:val="22"/>
          <w:szCs w:val="22"/>
        </w:rPr>
        <w:t xml:space="preserve">For each construct, Cronbach’s α was computed over its component items (RELIABILITY procedure with the ALPHA model and scale/total statistics).</w:t>
      </w:r>
    </w:p>
    <w:p>
      <w:pPr>
        <w:pStyle w:val="ListParagraph"/>
        <w:numPr>
          <w:ilvl w:val="0"/>
          <w:numId w:val="2"/>
        </w:numPr>
        <w:spacing w:after="80" w:line="276"/>
        <w:jc w:val="both"/>
      </w:pPr>
      <w:r>
        <w:rPr>
          <w:rFonts w:ascii="Times New Roman" w:cs="Times New Roman" w:eastAsia="Times New Roman" w:hAnsi="Times New Roman"/>
          <w:b/>
          <w:bCs/>
          <w:sz w:val="22"/>
          <w:szCs w:val="22"/>
        </w:rPr>
        <w:t xml:space="preserve">Aggregation. </w:t>
      </w:r>
      <w:r>
        <w:rPr>
          <w:rFonts w:ascii="Times New Roman" w:cs="Times New Roman" w:eastAsia="Times New Roman" w:hAnsi="Times New Roman"/>
          <w:sz w:val="22"/>
          <w:szCs w:val="22"/>
        </w:rPr>
        <w:t xml:space="preserve">Each construct score was computed as the unit-weighted mean of its (reverse-coded where applicable) items using the MEAN function, which is robust to item-level missingness.</w:t>
      </w:r>
    </w:p>
    <w:p>
      <w:pPr>
        <w:pStyle w:val="ListParagraph"/>
        <w:numPr>
          <w:ilvl w:val="0"/>
          <w:numId w:val="2"/>
        </w:numPr>
        <w:spacing w:after="80" w:line="276"/>
        <w:jc w:val="both"/>
      </w:pPr>
      <w:r>
        <w:rPr>
          <w:rFonts w:ascii="Times New Roman" w:cs="Times New Roman" w:eastAsia="Times New Roman" w:hAnsi="Times New Roman"/>
          <w:b/>
          <w:bCs/>
          <w:sz w:val="22"/>
          <w:szCs w:val="22"/>
        </w:rPr>
        <w:t xml:space="preserve">Income transformation. </w:t>
      </w:r>
      <w:r>
        <w:rPr>
          <w:rFonts w:ascii="Times New Roman" w:cs="Times New Roman" w:eastAsia="Times New Roman" w:hAnsi="Times New Roman"/>
          <w:sz w:val="22"/>
          <w:szCs w:val="22"/>
        </w:rPr>
        <w:t xml:space="preserve">Household income (BQ7) was log-transformed to reduce right skew prior to entry into the regression models.</w:t>
      </w:r>
    </w:p>
    <w:p>
      <w:pPr>
        <w:spacing w:after="160" w:before="80" w:line="276"/>
        <w:jc w:val="both"/>
      </w:pPr>
      <w:r>
        <w:rPr>
          <w:rFonts w:ascii="Times New Roman" w:cs="Times New Roman" w:eastAsia="Times New Roman" w:hAnsi="Times New Roman"/>
          <w:sz w:val="22"/>
          <w:szCs w:val="22"/>
        </w:rPr>
        <w:t xml:space="preserve">The resulting construct scores retain the original 1–5 metric, so means and standard deviations are directly interpretable on the response scale.</w:t>
      </w:r>
    </w:p>
    <w:p>
      <w:pPr>
        <w:pStyle w:val="Heading1"/>
        <w:spacing w:after="160" w:before="320"/>
      </w:pPr>
      <w:r>
        <w:rPr>
          <w:rFonts w:ascii="Times New Roman" w:cs="Times New Roman" w:eastAsia="Times New Roman" w:hAnsi="Times New Roman"/>
          <w:b/>
          <w:bCs/>
          <w:sz w:val="30"/>
          <w:szCs w:val="30"/>
        </w:rPr>
        <w:t xml:space="preserve">7. Analytic protocol</w:t>
      </w:r>
    </w:p>
    <w:p>
      <w:pPr>
        <w:spacing w:after="160" w:before="0" w:line="276"/>
        <w:jc w:val="both"/>
      </w:pPr>
      <w:r>
        <w:rPr>
          <w:rFonts w:ascii="Times New Roman" w:cs="Times New Roman" w:eastAsia="Times New Roman" w:hAnsi="Times New Roman"/>
          <w:sz w:val="22"/>
          <w:szCs w:val="22"/>
        </w:rPr>
        <w:t xml:space="preserve">The analysis proceeded in four stages, mirroring the order of results in the manuscript:</w:t>
      </w:r>
    </w:p>
    <w:p>
      <w:pPr>
        <w:spacing w:after="100" w:before="200"/>
      </w:pPr>
      <w:r>
        <w:rPr>
          <w:rFonts w:ascii="Times New Roman" w:cs="Times New Roman" w:eastAsia="Times New Roman" w:hAnsi="Times New Roman"/>
          <w:b/>
          <w:bCs/>
          <w:sz w:val="23"/>
          <w:szCs w:val="23"/>
        </w:rPr>
        <w:t xml:space="preserve">Stage 1 — Descriptive distributions and group differences</w:t>
      </w:r>
    </w:p>
    <w:p>
      <w:pPr>
        <w:spacing w:after="160" w:before="0" w:line="276"/>
        <w:jc w:val="both"/>
      </w:pPr>
      <w:r>
        <w:rPr>
          <w:rFonts w:ascii="Times New Roman" w:cs="Times New Roman" w:eastAsia="Times New Roman" w:hAnsi="Times New Roman"/>
          <w:sz w:val="22"/>
          <w:szCs w:val="22"/>
        </w:rPr>
        <w:t xml:space="preserve">Frequency distributions were produced for the intention items (q7_17, q7_18, q7_22, q7_23), the action items (q7_5, q7_6, q7_11, q7_12), the national-identity items (q2_11, q2_12, q2_13), and the global-identity items (q2_1, q2_2, rq2_3). Group differences in intention, action, global identity, and national identity were tested across sex (SQ1), age band (sq2_n2), education group (educationgroup), and income group (incomethreegroup) using one-way analysis of variance (MEANS with the ANOVA statistic; cells reporting mean, count, and standard deviation).</w:t>
      </w:r>
    </w:p>
    <w:p>
      <w:pPr>
        <w:spacing w:after="100" w:before="200"/>
      </w:pPr>
      <w:r>
        <w:rPr>
          <w:rFonts w:ascii="Times New Roman" w:cs="Times New Roman" w:eastAsia="Times New Roman" w:hAnsi="Times New Roman"/>
          <w:b/>
          <w:bCs/>
          <w:sz w:val="23"/>
          <w:szCs w:val="23"/>
        </w:rPr>
        <w:t xml:space="preserve">Stage 2 — Bivariate correlations</w:t>
      </w:r>
    </w:p>
    <w:p>
      <w:pPr>
        <w:spacing w:after="160" w:before="0" w:line="276"/>
        <w:jc w:val="both"/>
      </w:pPr>
      <w:r>
        <w:rPr>
          <w:rFonts w:ascii="Times New Roman" w:cs="Times New Roman" w:eastAsia="Times New Roman" w:hAnsi="Times New Roman"/>
          <w:sz w:val="22"/>
          <w:szCs w:val="22"/>
        </w:rPr>
        <w:t xml:space="preserve">A Pearson correlation matrix was estimated among the two outcomes and all ten predictors (perceived risk, perceived benefit, trust, negative feeling, knowledge, attitude, personal norm, sense of control, global identity, national identity), with two-tailed significance and pairwise deletion of missing data.</w:t>
      </w:r>
    </w:p>
    <w:p>
      <w:pPr>
        <w:spacing w:after="100" w:before="200"/>
      </w:pPr>
      <w:r>
        <w:rPr>
          <w:rFonts w:ascii="Times New Roman" w:cs="Times New Roman" w:eastAsia="Times New Roman" w:hAnsi="Times New Roman"/>
          <w:b/>
          <w:bCs/>
          <w:sz w:val="23"/>
          <w:szCs w:val="23"/>
        </w:rPr>
        <w:t xml:space="preserve">Stage 3 — Direct effects (OLS regression)</w:t>
      </w:r>
    </w:p>
    <w:p>
      <w:pPr>
        <w:spacing w:after="160" w:before="0" w:line="276"/>
        <w:jc w:val="both"/>
      </w:pPr>
      <w:r>
        <w:rPr>
          <w:rFonts w:ascii="Times New Roman" w:cs="Times New Roman" w:eastAsia="Times New Roman" w:hAnsi="Times New Roman"/>
          <w:sz w:val="22"/>
          <w:szCs w:val="22"/>
        </w:rPr>
        <w:t xml:space="preserve">Two ordinary least squares models were estimated, one for climate-response intention and one for climate-response action. Each model entered, simultaneously, the sociodemographic controls (gender, age, edudummy, log income), the five risk-paradigm factors, the three planned-behavior/morality factors, and the two identities. Models used listwise deletion and reported standardized and unstandardized coefficients, collinearity diagnostics (tolerance), R² change, and the Durbin–Watson statistic for residual independence.</w:t>
      </w:r>
    </w:p>
    <w:p>
      <w:pPr>
        <w:spacing w:after="100" w:before="200"/>
      </w:pPr>
      <w:r>
        <w:rPr>
          <w:rFonts w:ascii="Times New Roman" w:cs="Times New Roman" w:eastAsia="Times New Roman" w:hAnsi="Times New Roman"/>
          <w:b/>
          <w:bCs/>
          <w:sz w:val="23"/>
          <w:szCs w:val="23"/>
        </w:rPr>
        <w:t xml:space="preserve">Stage 4 — Moderation analyses</w:t>
      </w:r>
    </w:p>
    <w:p>
      <w:pPr>
        <w:spacing w:after="160" w:before="0" w:line="276"/>
        <w:jc w:val="both"/>
      </w:pPr>
      <w:r>
        <w:rPr>
          <w:rFonts w:ascii="Times New Roman" w:cs="Times New Roman" w:eastAsia="Times New Roman" w:hAnsi="Times New Roman"/>
          <w:sz w:val="22"/>
          <w:szCs w:val="22"/>
        </w:rPr>
        <w:t xml:space="preserve">Interaction terms were formed between each moderating identity and the focal predictors, and between national identity and global identity. Significant interactions were retained and probed with simple-slope analysis, evaluating the focal predictor’s effect at one standard deviation below the mean, at the mean, and at one standard deviation above the mean of the moderator. Nine significant interactions were carried forward and plotted as simple-slope figures in the manuscript.</w:t>
      </w:r>
    </w:p>
    <w:p>
      <w:pPr>
        <w:pStyle w:val="Heading1"/>
        <w:spacing w:after="160" w:before="320"/>
      </w:pPr>
      <w:r>
        <w:rPr>
          <w:rFonts w:ascii="Times New Roman" w:cs="Times New Roman" w:eastAsia="Times New Roman" w:hAnsi="Times New Roman"/>
          <w:b/>
          <w:bCs/>
          <w:sz w:val="30"/>
          <w:szCs w:val="30"/>
        </w:rPr>
        <w:t xml:space="preserve">8. Reproducibility map: manuscript outputs to source procedures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Manuscript output</w:t>
            </w:r>
          </w:p>
        </w:tc>
        <w:tc>
          <w:tcPr>
            <w:tcW w:type="dxa" w:w="6760"/>
            <w:tcBorders>
              <w:top w:val="single" w:color="BBBBBB" w:sz="1"/>
              <w:left w:val="single" w:color="BBBBBB" w:sz="1"/>
              <w:bottom w:val="single" w:color="BBBBBB" w:sz="1"/>
              <w:right w:val="single" w:color="BBBBBB" w:sz="1"/>
            </w:tcBorders>
            <w:shd w:fill="D9E2EC" w:val="clear"/>
            <w:tcMar>
              <w:top w:type="dxa" w:w="60"/>
              <w:left w:type="dxa" w:w="100"/>
              <w:bottom w:type="dxa" w:w="60"/>
              <w:right w:type="dxa" w:w="100"/>
            </w:tcMar>
            <w:vAlign w:val="center"/>
          </w:tcPr>
          <w:p>
            <w:pPr>
              <w:spacing w:after="0" w:line="252"/>
              <w:jc w:val="center"/>
            </w:pPr>
            <w:r>
              <w:rPr>
                <w:rFonts w:ascii="Times New Roman" w:cs="Times New Roman" w:eastAsia="Times New Roman" w:hAnsi="Times New Roman"/>
                <w:b/>
                <w:bCs/>
                <w:sz w:val="20"/>
                <w:szCs w:val="20"/>
              </w:rPr>
              <w:t xml:space="preserve">Source procedure / variables</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Table 1 (measurement, α)</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RELIABILITY on each construct’s component items; wording from instrument Q2/Q7/Q8</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Figures 2–3 (distributions)</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FREQUENCIES on intention, action, national-identity, and global-identity items</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Table 2 (ANOVA)</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MEANS … BY SQ1 sq2_n2 educationgroup incomethreegroup / STATISTICS ANOVA</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Table 3 (correlations)</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CORRELATIONS among the two outcomes and ten predictors (pairwise, two-tailed)</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Table 4 (OLS direct effects)</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REGRESSION /DEPENDENT intention, action /METHOD ENTER controls + predictors + identities</w:t>
            </w:r>
          </w:p>
        </w:tc>
      </w:tr>
      <w:tr>
        <w:tc>
          <w:tcPr>
            <w:tcW w:type="dxa" w:w="260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Figures 4–12, Table 5, Appendix A</w:t>
            </w:r>
          </w:p>
        </w:tc>
        <w:tc>
          <w:tcPr>
            <w:tcW w:type="dxa" w:w="6760"/>
            <w:tcBorders>
              <w:top w:val="single" w:color="BBBBBB" w:sz="1"/>
              <w:left w:val="single" w:color="BBBBBB" w:sz="1"/>
              <w:bottom w:val="single" w:color="BBBBBB" w:sz="1"/>
              <w:right w:val="single" w:color="BBBBBB" w:sz="1"/>
            </w:tcBorders>
            <w:tcMar>
              <w:top w:type="dxa" w:w="60"/>
              <w:left w:type="dxa" w:w="100"/>
              <w:bottom w:type="dxa" w:w="60"/>
              <w:right w:type="dxa" w:w="100"/>
            </w:tcMar>
            <w:vAlign w:val="center"/>
          </w:tcPr>
          <w:p>
            <w:pPr>
              <w:spacing w:after="0" w:line="252"/>
              <w:jc w:val="left"/>
            </w:pPr>
            <w:r>
              <w:rPr>
                <w:rFonts w:ascii="Times New Roman" w:cs="Times New Roman" w:eastAsia="Times New Roman" w:hAnsi="Times New Roman"/>
                <w:sz w:val="20"/>
                <w:szCs w:val="20"/>
              </w:rPr>
              <w:t xml:space="preserve">Interaction terms + simple-slope tests at ±1 SD of each moderator</w:t>
            </w:r>
          </w:p>
        </w:tc>
      </w:tr>
    </w:tbl>
    <w:p>
      <w:pPr>
        <w:pStyle w:val="Heading1"/>
        <w:spacing w:after="160" w:before="320"/>
      </w:pPr>
      <w:r>
        <w:rPr>
          <w:rFonts w:ascii="Times New Roman" w:cs="Times New Roman" w:eastAsia="Times New Roman" w:hAnsi="Times New Roman"/>
          <w:b/>
          <w:bCs/>
          <w:sz w:val="30"/>
          <w:szCs w:val="30"/>
        </w:rPr>
        <w:t xml:space="preserve">9. Ethics, consent, and data availability</w:t>
      </w:r>
    </w:p>
    <w:p>
      <w:pPr>
        <w:spacing w:after="160" w:before="0" w:line="276"/>
        <w:jc w:val="both"/>
      </w:pPr>
      <w:r>
        <w:rPr>
          <w:rFonts w:ascii="Times New Roman" w:cs="Times New Roman" w:eastAsia="Times New Roman" w:hAnsi="Times New Roman"/>
          <w:sz w:val="22"/>
          <w:szCs w:val="22"/>
        </w:rPr>
        <w:t xml:space="preserve">Participation was voluntary and based on the panel’s standing consent procedures; the survey introduction informed respondents of the academic and policy purpose of the study and guaranteed that responses would be used only in aggregate statistical form. No directly identifying information is retained in the analytic file, in which respondents are referenced solely by an anonymous identifier (PID). The raw respondent-level data (N = 1,552), the codebook, the full instrument, and the analysis syntax are available from the corresponding author on reasonable request, subject to the terms under which the survey panel data were collected.</w:t>
      </w:r>
    </w:p>
    <w:p>
      <w:pPr>
        <w:spacing w:after="40" w:before="0" w:line="276"/>
        <w:jc w:val="both"/>
      </w:pPr>
      <w:r>
        <w:rPr>
          <w:rFonts w:ascii="Times New Roman" w:cs="Times New Roman" w:eastAsia="Times New Roman" w:hAnsi="Times New Roman"/>
          <w:sz w:val="22"/>
          <w:szCs w:val="22"/>
        </w:rPr>
        <w:t xml:space="preserve">Correspondence concerning the instrument, data, or protocols should be directed to Seoyong Kim, Department of Public Administration, Ajou University, Suwon 16499, Republic of Korea (seoyongkim@ajou.ac.kr; Tel. +82-31-219-2742).</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777777"/>
        <w:sz w:val="18"/>
        <w:szCs w:val="18"/>
      </w:rPr>
      <w:t xml:space="preserve">2023 Energy Survey — Instruments and Protocols    |    </w:t>
    </w:r>
    <w:r>
      <w:rPr>
        <w:rFonts w:ascii="Times New Roman" w:cs="Times New Roman" w:eastAsia="Times New Roman" w:hAnsi="Times New Roman"/>
        <w:color w:val="777777"/>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Times New Roman" w:cs="Times New Roman" w:eastAsia="Times New Roman" w:hAnsi="Times New Roman"/>
      <w:b/>
      <w:bCs/>
      <w:color w:val="1F3A5F"/>
      <w:sz w:val="30"/>
      <w:szCs w:val="30"/>
    </w:rPr>
  </w:style>
  <w:style w:type="paragraph" w:styleId="Heading2">
    <w:name w:val="Heading 2"/>
    <w:basedOn w:val="Normal"/>
    <w:next w:val="Normal"/>
    <w:qFormat/>
    <w:pPr>
      <w:spacing w:after="120" w:before="240"/>
      <w:outlineLvl w:val="1"/>
    </w:pPr>
    <w:rPr>
      <w:rFonts w:ascii="Times New Roman" w:cs="Times New Roman" w:eastAsia="Times New Roman" w:hAnsi="Times New Roman"/>
      <w:b/>
      <w:bCs/>
      <w:color w:val="2E5C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2026-06-14T07:19:16.038Z</dcterms:created>
  <dcterms:modified xsi:type="dcterms:W3CDTF">2026-06-14T07:19:16.038Z</dcterms:modified>
</cp:coreProperties>
</file>

<file path=docProps/custom.xml><?xml version="1.0" encoding="utf-8"?>
<Properties xmlns="http://schemas.openxmlformats.org/officeDocument/2006/custom-properties" xmlns:vt="http://schemas.openxmlformats.org/officeDocument/2006/docPropsVTypes"/>
</file>