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88AB" w14:textId="77777777" w:rsidR="004333FC" w:rsidRDefault="004333FC" w:rsidP="004333FC">
      <w:pPr>
        <w:rPr>
          <w:b/>
          <w:bCs/>
        </w:rPr>
      </w:pPr>
      <w:r>
        <w:rPr>
          <w:b/>
          <w:bCs/>
        </w:rPr>
        <w:t>Appendix A: Instrumental Variable (IV) Strategy</w:t>
      </w:r>
    </w:p>
    <w:p w14:paraId="7C4CC350" w14:textId="77777777" w:rsidR="004333FC" w:rsidRDefault="004333FC" w:rsidP="004333FC">
      <w:r>
        <w:t xml:space="preserve">In the main text, we introduce the instrumental variable (IV) strategy to solve the endogeneity issue regarding racial composition; our IV is historical racial composition. For Seattle, the </w:t>
      </w:r>
      <w:r w:rsidRPr="00FB00C2">
        <w:t xml:space="preserve">1990 census is the earliest census with consistent census tracts </w:t>
      </w:r>
      <w:r>
        <w:t>aligning</w:t>
      </w:r>
      <w:r w:rsidRPr="00FB00C2">
        <w:t xml:space="preserve"> with current data</w:t>
      </w:r>
      <w:r w:rsidRPr="00BD02E7">
        <w:t>.</w:t>
      </w:r>
      <w:r w:rsidRPr="00965394">
        <w:t xml:space="preserve"> </w:t>
      </w:r>
    </w:p>
    <w:p w14:paraId="27EDC0EF" w14:textId="77777777" w:rsidR="004333FC" w:rsidRDefault="004333FC" w:rsidP="004333FC">
      <w:pPr>
        <w:ind w:firstLine="720"/>
      </w:pPr>
      <w:r>
        <w:t>An</w:t>
      </w:r>
      <w:r w:rsidRPr="008D307C">
        <w:t xml:space="preserve"> ideal IV would be the random assignment of a “treatment” that </w:t>
      </w:r>
      <w:r>
        <w:t>affects the outcome</w:t>
      </w:r>
      <w:r w:rsidRPr="008D307C">
        <w:t xml:space="preserve"> solely through its effect on the endogenous variable. This setting</w:t>
      </w:r>
      <w:r>
        <w:t xml:space="preserve"> </w:t>
      </w:r>
      <w:r w:rsidRPr="008D307C">
        <w:t xml:space="preserve">is </w:t>
      </w:r>
      <w:r>
        <w:t>often</w:t>
      </w:r>
      <w:r w:rsidRPr="008D307C">
        <w:t xml:space="preserve"> impossible in social science</w:t>
      </w:r>
      <w:r>
        <w:t>, but statisticians propose principles to similarly test the validity of the IV. An</w:t>
      </w:r>
      <w:r w:rsidRPr="008D307C">
        <w:t xml:space="preserve"> alternative IV must still satisfy two conditions similar to those met by</w:t>
      </w:r>
      <w:r>
        <w:t xml:space="preserve"> a</w:t>
      </w:r>
      <w:r w:rsidRPr="008D307C">
        <w:t xml:space="preserve"> random treatment:</w:t>
      </w:r>
      <w:r>
        <w:t xml:space="preserve"> </w:t>
      </w:r>
      <w:r w:rsidRPr="008D307C">
        <w:t xml:space="preserve">it must </w:t>
      </w:r>
      <w:r>
        <w:t xml:space="preserve">be a strong predictor of </w:t>
      </w:r>
      <w:r w:rsidRPr="008D307C">
        <w:t>the endogenous variable</w:t>
      </w:r>
      <w:r>
        <w:t xml:space="preserve"> (“first-stage regression”), and must</w:t>
      </w:r>
      <w:r w:rsidRPr="008D307C">
        <w:t xml:space="preserve"> affect the dependent variable only through the endogenous variable (“exclusion restriction”).</w:t>
      </w:r>
    </w:p>
    <w:p w14:paraId="670F67D0" w14:textId="77777777" w:rsidR="004333FC" w:rsidRDefault="004333FC" w:rsidP="004333FC">
      <w:r>
        <w:tab/>
        <w:t>Therefore, we</w:t>
      </w:r>
      <w:r w:rsidRPr="00BD02E7">
        <w:t xml:space="preserve"> must identify a strong predictor of racial composition that does not affect graffiti reporting through channel</w:t>
      </w:r>
      <w:r>
        <w:t>s</w:t>
      </w:r>
      <w:r w:rsidRPr="00BD02E7">
        <w:t xml:space="preserve"> other than racial composition. </w:t>
      </w:r>
    </w:p>
    <w:p w14:paraId="550E9258" w14:textId="77777777" w:rsidR="004333FC" w:rsidRDefault="004333FC" w:rsidP="004333FC">
      <w:pPr>
        <w:ind w:firstLine="720"/>
      </w:pPr>
      <w:r w:rsidRPr="00D348DA">
        <w:t xml:space="preserve">The intuition behind </w:t>
      </w:r>
      <w:r>
        <w:t>our proposed historical</w:t>
      </w:r>
      <w:r w:rsidRPr="00D348DA">
        <w:t xml:space="preserve"> IV is that</w:t>
      </w:r>
      <w:r>
        <w:t xml:space="preserve"> a minority population </w:t>
      </w:r>
      <w:r w:rsidRPr="00D348DA">
        <w:t>replicate</w:t>
      </w:r>
      <w:r>
        <w:t>s</w:t>
      </w:r>
      <w:r w:rsidRPr="00D348DA">
        <w:t xml:space="preserve"> earlier settlers’ residential patterns. </w:t>
      </w:r>
      <w:r>
        <w:t>H</w:t>
      </w:r>
      <w:r w:rsidRPr="00D348DA">
        <w:t>istorical and present composition are separated by a long time span that recent settlers</w:t>
      </w:r>
      <w:r>
        <w:t xml:space="preserve"> may</w:t>
      </w:r>
      <w:r w:rsidRPr="00D348DA">
        <w:t xml:space="preserve"> follow earlier settlers’ patterns but differ </w:t>
      </w:r>
      <w:r>
        <w:t>considerabl</w:t>
      </w:r>
      <w:r w:rsidRPr="00D348DA">
        <w:t>y in size,</w:t>
      </w:r>
      <w:r>
        <w:t xml:space="preserve"> along with substantial changes in</w:t>
      </w:r>
      <w:r w:rsidRPr="00D348DA">
        <w:t xml:space="preserve"> local social</w:t>
      </w:r>
      <w:r>
        <w:t>, cultural,</w:t>
      </w:r>
      <w:r w:rsidRPr="00D348DA">
        <w:t xml:space="preserve"> and economic landscapes</w:t>
      </w:r>
      <w:r>
        <w:t>, such as graffiti in terms of creation, reporting system and technology, and attitudes</w:t>
      </w:r>
      <w:r w:rsidRPr="00D348DA">
        <w:t>.</w:t>
      </w:r>
      <w:r>
        <w:t xml:space="preserve"> </w:t>
      </w:r>
    </w:p>
    <w:p w14:paraId="2B111682" w14:textId="77777777" w:rsidR="004333FC" w:rsidRDefault="004333FC" w:rsidP="004333FC">
      <w:pPr>
        <w:ind w:firstLine="720"/>
        <w:rPr>
          <w:iCs/>
        </w:rPr>
      </w:pPr>
      <w:r w:rsidRPr="00FB00C2">
        <w:t>As a historically white city, Seattle experienced a sharp increase in</w:t>
      </w:r>
      <w:r>
        <w:t xml:space="preserve"> the</w:t>
      </w:r>
      <w:r w:rsidRPr="00FB00C2">
        <w:t xml:space="preserve"> minority </w:t>
      </w:r>
      <w:r>
        <w:t>population</w:t>
      </w:r>
      <w:r w:rsidRPr="00FB00C2">
        <w:t xml:space="preserve"> due to </w:t>
      </w:r>
      <w:r>
        <w:t>immigration waves</w:t>
      </w:r>
      <w:r w:rsidRPr="00FB00C2">
        <w:t xml:space="preserve"> </w:t>
      </w:r>
      <w:r>
        <w:t xml:space="preserve">only </w:t>
      </w:r>
      <w:r w:rsidRPr="00FB00C2">
        <w:t xml:space="preserve">after </w:t>
      </w:r>
      <w:r>
        <w:t>1990. T</w:t>
      </w:r>
      <w:r w:rsidRPr="00FB00C2">
        <w:t xml:space="preserve">herefore, this IV follows the logic of ensuring a long time span between historical and present </w:t>
      </w:r>
      <w:r>
        <w:t>demographics</w:t>
      </w:r>
      <w:r w:rsidRPr="00FB00C2">
        <w:t>.</w:t>
      </w:r>
      <w:r>
        <w:t xml:space="preserve"> </w:t>
      </w:r>
      <w:r w:rsidRPr="00835209">
        <w:rPr>
          <w:iCs/>
        </w:rPr>
        <w:t xml:space="preserve">Table </w:t>
      </w:r>
      <w:r>
        <w:rPr>
          <w:iCs/>
        </w:rPr>
        <w:t>A1’s first two columns show robust first-stage regressions:</w:t>
      </w:r>
      <w:r w:rsidRPr="00835209">
        <w:rPr>
          <w:iCs/>
        </w:rPr>
        <w:t xml:space="preserve"> the proportion of </w:t>
      </w:r>
      <w:r>
        <w:rPr>
          <w:iCs/>
        </w:rPr>
        <w:t>minority</w:t>
      </w:r>
      <w:r w:rsidRPr="00835209">
        <w:rPr>
          <w:iCs/>
        </w:rPr>
        <w:t xml:space="preserve"> residents in 1990 strongly predicts the proportion of </w:t>
      </w:r>
      <w:r>
        <w:rPr>
          <w:iCs/>
        </w:rPr>
        <w:t>minority</w:t>
      </w:r>
      <w:r w:rsidRPr="00835209">
        <w:rPr>
          <w:iCs/>
        </w:rPr>
        <w:t xml:space="preserve"> residents in 2020.</w:t>
      </w:r>
      <w:r>
        <w:rPr>
          <w:iCs/>
        </w:rPr>
        <w:t xml:space="preserve"> </w:t>
      </w:r>
    </w:p>
    <w:p w14:paraId="49993937" w14:textId="77777777" w:rsidR="004333FC" w:rsidRDefault="004333FC" w:rsidP="004333FC">
      <w:pPr>
        <w:spacing w:line="240" w:lineRule="auto"/>
        <w:jc w:val="center"/>
      </w:pPr>
      <w:r>
        <w:t>Table A1. Instrumental Variable Validity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4"/>
        <w:gridCol w:w="1013"/>
        <w:gridCol w:w="1013"/>
        <w:gridCol w:w="988"/>
        <w:gridCol w:w="1030"/>
        <w:gridCol w:w="988"/>
        <w:gridCol w:w="988"/>
        <w:gridCol w:w="988"/>
        <w:gridCol w:w="1004"/>
      </w:tblGrid>
      <w:tr w:rsidR="004333FC" w14:paraId="7ACAB846" w14:textId="77777777" w:rsidTr="00BD03BD">
        <w:tc>
          <w:tcPr>
            <w:tcW w:w="1038" w:type="dxa"/>
          </w:tcPr>
          <w:p w14:paraId="1634D178" w14:textId="77777777" w:rsidR="004333FC" w:rsidRPr="00B920BB" w:rsidRDefault="004333FC" w:rsidP="00BD03BD">
            <w:pPr>
              <w:rPr>
                <w:sz w:val="18"/>
                <w:szCs w:val="16"/>
              </w:rPr>
            </w:pPr>
          </w:p>
        </w:tc>
        <w:tc>
          <w:tcPr>
            <w:tcW w:w="2078" w:type="dxa"/>
            <w:gridSpan w:val="2"/>
          </w:tcPr>
          <w:p w14:paraId="03549DF2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First-stage regressions</w:t>
            </w:r>
            <w:r w:rsidRPr="006D71C0">
              <w:rPr>
                <w:sz w:val="18"/>
                <w:szCs w:val="16"/>
              </w:rPr>
              <w:t>†</w:t>
            </w:r>
          </w:p>
        </w:tc>
        <w:tc>
          <w:tcPr>
            <w:tcW w:w="6234" w:type="dxa"/>
            <w:gridSpan w:val="6"/>
          </w:tcPr>
          <w:p w14:paraId="603C0CFA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Exclusion restriction: Other 2020 census tract features</w:t>
            </w:r>
          </w:p>
        </w:tc>
      </w:tr>
      <w:tr w:rsidR="004333FC" w14:paraId="2EF9F156" w14:textId="77777777" w:rsidTr="00BD03BD">
        <w:tc>
          <w:tcPr>
            <w:tcW w:w="1038" w:type="dxa"/>
          </w:tcPr>
          <w:p w14:paraId="4E0C4406" w14:textId="77777777" w:rsidR="004333FC" w:rsidRPr="00B920BB" w:rsidRDefault="004333FC" w:rsidP="00BD03BD">
            <w:pPr>
              <w:rPr>
                <w:sz w:val="18"/>
                <w:szCs w:val="16"/>
              </w:rPr>
            </w:pPr>
          </w:p>
        </w:tc>
        <w:tc>
          <w:tcPr>
            <w:tcW w:w="1039" w:type="dxa"/>
          </w:tcPr>
          <w:p w14:paraId="479A77EA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 w:rsidRPr="00B920BB">
              <w:rPr>
                <w:sz w:val="18"/>
                <w:szCs w:val="16"/>
              </w:rPr>
              <w:t>(1)</w:t>
            </w:r>
          </w:p>
        </w:tc>
        <w:tc>
          <w:tcPr>
            <w:tcW w:w="1039" w:type="dxa"/>
          </w:tcPr>
          <w:p w14:paraId="0BF72EC4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(2)</w:t>
            </w:r>
          </w:p>
        </w:tc>
        <w:tc>
          <w:tcPr>
            <w:tcW w:w="1039" w:type="dxa"/>
          </w:tcPr>
          <w:p w14:paraId="24C9D81E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(3)</w:t>
            </w:r>
          </w:p>
        </w:tc>
        <w:tc>
          <w:tcPr>
            <w:tcW w:w="1039" w:type="dxa"/>
          </w:tcPr>
          <w:p w14:paraId="6E74B23D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(4)</w:t>
            </w:r>
          </w:p>
        </w:tc>
        <w:tc>
          <w:tcPr>
            <w:tcW w:w="1039" w:type="dxa"/>
          </w:tcPr>
          <w:p w14:paraId="0DE6C8F9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(5)</w:t>
            </w:r>
          </w:p>
        </w:tc>
        <w:tc>
          <w:tcPr>
            <w:tcW w:w="1039" w:type="dxa"/>
          </w:tcPr>
          <w:p w14:paraId="69B8A0D7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(6)</w:t>
            </w:r>
          </w:p>
        </w:tc>
        <w:tc>
          <w:tcPr>
            <w:tcW w:w="1039" w:type="dxa"/>
          </w:tcPr>
          <w:p w14:paraId="6AFF54A2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(7)</w:t>
            </w:r>
          </w:p>
        </w:tc>
        <w:tc>
          <w:tcPr>
            <w:tcW w:w="1039" w:type="dxa"/>
          </w:tcPr>
          <w:p w14:paraId="605EC6B5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(8)</w:t>
            </w:r>
          </w:p>
        </w:tc>
      </w:tr>
      <w:tr w:rsidR="004333FC" w14:paraId="43990583" w14:textId="77777777" w:rsidTr="00BD03BD">
        <w:tc>
          <w:tcPr>
            <w:tcW w:w="1038" w:type="dxa"/>
          </w:tcPr>
          <w:p w14:paraId="45AC3314" w14:textId="77777777" w:rsidR="004333FC" w:rsidRPr="00B920BB" w:rsidRDefault="004333FC" w:rsidP="00BD03B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Dep. var.:</w:t>
            </w:r>
          </w:p>
        </w:tc>
        <w:tc>
          <w:tcPr>
            <w:tcW w:w="2078" w:type="dxa"/>
            <w:gridSpan w:val="2"/>
          </w:tcPr>
          <w:p w14:paraId="7A306100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% minority in 2020</w:t>
            </w:r>
          </w:p>
        </w:tc>
        <w:tc>
          <w:tcPr>
            <w:tcW w:w="1039" w:type="dxa"/>
          </w:tcPr>
          <w:p w14:paraId="2D063BEE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Square miles</w:t>
            </w:r>
          </w:p>
        </w:tc>
        <w:tc>
          <w:tcPr>
            <w:tcW w:w="1039" w:type="dxa"/>
          </w:tcPr>
          <w:p w14:paraId="6335E7E9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Total tract population</w:t>
            </w:r>
          </w:p>
        </w:tc>
        <w:tc>
          <w:tcPr>
            <w:tcW w:w="1039" w:type="dxa"/>
          </w:tcPr>
          <w:p w14:paraId="260EB64E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Log med. hh. income</w:t>
            </w:r>
          </w:p>
        </w:tc>
        <w:tc>
          <w:tcPr>
            <w:tcW w:w="1039" w:type="dxa"/>
          </w:tcPr>
          <w:p w14:paraId="1D748DF4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% rent in income</w:t>
            </w:r>
          </w:p>
        </w:tc>
        <w:tc>
          <w:tcPr>
            <w:tcW w:w="1039" w:type="dxa"/>
          </w:tcPr>
          <w:p w14:paraId="1B768549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Gini index</w:t>
            </w:r>
          </w:p>
        </w:tc>
        <w:tc>
          <w:tcPr>
            <w:tcW w:w="1039" w:type="dxa"/>
          </w:tcPr>
          <w:p w14:paraId="2CE40B7A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 w:rsidRPr="007B236D">
              <w:rPr>
                <w:sz w:val="18"/>
                <w:szCs w:val="16"/>
              </w:rPr>
              <w:t>% graduate degrees</w:t>
            </w:r>
          </w:p>
        </w:tc>
      </w:tr>
      <w:tr w:rsidR="004333FC" w14:paraId="081E04C1" w14:textId="77777777" w:rsidTr="00BD03BD">
        <w:tc>
          <w:tcPr>
            <w:tcW w:w="1038" w:type="dxa"/>
          </w:tcPr>
          <w:p w14:paraId="60754349" w14:textId="77777777" w:rsidR="004333FC" w:rsidRPr="00B920BB" w:rsidRDefault="004333FC" w:rsidP="00BD03B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% minority 1990</w:t>
            </w:r>
          </w:p>
        </w:tc>
        <w:tc>
          <w:tcPr>
            <w:tcW w:w="1039" w:type="dxa"/>
          </w:tcPr>
          <w:p w14:paraId="0DA3396A" w14:textId="77777777" w:rsidR="004333FC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0.552***</w:t>
            </w:r>
          </w:p>
          <w:p w14:paraId="49DE4E94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(0.041)</w:t>
            </w:r>
          </w:p>
        </w:tc>
        <w:tc>
          <w:tcPr>
            <w:tcW w:w="1039" w:type="dxa"/>
          </w:tcPr>
          <w:p w14:paraId="70797102" w14:textId="77777777" w:rsidR="004333FC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0.354***</w:t>
            </w:r>
          </w:p>
          <w:p w14:paraId="7DF1537B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(0.039)</w:t>
            </w:r>
          </w:p>
        </w:tc>
        <w:tc>
          <w:tcPr>
            <w:tcW w:w="1039" w:type="dxa"/>
          </w:tcPr>
          <w:p w14:paraId="2E1C9C55" w14:textId="77777777" w:rsidR="004333FC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-0.056</w:t>
            </w:r>
          </w:p>
          <w:p w14:paraId="1AA62C18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(0.250)</w:t>
            </w:r>
          </w:p>
        </w:tc>
        <w:tc>
          <w:tcPr>
            <w:tcW w:w="1039" w:type="dxa"/>
          </w:tcPr>
          <w:p w14:paraId="73F64592" w14:textId="77777777" w:rsidR="004333FC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666.664</w:t>
            </w:r>
          </w:p>
          <w:p w14:paraId="49D7DC5D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(463.702)</w:t>
            </w:r>
          </w:p>
        </w:tc>
        <w:tc>
          <w:tcPr>
            <w:tcW w:w="1039" w:type="dxa"/>
          </w:tcPr>
          <w:p w14:paraId="792DAC08" w14:textId="77777777" w:rsidR="004333FC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0.021</w:t>
            </w:r>
          </w:p>
          <w:p w14:paraId="682D9D59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(0.047)</w:t>
            </w:r>
          </w:p>
        </w:tc>
        <w:tc>
          <w:tcPr>
            <w:tcW w:w="1039" w:type="dxa"/>
          </w:tcPr>
          <w:p w14:paraId="38FA55A5" w14:textId="77777777" w:rsidR="004333FC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-0.294</w:t>
            </w:r>
          </w:p>
          <w:p w14:paraId="76B46D82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(0.231)</w:t>
            </w:r>
          </w:p>
        </w:tc>
        <w:tc>
          <w:tcPr>
            <w:tcW w:w="1039" w:type="dxa"/>
          </w:tcPr>
          <w:p w14:paraId="02DA1AE0" w14:textId="77777777" w:rsidR="004333FC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0.046</w:t>
            </w:r>
          </w:p>
          <w:p w14:paraId="0445C697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(0.026)</w:t>
            </w:r>
          </w:p>
        </w:tc>
        <w:tc>
          <w:tcPr>
            <w:tcW w:w="1039" w:type="dxa"/>
          </w:tcPr>
          <w:p w14:paraId="03E03FB7" w14:textId="77777777" w:rsidR="004333FC" w:rsidRPr="007B236D" w:rsidRDefault="004333FC" w:rsidP="00BD03BD">
            <w:pPr>
              <w:jc w:val="center"/>
              <w:rPr>
                <w:sz w:val="18"/>
                <w:szCs w:val="16"/>
              </w:rPr>
            </w:pPr>
            <w:r w:rsidRPr="007B236D">
              <w:rPr>
                <w:sz w:val="18"/>
                <w:szCs w:val="16"/>
              </w:rPr>
              <w:t>0.015</w:t>
            </w:r>
          </w:p>
          <w:p w14:paraId="4CF90412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 w:rsidRPr="007B236D">
              <w:rPr>
                <w:sz w:val="18"/>
                <w:szCs w:val="16"/>
              </w:rPr>
              <w:t>(0.024)</w:t>
            </w:r>
          </w:p>
        </w:tc>
      </w:tr>
      <w:tr w:rsidR="004333FC" w14:paraId="1A98DA56" w14:textId="77777777" w:rsidTr="00BD03BD">
        <w:tc>
          <w:tcPr>
            <w:tcW w:w="1038" w:type="dxa"/>
          </w:tcPr>
          <w:p w14:paraId="02A92760" w14:textId="77777777" w:rsidR="004333FC" w:rsidRPr="00B920BB" w:rsidRDefault="004333FC" w:rsidP="00BD03B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Other var.</w:t>
            </w:r>
          </w:p>
        </w:tc>
        <w:tc>
          <w:tcPr>
            <w:tcW w:w="1039" w:type="dxa"/>
          </w:tcPr>
          <w:p w14:paraId="2E583763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No</w:t>
            </w:r>
          </w:p>
        </w:tc>
        <w:tc>
          <w:tcPr>
            <w:tcW w:w="1039" w:type="dxa"/>
          </w:tcPr>
          <w:p w14:paraId="09519C93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Yes</w:t>
            </w:r>
          </w:p>
        </w:tc>
        <w:tc>
          <w:tcPr>
            <w:tcW w:w="1039" w:type="dxa"/>
          </w:tcPr>
          <w:p w14:paraId="1AF06216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Yes</w:t>
            </w:r>
          </w:p>
        </w:tc>
        <w:tc>
          <w:tcPr>
            <w:tcW w:w="1039" w:type="dxa"/>
          </w:tcPr>
          <w:p w14:paraId="12EF9FB1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Yes</w:t>
            </w:r>
          </w:p>
        </w:tc>
        <w:tc>
          <w:tcPr>
            <w:tcW w:w="1039" w:type="dxa"/>
          </w:tcPr>
          <w:p w14:paraId="0DCDF789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Yes</w:t>
            </w:r>
          </w:p>
        </w:tc>
        <w:tc>
          <w:tcPr>
            <w:tcW w:w="1039" w:type="dxa"/>
          </w:tcPr>
          <w:p w14:paraId="319DF905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Yes</w:t>
            </w:r>
          </w:p>
        </w:tc>
        <w:tc>
          <w:tcPr>
            <w:tcW w:w="1039" w:type="dxa"/>
          </w:tcPr>
          <w:p w14:paraId="1466FBC7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Yes</w:t>
            </w:r>
          </w:p>
        </w:tc>
        <w:tc>
          <w:tcPr>
            <w:tcW w:w="1039" w:type="dxa"/>
          </w:tcPr>
          <w:p w14:paraId="4DD5B54B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Yes</w:t>
            </w:r>
          </w:p>
        </w:tc>
      </w:tr>
      <w:tr w:rsidR="004333FC" w14:paraId="4494E8F8" w14:textId="77777777" w:rsidTr="00BD03BD">
        <w:tc>
          <w:tcPr>
            <w:tcW w:w="1038" w:type="dxa"/>
          </w:tcPr>
          <w:p w14:paraId="74FCD1C8" w14:textId="77777777" w:rsidR="004333FC" w:rsidRPr="00B920BB" w:rsidRDefault="004333FC" w:rsidP="00BD03B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R-squared</w:t>
            </w:r>
          </w:p>
        </w:tc>
        <w:tc>
          <w:tcPr>
            <w:tcW w:w="1039" w:type="dxa"/>
          </w:tcPr>
          <w:p w14:paraId="2208DCDF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0.629</w:t>
            </w:r>
          </w:p>
        </w:tc>
        <w:tc>
          <w:tcPr>
            <w:tcW w:w="1039" w:type="dxa"/>
          </w:tcPr>
          <w:p w14:paraId="490E0A30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0.192</w:t>
            </w:r>
          </w:p>
        </w:tc>
        <w:tc>
          <w:tcPr>
            <w:tcW w:w="1039" w:type="dxa"/>
          </w:tcPr>
          <w:p w14:paraId="3AA9AF9A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0.332</w:t>
            </w:r>
          </w:p>
        </w:tc>
        <w:tc>
          <w:tcPr>
            <w:tcW w:w="1039" w:type="dxa"/>
          </w:tcPr>
          <w:p w14:paraId="1AC26A75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0.209</w:t>
            </w:r>
          </w:p>
        </w:tc>
        <w:tc>
          <w:tcPr>
            <w:tcW w:w="1039" w:type="dxa"/>
          </w:tcPr>
          <w:p w14:paraId="2F7AD73B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0.932</w:t>
            </w:r>
          </w:p>
        </w:tc>
        <w:tc>
          <w:tcPr>
            <w:tcW w:w="1039" w:type="dxa"/>
          </w:tcPr>
          <w:p w14:paraId="169FCC47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0.304</w:t>
            </w:r>
          </w:p>
        </w:tc>
        <w:tc>
          <w:tcPr>
            <w:tcW w:w="1039" w:type="dxa"/>
          </w:tcPr>
          <w:p w14:paraId="0B6C6B1B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0.225</w:t>
            </w:r>
          </w:p>
        </w:tc>
        <w:tc>
          <w:tcPr>
            <w:tcW w:w="1039" w:type="dxa"/>
          </w:tcPr>
          <w:p w14:paraId="59559DD5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 w:rsidRPr="007B236D">
              <w:rPr>
                <w:sz w:val="18"/>
                <w:szCs w:val="16"/>
              </w:rPr>
              <w:t>0.704</w:t>
            </w:r>
          </w:p>
        </w:tc>
      </w:tr>
      <w:tr w:rsidR="004333FC" w14:paraId="67DEC767" w14:textId="77777777" w:rsidTr="00BD03BD">
        <w:tc>
          <w:tcPr>
            <w:tcW w:w="1038" w:type="dxa"/>
          </w:tcPr>
          <w:p w14:paraId="1FBA3DD9" w14:textId="77777777" w:rsidR="004333FC" w:rsidRPr="00B920BB" w:rsidRDefault="004333FC" w:rsidP="00BD03B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Obs.</w:t>
            </w:r>
          </w:p>
        </w:tc>
        <w:tc>
          <w:tcPr>
            <w:tcW w:w="1039" w:type="dxa"/>
          </w:tcPr>
          <w:p w14:paraId="46E379CF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177</w:t>
            </w:r>
          </w:p>
        </w:tc>
        <w:tc>
          <w:tcPr>
            <w:tcW w:w="1039" w:type="dxa"/>
          </w:tcPr>
          <w:p w14:paraId="1FC4DB15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177</w:t>
            </w:r>
          </w:p>
        </w:tc>
        <w:tc>
          <w:tcPr>
            <w:tcW w:w="1039" w:type="dxa"/>
          </w:tcPr>
          <w:p w14:paraId="5E158926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177</w:t>
            </w:r>
          </w:p>
        </w:tc>
        <w:tc>
          <w:tcPr>
            <w:tcW w:w="1039" w:type="dxa"/>
          </w:tcPr>
          <w:p w14:paraId="7B3B4C72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177</w:t>
            </w:r>
          </w:p>
        </w:tc>
        <w:tc>
          <w:tcPr>
            <w:tcW w:w="1039" w:type="dxa"/>
          </w:tcPr>
          <w:p w14:paraId="2CF0A2DB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177</w:t>
            </w:r>
          </w:p>
        </w:tc>
        <w:tc>
          <w:tcPr>
            <w:tcW w:w="1039" w:type="dxa"/>
          </w:tcPr>
          <w:p w14:paraId="26A485B3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177</w:t>
            </w:r>
          </w:p>
        </w:tc>
        <w:tc>
          <w:tcPr>
            <w:tcW w:w="1039" w:type="dxa"/>
          </w:tcPr>
          <w:p w14:paraId="10A9EB36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177</w:t>
            </w:r>
          </w:p>
        </w:tc>
        <w:tc>
          <w:tcPr>
            <w:tcW w:w="1039" w:type="dxa"/>
          </w:tcPr>
          <w:p w14:paraId="61B13F85" w14:textId="77777777" w:rsidR="004333FC" w:rsidRPr="00B920BB" w:rsidRDefault="004333FC" w:rsidP="00BD03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177</w:t>
            </w:r>
          </w:p>
        </w:tc>
      </w:tr>
    </w:tbl>
    <w:p w14:paraId="68949E72" w14:textId="77777777" w:rsidR="004333FC" w:rsidRPr="009A6C0D" w:rsidRDefault="004333FC" w:rsidP="004333FC">
      <w:pPr>
        <w:spacing w:line="240" w:lineRule="auto"/>
        <w:rPr>
          <w:sz w:val="18"/>
          <w:szCs w:val="16"/>
        </w:rPr>
      </w:pPr>
      <w:r>
        <w:rPr>
          <w:sz w:val="18"/>
          <w:szCs w:val="16"/>
        </w:rPr>
        <w:t xml:space="preserve">*: </w:t>
      </w:r>
      <w:r w:rsidRPr="00516137">
        <w:rPr>
          <w:i/>
          <w:iCs/>
          <w:sz w:val="18"/>
          <w:szCs w:val="16"/>
        </w:rPr>
        <w:t>p</w:t>
      </w:r>
      <w:r>
        <w:rPr>
          <w:sz w:val="18"/>
          <w:szCs w:val="16"/>
        </w:rPr>
        <w:t xml:space="preserve"> &lt; 0.05; **: </w:t>
      </w:r>
      <w:r w:rsidRPr="00516137">
        <w:rPr>
          <w:i/>
          <w:iCs/>
          <w:sz w:val="18"/>
          <w:szCs w:val="16"/>
        </w:rPr>
        <w:t>p</w:t>
      </w:r>
      <w:r>
        <w:rPr>
          <w:sz w:val="18"/>
          <w:szCs w:val="16"/>
        </w:rPr>
        <w:t xml:space="preserve"> &lt; 0.01; ***:</w:t>
      </w:r>
      <w:r w:rsidRPr="00516137">
        <w:rPr>
          <w:i/>
          <w:iCs/>
          <w:sz w:val="18"/>
          <w:szCs w:val="16"/>
        </w:rPr>
        <w:t xml:space="preserve"> p</w:t>
      </w:r>
      <w:r>
        <w:rPr>
          <w:sz w:val="18"/>
          <w:szCs w:val="16"/>
        </w:rPr>
        <w:t xml:space="preserve"> &lt; 0.001. Standard errors are in parentheses. Other variables are included in all regressions but, for conciseness, are not reported.</w:t>
      </w:r>
      <w:r w:rsidRPr="006D71C0">
        <w:t xml:space="preserve"> </w:t>
      </w:r>
      <w:r w:rsidRPr="006D71C0">
        <w:rPr>
          <w:sz w:val="18"/>
          <w:szCs w:val="16"/>
        </w:rPr>
        <w:t>†</w:t>
      </w:r>
      <w:r>
        <w:rPr>
          <w:sz w:val="18"/>
          <w:szCs w:val="16"/>
        </w:rPr>
        <w:t>: F-statistics for the first-stage regressions are above 50.</w:t>
      </w:r>
    </w:p>
    <w:p w14:paraId="288F6810" w14:textId="77777777" w:rsidR="004333FC" w:rsidRDefault="004333FC" w:rsidP="004333FC">
      <w:pPr>
        <w:ind w:firstLine="720"/>
        <w:rPr>
          <w:iCs/>
        </w:rPr>
      </w:pPr>
      <w:r w:rsidRPr="003D50A6">
        <w:rPr>
          <w:iCs/>
        </w:rPr>
        <w:t xml:space="preserve">We cannot directly test the exclusion restriction because unobservable neighborhood features cannot be </w:t>
      </w:r>
      <w:r>
        <w:rPr>
          <w:iCs/>
        </w:rPr>
        <w:t>included</w:t>
      </w:r>
      <w:r w:rsidRPr="003D50A6">
        <w:rPr>
          <w:iCs/>
        </w:rPr>
        <w:t xml:space="preserve">. </w:t>
      </w:r>
      <w:r>
        <w:rPr>
          <w:iCs/>
        </w:rPr>
        <w:t xml:space="preserve">But </w:t>
      </w:r>
      <w:r w:rsidRPr="003D50A6">
        <w:rPr>
          <w:iCs/>
        </w:rPr>
        <w:t xml:space="preserve">Table </w:t>
      </w:r>
      <w:r>
        <w:rPr>
          <w:iCs/>
        </w:rPr>
        <w:t>A1’s remaining columns</w:t>
      </w:r>
      <w:r w:rsidRPr="003D50A6">
        <w:rPr>
          <w:iCs/>
        </w:rPr>
        <w:t xml:space="preserve"> </w:t>
      </w:r>
      <w:r>
        <w:rPr>
          <w:iCs/>
        </w:rPr>
        <w:t>suggest</w:t>
      </w:r>
      <w:r w:rsidRPr="003D50A6">
        <w:rPr>
          <w:iCs/>
        </w:rPr>
        <w:t xml:space="preserve"> </w:t>
      </w:r>
      <w:r>
        <w:rPr>
          <w:iCs/>
        </w:rPr>
        <w:t>our</w:t>
      </w:r>
      <w:r w:rsidRPr="003D50A6">
        <w:rPr>
          <w:iCs/>
        </w:rPr>
        <w:t xml:space="preserve"> IV is</w:t>
      </w:r>
      <w:r>
        <w:rPr>
          <w:iCs/>
        </w:rPr>
        <w:t xml:space="preserve"> at least</w:t>
      </w:r>
      <w:r w:rsidRPr="003D50A6">
        <w:rPr>
          <w:iCs/>
        </w:rPr>
        <w:t xml:space="preserve"> unrelated to observable neighborhood features. </w:t>
      </w:r>
      <w:r w:rsidRPr="0013263D">
        <w:rPr>
          <w:iCs/>
        </w:rPr>
        <w:t xml:space="preserve">This IV is thus unlikely to affect graffiti reporting through </w:t>
      </w:r>
      <w:r>
        <w:rPr>
          <w:iCs/>
        </w:rPr>
        <w:t>these</w:t>
      </w:r>
      <w:r w:rsidRPr="0013263D">
        <w:rPr>
          <w:iCs/>
        </w:rPr>
        <w:t xml:space="preserve"> </w:t>
      </w:r>
      <w:r>
        <w:rPr>
          <w:iCs/>
        </w:rPr>
        <w:t>insignificant</w:t>
      </w:r>
      <w:r w:rsidRPr="0013263D">
        <w:rPr>
          <w:iCs/>
        </w:rPr>
        <w:t xml:space="preserve"> relationships</w:t>
      </w:r>
      <w:r>
        <w:rPr>
          <w:iCs/>
        </w:rPr>
        <w:t xml:space="preserve">, which provides indirect </w:t>
      </w:r>
      <w:r w:rsidRPr="003D50A6">
        <w:rPr>
          <w:iCs/>
        </w:rPr>
        <w:t xml:space="preserve">evidence that historical racial composition </w:t>
      </w:r>
      <w:r>
        <w:rPr>
          <w:iCs/>
        </w:rPr>
        <w:t>should</w:t>
      </w:r>
      <w:r w:rsidRPr="003D50A6">
        <w:rPr>
          <w:iCs/>
        </w:rPr>
        <w:t xml:space="preserve"> </w:t>
      </w:r>
      <w:r>
        <w:rPr>
          <w:iCs/>
        </w:rPr>
        <w:t>affect</w:t>
      </w:r>
      <w:r w:rsidRPr="003D50A6">
        <w:rPr>
          <w:iCs/>
        </w:rPr>
        <w:t xml:space="preserve"> graffiti reporting only through present racial composition.</w:t>
      </w:r>
    </w:p>
    <w:p w14:paraId="2097EFD4" w14:textId="77777777" w:rsidR="004333FC" w:rsidRDefault="004333FC" w:rsidP="004333FC">
      <w:pPr>
        <w:rPr>
          <w:iCs/>
        </w:rPr>
      </w:pPr>
    </w:p>
    <w:p w14:paraId="7FD84C76" w14:textId="77777777" w:rsidR="004333FC" w:rsidRPr="0094609C" w:rsidRDefault="004333FC" w:rsidP="004333FC">
      <w:pPr>
        <w:rPr>
          <w:b/>
          <w:bCs/>
          <w:iCs/>
        </w:rPr>
      </w:pPr>
      <w:r w:rsidRPr="0094609C">
        <w:rPr>
          <w:b/>
          <w:bCs/>
          <w:iCs/>
        </w:rPr>
        <w:t>Appendix B</w:t>
      </w:r>
      <w:r>
        <w:rPr>
          <w:b/>
          <w:bCs/>
          <w:iCs/>
        </w:rPr>
        <w:t>:</w:t>
      </w:r>
      <w:r w:rsidRPr="0094609C">
        <w:rPr>
          <w:b/>
          <w:bCs/>
          <w:iCs/>
        </w:rPr>
        <w:t xml:space="preserve"> The Direction of OLS Bias</w:t>
      </w:r>
    </w:p>
    <w:p w14:paraId="27FA50C4" w14:textId="77777777" w:rsidR="004333FC" w:rsidRDefault="004333FC" w:rsidP="004333FC">
      <w:r>
        <w:t xml:space="preserve">In our empirical tables, we report that OLS estimates are generally biased toward zero relative to IV estimates. There are two main statistical reasons. </w:t>
      </w:r>
      <w:r w:rsidRPr="00CC48EC">
        <w:t xml:space="preserve">First, </w:t>
      </w:r>
      <w:r w:rsidRPr="00053845">
        <w:t xml:space="preserve">measurement errors in racial composition, due to multiple race identification, always lead the OLS estimate to be biased toward zero </w:t>
      </w:r>
      <w:r w:rsidRPr="00CC48EC">
        <w:t>(Xu, 2017). Second,</w:t>
      </w:r>
      <w:r>
        <w:t xml:space="preserve"> the</w:t>
      </w:r>
      <w:r w:rsidRPr="00CC48EC">
        <w:t xml:space="preserve"> unobservable </w:t>
      </w:r>
      <w:r>
        <w:t xml:space="preserve">willingness and ability to report graffiti also account for this bias, but their roles are more complex. The direction of the bias is determined by the product of signs of </w:t>
      </w:r>
      <m:oMath>
        <m:r>
          <w:rPr>
            <w:rFonts w:ascii="Cambria Math" w:hAnsi="Cambria Math"/>
          </w:rPr>
          <m:t>γ</m:t>
        </m:r>
      </m:oMath>
      <w:r>
        <w:t xml:space="preserve"> and </w:t>
      </w:r>
      <m:oMath>
        <m:r>
          <w:rPr>
            <w:rFonts w:ascii="Cambria Math" w:hAnsi="Cambria Math"/>
          </w:rPr>
          <m:t>δ</m:t>
        </m:r>
      </m:oMath>
      <w:r>
        <w:t xml:space="preserve">, where </w:t>
      </w:r>
      <m:oMath>
        <m:r>
          <w:rPr>
            <w:rFonts w:ascii="Cambria Math" w:hAnsi="Cambria Math"/>
          </w:rPr>
          <m:t>γ</m:t>
        </m:r>
      </m:oMath>
      <w:r>
        <w:t xml:space="preserve"> represents the correlation between the level of engagement amid barriers and the proportion of local minority residents, and </w:t>
      </w:r>
      <m:oMath>
        <m:r>
          <w:rPr>
            <w:rFonts w:ascii="Cambria Math" w:hAnsi="Cambria Math"/>
          </w:rPr>
          <m:t>δ</m:t>
        </m:r>
      </m:oMath>
      <w:r>
        <w:t xml:space="preserve"> </w:t>
      </w:r>
      <w:r>
        <w:lastRenderedPageBreak/>
        <w:t xml:space="preserve">represents the correlation between the level of engagement and the proportion of reported hate graffiti. In one scenario, </w:t>
      </w:r>
      <m:oMath>
        <m: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</w:rPr>
          <m:t xml:space="preserve"> &lt;0</m:t>
        </m:r>
      </m:oMath>
      <w:r>
        <w:t xml:space="preserve"> (minorities are less engaged in neighborhoods with proportionately more minorities), possibly </w:t>
      </w:r>
      <w:r w:rsidRPr="006A786F">
        <w:t xml:space="preserve">because barriers dominate </w:t>
      </w:r>
      <w:r>
        <w:t xml:space="preserve">the level of </w:t>
      </w:r>
      <w:r w:rsidRPr="006A786F">
        <w:t>engagement despite local support</w:t>
      </w:r>
      <w:r>
        <w:t xml:space="preserve">. If, furthermore, </w:t>
      </w:r>
      <w:r w:rsidRPr="007B606A">
        <w:t>residents in minority neighborhoods engage in</w:t>
      </w:r>
      <w:r>
        <w:t xml:space="preserve"> addressing</w:t>
      </w:r>
      <w:r w:rsidRPr="007B606A">
        <w:t xml:space="preserve"> hate graffiti more often than residents in white neighborhoods </w:t>
      </w:r>
      <w:r>
        <w:t>(</w:t>
      </w:r>
      <m:oMath>
        <m:r>
          <w:rPr>
            <w:rFonts w:ascii="Cambria Math" w:hAnsi="Cambria Math"/>
          </w:rPr>
          <m:t>δ &gt;0)</m:t>
        </m:r>
      </m:oMath>
      <w:r>
        <w:rPr>
          <w:iCs/>
        </w:rPr>
        <w:t xml:space="preserve">, then the OLS estimate is biased away from zero. This bias decreases when minority and white neighborhoods have more similar focus on graffiti reporting by form </w:t>
      </w:r>
      <w:r w:rsidRPr="00CC48EC">
        <w:t>(</w:t>
      </w:r>
      <m:oMath>
        <m:r>
          <w:rPr>
            <w:rFonts w:ascii="Cambria Math" w:hAnsi="Cambria Math"/>
          </w:rPr>
          <m:t>δ</m:t>
        </m:r>
      </m:oMath>
      <w:r>
        <w:rPr>
          <w:iCs/>
        </w:rPr>
        <w:t xml:space="preserve"> becomes closer to 0</w:t>
      </w:r>
      <w:r w:rsidRPr="00CC48EC">
        <w:t>)</w:t>
      </w:r>
      <w:r>
        <w:t>, and ultimately</w:t>
      </w:r>
      <w:r w:rsidRPr="00FD7DA3">
        <w:t xml:space="preserve"> become</w:t>
      </w:r>
      <w:r>
        <w:t>s</w:t>
      </w:r>
      <w:r w:rsidRPr="00FD7DA3">
        <w:t xml:space="preserve"> toward zero when minorities’ engagement encompasses more non-hate graffiti</w:t>
      </w:r>
      <w:r>
        <w:t xml:space="preserve"> than whites (</w:t>
      </w:r>
      <m:oMath>
        <m:r>
          <w:rPr>
            <w:rFonts w:ascii="Cambria Math" w:hAnsi="Cambria Math"/>
          </w:rPr>
          <m:t>δ &lt;0</m:t>
        </m:r>
      </m:oMath>
      <w:r>
        <w:rPr>
          <w:iCs/>
        </w:rPr>
        <w:t>). In another scenario, t</w:t>
      </w:r>
      <w:r w:rsidRPr="00256F4C">
        <w:rPr>
          <w:iCs/>
        </w:rPr>
        <w:t xml:space="preserve">his </w:t>
      </w:r>
      <w:r>
        <w:rPr>
          <w:iCs/>
        </w:rPr>
        <w:t xml:space="preserve">evolving </w:t>
      </w:r>
      <w:r w:rsidRPr="00256F4C">
        <w:rPr>
          <w:iCs/>
        </w:rPr>
        <w:t>pattern of bias</w:t>
      </w:r>
      <w:r>
        <w:rPr>
          <w:iCs/>
        </w:rPr>
        <w:t xml:space="preserve"> </w:t>
      </w:r>
      <w:r w:rsidRPr="00256F4C">
        <w:rPr>
          <w:iCs/>
        </w:rPr>
        <w:t>will reverse if support—rather than barriers—dominates</w:t>
      </w:r>
      <w:r>
        <w:rPr>
          <w:iCs/>
        </w:rPr>
        <w:t xml:space="preserve"> the level of</w:t>
      </w:r>
      <w:r w:rsidRPr="00256F4C">
        <w:rPr>
          <w:iCs/>
        </w:rPr>
        <w:t xml:space="preserve"> engagement</w:t>
      </w:r>
      <w:r>
        <w:rPr>
          <w:iCs/>
        </w:rPr>
        <w:t xml:space="preserve"> (</w:t>
      </w:r>
      <m:oMath>
        <m: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</w:rPr>
          <m:t xml:space="preserve"> &gt;0</m:t>
        </m:r>
      </m:oMath>
      <w:r>
        <w:t>)</w:t>
      </w:r>
      <w:r w:rsidRPr="00256F4C">
        <w:rPr>
          <w:iCs/>
        </w:rPr>
        <w:t>.</w:t>
      </w:r>
      <w:r w:rsidRPr="00514448">
        <w:t xml:space="preserve"> </w:t>
      </w:r>
    </w:p>
    <w:p w14:paraId="48F93975" w14:textId="77777777" w:rsidR="004333FC" w:rsidRPr="000B3EB7" w:rsidRDefault="004333FC" w:rsidP="004333FC">
      <w:pPr>
        <w:ind w:firstLine="720"/>
      </w:pPr>
      <w:r>
        <w:rPr>
          <w:iCs/>
        </w:rPr>
        <w:t xml:space="preserve">In the results section, </w:t>
      </w:r>
      <w:r w:rsidRPr="00514448">
        <w:rPr>
          <w:iCs/>
        </w:rPr>
        <w:t xml:space="preserve">Table </w:t>
      </w:r>
      <w:r>
        <w:rPr>
          <w:iCs/>
        </w:rPr>
        <w:t>2</w:t>
      </w:r>
      <w:r w:rsidRPr="00514448">
        <w:rPr>
          <w:iCs/>
        </w:rPr>
        <w:t xml:space="preserve">’s reported </w:t>
      </w:r>
      <w:r>
        <w:rPr>
          <w:iCs/>
        </w:rPr>
        <w:t xml:space="preserve">OLS </w:t>
      </w:r>
      <w:r w:rsidRPr="00514448">
        <w:rPr>
          <w:iCs/>
        </w:rPr>
        <w:t xml:space="preserve">bias suggests a possible scenario </w:t>
      </w:r>
      <w:r>
        <w:rPr>
          <w:iCs/>
        </w:rPr>
        <w:t>(</w:t>
      </w:r>
      <w:r w:rsidRPr="00514448">
        <w:rPr>
          <w:iCs/>
        </w:rPr>
        <w:t>besides measurement errors</w:t>
      </w:r>
      <w:r>
        <w:rPr>
          <w:iCs/>
        </w:rPr>
        <w:t>):</w:t>
      </w:r>
      <w:r w:rsidRPr="00514448">
        <w:rPr>
          <w:iCs/>
        </w:rPr>
        <w:t xml:space="preserve"> compared to residents in white neighborhoods, those in minority neighborhoods are more </w:t>
      </w:r>
      <w:r>
        <w:rPr>
          <w:iCs/>
        </w:rPr>
        <w:t>willing to report</w:t>
      </w:r>
      <w:r w:rsidRPr="00514448">
        <w:rPr>
          <w:iCs/>
        </w:rPr>
        <w:t xml:space="preserve"> all forms of graffiti</w:t>
      </w:r>
      <w:r>
        <w:rPr>
          <w:iCs/>
        </w:rPr>
        <w:t xml:space="preserve">, although various </w:t>
      </w:r>
      <w:r w:rsidRPr="00514448">
        <w:rPr>
          <w:iCs/>
        </w:rPr>
        <w:t xml:space="preserve">barriers may hinder </w:t>
      </w:r>
      <w:r>
        <w:rPr>
          <w:iCs/>
        </w:rPr>
        <w:t>such</w:t>
      </w:r>
      <w:r w:rsidRPr="00514448">
        <w:rPr>
          <w:iCs/>
        </w:rPr>
        <w:t xml:space="preserve"> </w:t>
      </w:r>
      <w:r>
        <w:rPr>
          <w:iCs/>
        </w:rPr>
        <w:t xml:space="preserve">engagement (i.e., </w:t>
      </w:r>
      <m:oMath>
        <m: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</w:rPr>
          <m:t xml:space="preserve"> &lt;0</m:t>
        </m:r>
      </m:oMath>
      <w:r>
        <w:t xml:space="preserve"> and</w:t>
      </w:r>
      <w:r>
        <w:rPr>
          <w:iCs/>
        </w:rPr>
        <w:t xml:space="preserve"> </w:t>
      </w:r>
      <m:oMath>
        <m:r>
          <w:rPr>
            <w:rFonts w:ascii="Cambria Math" w:hAnsi="Cambria Math"/>
          </w:rPr>
          <m:t>δ &lt;0</m:t>
        </m:r>
      </m:oMath>
      <w:r>
        <w:rPr>
          <w:iCs/>
        </w:rPr>
        <w:t>)</w:t>
      </w:r>
      <w:r w:rsidRPr="00514448">
        <w:rPr>
          <w:iCs/>
        </w:rPr>
        <w:t>.</w:t>
      </w:r>
    </w:p>
    <w:p w14:paraId="1C1E1792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FC"/>
    <w:rsid w:val="000C4033"/>
    <w:rsid w:val="00173ED8"/>
    <w:rsid w:val="002F50B1"/>
    <w:rsid w:val="004333FC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D7420A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FC7F"/>
  <w15:chartTrackingRefBased/>
  <w15:docId w15:val="{BAF4625F-7E35-42C5-9C34-5B8952F0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3FC"/>
    <w:pPr>
      <w:spacing w:line="480" w:lineRule="auto"/>
    </w:pPr>
    <w:rPr>
      <w:rFonts w:ascii="Times New Roman" w:eastAsiaTheme="minorEastAsia" w:hAnsi="Times New Roman"/>
      <w:kern w:val="0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3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3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3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3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3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3F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3F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3F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3F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3F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3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3FC"/>
    <w:pPr>
      <w:spacing w:before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3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3FC"/>
    <w:pPr>
      <w:spacing w:line="278" w:lineRule="auto"/>
      <w:ind w:left="720"/>
      <w:contextualSpacing/>
    </w:pPr>
    <w:rPr>
      <w:rFonts w:asciiTheme="minorHAnsi" w:eastAsiaTheme="minorHAnsi" w:hAnsiTheme="minorHAnsi"/>
      <w:kern w:val="2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3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3FC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4333FC"/>
    <w:pPr>
      <w:spacing w:after="0" w:line="240" w:lineRule="auto"/>
    </w:pPr>
    <w:rPr>
      <w:rFonts w:ascii="Times New Roman" w:eastAsiaTheme="minorEastAsia" w:hAnsi="Times New Roman"/>
      <w:kern w:val="0"/>
      <w:szCs w:val="22"/>
      <w:lang w:val="en-US" w:eastAsia="zh-CN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2026-07-03T15:45:00Z</dcterms:created>
  <dcterms:modified xsi:type="dcterms:W3CDTF">2026-07-03T15:45:00Z</dcterms:modified>
</cp:coreProperties>
</file>