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4AD7F" w14:textId="77777777" w:rsidR="00506FEF" w:rsidRDefault="00506FEF" w:rsidP="00506FEF">
      <w:pPr>
        <w:pStyle w:val="Heading1"/>
      </w:pPr>
      <w:r>
        <w:rPr>
          <w:rFonts w:ascii="Times New Roman" w:eastAsia="Times New Roman" w:hAnsi="Times New Roman" w:cs="Times New Roman"/>
          <w:b/>
          <w:bCs/>
          <w:sz w:val="26"/>
          <w:szCs w:val="26"/>
        </w:rPr>
        <w:t>A. Asymptotic Considerations</w:t>
      </w:r>
    </w:p>
    <w:p w14:paraId="1430AC71" w14:textId="77777777" w:rsidR="00506FEF" w:rsidRDefault="00506FEF" w:rsidP="00506FEF">
      <w:pPr>
        <w:spacing w:after="120" w:line="276" w:lineRule="exact"/>
        <w:ind w:firstLine="720"/>
        <w:jc w:val="both"/>
      </w:pPr>
      <w:r>
        <w:t>The following regularity conditions are required for the asymptotic analysis of the ECN estimator. Their verification in specific parametric families is part of the ongoing theoretical programme.</w:t>
      </w:r>
    </w:p>
    <w:p w14:paraId="2A543395" w14:textId="77777777" w:rsidR="00506FEF" w:rsidRDefault="00506FEF" w:rsidP="00506FEF">
      <w:pPr>
        <w:spacing w:after="120" w:line="276" w:lineRule="exact"/>
        <w:ind w:firstLine="720"/>
        <w:jc w:val="both"/>
      </w:pPr>
      <w:r>
        <w:rPr>
          <w:b/>
          <w:bCs/>
        </w:rPr>
        <w:t>Assumption A.1 (Regularity Conditions).</w:t>
      </w:r>
    </w:p>
    <w:p w14:paraId="7B4BAE5F" w14:textId="77777777" w:rsidR="00506FEF" w:rsidRDefault="00506FEF" w:rsidP="00506FEF">
      <w:pPr>
        <w:spacing w:after="80" w:line="276" w:lineRule="exact"/>
        <w:ind w:firstLine="1440"/>
        <w:jc w:val="both"/>
      </w:pPr>
      <w:r>
        <w:t>(i) Threshold: Tₙ → ∞ and nₜₐᴵₗ = nP(‖X‖∞ &gt; Tₙ) → ∞.</w:t>
      </w:r>
    </w:p>
    <w:p w14:paraId="216D6B26" w14:textId="77777777" w:rsidR="00506FEF" w:rsidRDefault="00506FEF" w:rsidP="00506FEF">
      <w:pPr>
        <w:spacing w:after="80" w:line="276" w:lineRule="exact"/>
        <w:ind w:firstLine="1440"/>
        <w:jc w:val="both"/>
      </w:pPr>
      <w:r>
        <w:t>(ii) Parameter space: Θ_G is compact; Pickands functions Aᵢⱼ(·; θ) are uniformly Lipschitz with constant L and satisfy Aᵢⱼ(w; θ) ≥ max(w, 1 − w) + δ for some δ &gt; 0.</w:t>
      </w:r>
    </w:p>
    <w:p w14:paraId="7DB4555C" w14:textId="77777777" w:rsidR="00506FEF" w:rsidRDefault="00506FEF" w:rsidP="00506FEF">
      <w:pPr>
        <w:spacing w:after="80" w:line="276" w:lineRule="exact"/>
        <w:ind w:firstLine="1440"/>
        <w:jc w:val="both"/>
      </w:pPr>
      <w:r>
        <w:t>(iii) Sparsity: G* has at most s* edges with s* = o(nₜₐᴵₗ / log p).</w:t>
      </w:r>
    </w:p>
    <w:p w14:paraId="0A3BB258" w14:textId="77777777" w:rsidR="00506FEF" w:rsidRDefault="00506FEF" w:rsidP="00506FEF">
      <w:pPr>
        <w:spacing w:after="80" w:line="276" w:lineRule="exact"/>
        <w:ind w:firstLine="1440"/>
        <w:jc w:val="both"/>
      </w:pPr>
      <w:r>
        <w:t>(iv) Identifiability margin: L*(G*, Θ*) − inf_Θ L*(G, Θ) ≥ κ &gt; 0 for all G ≠ G*.</w:t>
      </w:r>
    </w:p>
    <w:p w14:paraId="2F35A0A1" w14:textId="77777777" w:rsidR="00506FEF" w:rsidRDefault="00506FEF" w:rsidP="00506FEF">
      <w:pPr>
        <w:spacing w:after="120" w:line="276" w:lineRule="exact"/>
        <w:ind w:firstLine="720"/>
        <w:jc w:val="both"/>
      </w:pPr>
      <w:r>
        <w:t>The following two results are stated as conjectures. They do not constitute established theorems, and asymptotic guarantees for the ECN estimator are not currently available. The supporting arguments identify the proof strategy and the key missing technical steps, so that the conditions under which the conjectures would hold are transparent.</w:t>
      </w:r>
    </w:p>
    <w:p w14:paraId="375FFEFB" w14:textId="77777777" w:rsidR="00506FEF" w:rsidRDefault="00506FEF" w:rsidP="00506FEF">
      <w:pPr>
        <w:spacing w:after="120" w:line="276" w:lineRule="exact"/>
        <w:ind w:firstLine="720"/>
        <w:jc w:val="both"/>
      </w:pPr>
      <w:r>
        <w:rPr>
          <w:b/>
          <w:bCs/>
        </w:rPr>
        <w:t>Conjecture A.2 (Consistency of the ECN Estimator).</w:t>
      </w:r>
      <w:r>
        <w:t xml:space="preserve"> Under Theorems A.1, 4.6, 4.8 and 4.12, with λₙ = C√(log p/nₜₐᴵₗ) for large enough C, it is conjectured that the ECN estimator satisfies P(Ĝₙ = G*) → 1 and ‖Θ̂ₙ − Θ*‖_F →ᵖ 0 as n → ∞.</w:t>
      </w:r>
    </w:p>
    <w:p w14:paraId="78C5A963" w14:textId="77777777" w:rsidR="00506FEF" w:rsidRDefault="00506FEF" w:rsidP="00506FEF">
      <w:pPr>
        <w:spacing w:after="120" w:line="276" w:lineRule="exact"/>
        <w:ind w:firstLine="720"/>
        <w:jc w:val="both"/>
      </w:pPr>
      <w:r>
        <w:rPr>
          <w:b/>
          <w:bCs/>
        </w:rPr>
        <w:t>Conjecture A.3 (Posterior Contraction of ECN-MCMC).</w:t>
      </w:r>
      <w:r>
        <w:t xml:space="preserve"> Under the conditions of Conjecture A.2 with prior π(|E| = s) ≤ e^(−cs·log p) for s &gt; s*, it is conjectured that for any Mₙ → ∞: Πₙ(d_H(P(G,Θ), P(G*,Θ*)) &gt; Mₙ εₙ | D) →ᵖ 0, where εₙ = √(s* log p/nₜₐᴵₗ) and d_H denotes Hellinger distance.</w:t>
      </w:r>
    </w:p>
    <w:p w14:paraId="520042BC" w14:textId="77777777" w:rsidR="00506FEF" w:rsidRDefault="00506FEF" w:rsidP="00506FEF">
      <w:pPr>
        <w:spacing w:before="200"/>
      </w:pPr>
    </w:p>
    <w:p w14:paraId="6F0D053A" w14:textId="77777777" w:rsidR="00506FEF" w:rsidRDefault="00506FEF" w:rsidP="00506FEF">
      <w:pPr>
        <w:pBdr>
          <w:top w:val="single" w:sz="2" w:space="0" w:color="999999"/>
        </w:pBdr>
      </w:pPr>
      <w:r>
        <w:rPr>
          <w:sz w:val="18"/>
          <w:szCs w:val="18"/>
        </w:rPr>
        <w:t>* Corresponding author. Department of Mathematics, Kwame Nkrumah University of Science and Technology, Kumasi, Ghana. E-mail: silasalebikenaba@gmail.com</w:t>
      </w:r>
    </w:p>
    <w:p w14:paraId="7F2CE846" w14:textId="77777777" w:rsidR="00DE6AE2" w:rsidRDefault="00DE6AE2"/>
    <w:sectPr w:rsidR="00DE6AE2" w:rsidSect="00506FEF">
      <w:headerReference w:type="default" r:id="rId4"/>
      <w:footerReference w:type="default" r:id="rId5"/>
      <w:pgSz w:w="11906" w:h="16838"/>
      <w:pgMar w:top="1418" w:right="1418" w:bottom="1418" w:left="1418" w:header="708" w:footer="708"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DA1D0" w14:textId="77777777" w:rsidR="00506FEF" w:rsidRDefault="00506FEF">
    <w:pPr>
      <w:jc w:val="center"/>
    </w:pPr>
    <w:r>
      <w:rPr>
        <w:sz w:val="18"/>
        <w:szCs w:val="18"/>
      </w:rPr>
      <w:t xml:space="preserve">Page </w:t>
    </w:r>
    <w:r>
      <w:fldChar w:fldCharType="begin"/>
    </w:r>
    <w:r>
      <w:instrText xml:space="preserve"> PAGE </w:instrText>
    </w:r>
    <w:r>
      <w:fldChar w:fldCharType="separate"/>
    </w:r>
    <w:r>
      <w:t>2</w:t>
    </w:r>
    <w: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E8797" w14:textId="77777777" w:rsidR="00506FEF" w:rsidRDefault="00506FEF">
    <w:pPr>
      <w:jc w:val="right"/>
    </w:pPr>
    <w:r>
      <w:rPr>
        <w:i/>
        <w:iCs/>
        <w:sz w:val="18"/>
        <w:szCs w:val="18"/>
      </w:rPr>
      <w:t>Ayariga et al.    The Extreme Causal Network Model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FEF"/>
    <w:rsid w:val="00195413"/>
    <w:rsid w:val="003D0186"/>
    <w:rsid w:val="00506FEF"/>
    <w:rsid w:val="007278E4"/>
    <w:rsid w:val="00A3738C"/>
    <w:rsid w:val="00BC6C35"/>
    <w:rsid w:val="00CB270D"/>
    <w:rsid w:val="00CF7583"/>
    <w:rsid w:val="00DE6AE2"/>
    <w:rsid w:val="00E700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CBDB0"/>
  <w15:chartTrackingRefBased/>
  <w15:docId w15:val="{62965614-3033-42F1-874F-8E890AF6A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FEF"/>
    <w:pPr>
      <w:suppressAutoHyphens/>
      <w:spacing w:after="0" w:line="240" w:lineRule="auto"/>
    </w:pPr>
    <w:rPr>
      <w:rFonts w:ascii="Times New Roman" w:eastAsia="Times New Roman" w:hAnsi="Times New Roman" w:cs="Times New Roman"/>
      <w:kern w:val="0"/>
      <w:sz w:val="22"/>
      <w:szCs w:val="22"/>
      <w:lang w:eastAsia="zh-CN" w:bidi="hi-IN"/>
      <w14:ligatures w14:val="none"/>
    </w:rPr>
  </w:style>
  <w:style w:type="paragraph" w:styleId="Heading1">
    <w:name w:val="heading 1"/>
    <w:basedOn w:val="Normal"/>
    <w:next w:val="Normal"/>
    <w:link w:val="Heading1Char"/>
    <w:uiPriority w:val="9"/>
    <w:qFormat/>
    <w:rsid w:val="00506FEF"/>
    <w:pPr>
      <w:keepNext/>
      <w:keepLines/>
      <w:suppressAutoHyphens w:val="0"/>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bidi="ar-SA"/>
      <w14:ligatures w14:val="standardContextual"/>
    </w:rPr>
  </w:style>
  <w:style w:type="paragraph" w:styleId="Heading2">
    <w:name w:val="heading 2"/>
    <w:basedOn w:val="Normal"/>
    <w:next w:val="Normal"/>
    <w:link w:val="Heading2Char"/>
    <w:uiPriority w:val="9"/>
    <w:semiHidden/>
    <w:unhideWhenUsed/>
    <w:qFormat/>
    <w:rsid w:val="00506FEF"/>
    <w:pPr>
      <w:keepNext/>
      <w:keepLines/>
      <w:suppressAutoHyphens w:val="0"/>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bidi="ar-SA"/>
      <w14:ligatures w14:val="standardContextual"/>
    </w:rPr>
  </w:style>
  <w:style w:type="paragraph" w:styleId="Heading3">
    <w:name w:val="heading 3"/>
    <w:basedOn w:val="Normal"/>
    <w:next w:val="Normal"/>
    <w:link w:val="Heading3Char"/>
    <w:uiPriority w:val="9"/>
    <w:semiHidden/>
    <w:unhideWhenUsed/>
    <w:qFormat/>
    <w:rsid w:val="00506FEF"/>
    <w:pPr>
      <w:keepNext/>
      <w:keepLines/>
      <w:suppressAutoHyphens w:val="0"/>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bidi="ar-SA"/>
      <w14:ligatures w14:val="standardContextual"/>
    </w:rPr>
  </w:style>
  <w:style w:type="paragraph" w:styleId="Heading4">
    <w:name w:val="heading 4"/>
    <w:basedOn w:val="Normal"/>
    <w:next w:val="Normal"/>
    <w:link w:val="Heading4Char"/>
    <w:uiPriority w:val="9"/>
    <w:semiHidden/>
    <w:unhideWhenUsed/>
    <w:qFormat/>
    <w:rsid w:val="00506FEF"/>
    <w:pPr>
      <w:keepNext/>
      <w:keepLines/>
      <w:suppressAutoHyphens w:val="0"/>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bidi="ar-SA"/>
      <w14:ligatures w14:val="standardContextual"/>
    </w:rPr>
  </w:style>
  <w:style w:type="paragraph" w:styleId="Heading5">
    <w:name w:val="heading 5"/>
    <w:basedOn w:val="Normal"/>
    <w:next w:val="Normal"/>
    <w:link w:val="Heading5Char"/>
    <w:uiPriority w:val="9"/>
    <w:semiHidden/>
    <w:unhideWhenUsed/>
    <w:qFormat/>
    <w:rsid w:val="00506FEF"/>
    <w:pPr>
      <w:keepNext/>
      <w:keepLines/>
      <w:suppressAutoHyphens w:val="0"/>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bidi="ar-SA"/>
      <w14:ligatures w14:val="standardContextual"/>
    </w:rPr>
  </w:style>
  <w:style w:type="paragraph" w:styleId="Heading6">
    <w:name w:val="heading 6"/>
    <w:basedOn w:val="Normal"/>
    <w:next w:val="Normal"/>
    <w:link w:val="Heading6Char"/>
    <w:uiPriority w:val="9"/>
    <w:semiHidden/>
    <w:unhideWhenUsed/>
    <w:qFormat/>
    <w:rsid w:val="00506FEF"/>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bidi="ar-SA"/>
      <w14:ligatures w14:val="standardContextual"/>
    </w:rPr>
  </w:style>
  <w:style w:type="paragraph" w:styleId="Heading7">
    <w:name w:val="heading 7"/>
    <w:basedOn w:val="Normal"/>
    <w:next w:val="Normal"/>
    <w:link w:val="Heading7Char"/>
    <w:uiPriority w:val="9"/>
    <w:semiHidden/>
    <w:unhideWhenUsed/>
    <w:qFormat/>
    <w:rsid w:val="00506FEF"/>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sz w:val="24"/>
      <w:szCs w:val="24"/>
      <w:lang w:eastAsia="en-US" w:bidi="ar-SA"/>
      <w14:ligatures w14:val="standardContextual"/>
    </w:rPr>
  </w:style>
  <w:style w:type="paragraph" w:styleId="Heading8">
    <w:name w:val="heading 8"/>
    <w:basedOn w:val="Normal"/>
    <w:next w:val="Normal"/>
    <w:link w:val="Heading8Char"/>
    <w:uiPriority w:val="9"/>
    <w:semiHidden/>
    <w:unhideWhenUsed/>
    <w:qFormat/>
    <w:rsid w:val="00506FEF"/>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sz w:val="24"/>
      <w:szCs w:val="24"/>
      <w:lang w:eastAsia="en-US" w:bidi="ar-SA"/>
      <w14:ligatures w14:val="standardContextual"/>
    </w:rPr>
  </w:style>
  <w:style w:type="paragraph" w:styleId="Heading9">
    <w:name w:val="heading 9"/>
    <w:basedOn w:val="Normal"/>
    <w:next w:val="Normal"/>
    <w:link w:val="Heading9Char"/>
    <w:uiPriority w:val="9"/>
    <w:semiHidden/>
    <w:unhideWhenUsed/>
    <w:qFormat/>
    <w:rsid w:val="00506FEF"/>
    <w:pPr>
      <w:keepNext/>
      <w:keepLines/>
      <w:suppressAutoHyphens w:val="0"/>
      <w:spacing w:line="278" w:lineRule="auto"/>
      <w:outlineLvl w:val="8"/>
    </w:pPr>
    <w:rPr>
      <w:rFonts w:asciiTheme="minorHAnsi" w:eastAsiaTheme="majorEastAsia" w:hAnsiTheme="minorHAnsi" w:cstheme="majorBidi"/>
      <w:color w:val="272727" w:themeColor="text1" w:themeTint="D8"/>
      <w:kern w:val="2"/>
      <w:sz w:val="24"/>
      <w:szCs w:val="24"/>
      <w:lang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F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6F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6F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6F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6F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6F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6F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6F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6FEF"/>
    <w:rPr>
      <w:rFonts w:eastAsiaTheme="majorEastAsia" w:cstheme="majorBidi"/>
      <w:color w:val="272727" w:themeColor="text1" w:themeTint="D8"/>
    </w:rPr>
  </w:style>
  <w:style w:type="paragraph" w:styleId="Title">
    <w:name w:val="Title"/>
    <w:basedOn w:val="Normal"/>
    <w:next w:val="Normal"/>
    <w:link w:val="TitleChar"/>
    <w:uiPriority w:val="10"/>
    <w:qFormat/>
    <w:rsid w:val="00506FEF"/>
    <w:pPr>
      <w:suppressAutoHyphens w:val="0"/>
      <w:spacing w:after="80"/>
      <w:contextualSpacing/>
    </w:pPr>
    <w:rPr>
      <w:rFonts w:asciiTheme="majorHAnsi" w:eastAsiaTheme="majorEastAsia" w:hAnsiTheme="majorHAnsi" w:cstheme="majorBidi"/>
      <w:spacing w:val="-10"/>
      <w:kern w:val="28"/>
      <w:sz w:val="56"/>
      <w:szCs w:val="56"/>
      <w:lang w:eastAsia="en-US" w:bidi="ar-SA"/>
      <w14:ligatures w14:val="standardContextual"/>
    </w:rPr>
  </w:style>
  <w:style w:type="character" w:customStyle="1" w:styleId="TitleChar">
    <w:name w:val="Title Char"/>
    <w:basedOn w:val="DefaultParagraphFont"/>
    <w:link w:val="Title"/>
    <w:uiPriority w:val="10"/>
    <w:rsid w:val="00506F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6FEF"/>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bidi="ar-SA"/>
      <w14:ligatures w14:val="standardContextual"/>
    </w:rPr>
  </w:style>
  <w:style w:type="character" w:customStyle="1" w:styleId="SubtitleChar">
    <w:name w:val="Subtitle Char"/>
    <w:basedOn w:val="DefaultParagraphFont"/>
    <w:link w:val="Subtitle"/>
    <w:uiPriority w:val="11"/>
    <w:rsid w:val="00506F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6FEF"/>
    <w:pPr>
      <w:suppressAutoHyphens w:val="0"/>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bidi="ar-SA"/>
      <w14:ligatures w14:val="standardContextual"/>
    </w:rPr>
  </w:style>
  <w:style w:type="character" w:customStyle="1" w:styleId="QuoteChar">
    <w:name w:val="Quote Char"/>
    <w:basedOn w:val="DefaultParagraphFont"/>
    <w:link w:val="Quote"/>
    <w:uiPriority w:val="29"/>
    <w:rsid w:val="00506FEF"/>
    <w:rPr>
      <w:i/>
      <w:iCs/>
      <w:color w:val="404040" w:themeColor="text1" w:themeTint="BF"/>
    </w:rPr>
  </w:style>
  <w:style w:type="paragraph" w:styleId="ListParagraph">
    <w:name w:val="List Paragraph"/>
    <w:basedOn w:val="Normal"/>
    <w:uiPriority w:val="34"/>
    <w:qFormat/>
    <w:rsid w:val="00506FEF"/>
    <w:pPr>
      <w:suppressAutoHyphens w:val="0"/>
      <w:spacing w:after="160" w:line="278" w:lineRule="auto"/>
      <w:ind w:left="720"/>
      <w:contextualSpacing/>
    </w:pPr>
    <w:rPr>
      <w:rFonts w:asciiTheme="minorHAnsi" w:eastAsiaTheme="minorHAnsi" w:hAnsiTheme="minorHAnsi" w:cstheme="minorBidi"/>
      <w:kern w:val="2"/>
      <w:sz w:val="24"/>
      <w:szCs w:val="24"/>
      <w:lang w:eastAsia="en-US" w:bidi="ar-SA"/>
      <w14:ligatures w14:val="standardContextual"/>
    </w:rPr>
  </w:style>
  <w:style w:type="character" w:styleId="IntenseEmphasis">
    <w:name w:val="Intense Emphasis"/>
    <w:basedOn w:val="DefaultParagraphFont"/>
    <w:uiPriority w:val="21"/>
    <w:qFormat/>
    <w:rsid w:val="00506FEF"/>
    <w:rPr>
      <w:i/>
      <w:iCs/>
      <w:color w:val="0F4761" w:themeColor="accent1" w:themeShade="BF"/>
    </w:rPr>
  </w:style>
  <w:style w:type="paragraph" w:styleId="IntenseQuote">
    <w:name w:val="Intense Quote"/>
    <w:basedOn w:val="Normal"/>
    <w:next w:val="Normal"/>
    <w:link w:val="IntenseQuoteChar"/>
    <w:uiPriority w:val="30"/>
    <w:qFormat/>
    <w:rsid w:val="00506FEF"/>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bidi="ar-SA"/>
      <w14:ligatures w14:val="standardContextual"/>
    </w:rPr>
  </w:style>
  <w:style w:type="character" w:customStyle="1" w:styleId="IntenseQuoteChar">
    <w:name w:val="Intense Quote Char"/>
    <w:basedOn w:val="DefaultParagraphFont"/>
    <w:link w:val="IntenseQuote"/>
    <w:uiPriority w:val="30"/>
    <w:rsid w:val="00506FEF"/>
    <w:rPr>
      <w:i/>
      <w:iCs/>
      <w:color w:val="0F4761" w:themeColor="accent1" w:themeShade="BF"/>
    </w:rPr>
  </w:style>
  <w:style w:type="character" w:styleId="IntenseReference">
    <w:name w:val="Intense Reference"/>
    <w:basedOn w:val="DefaultParagraphFont"/>
    <w:uiPriority w:val="32"/>
    <w:qFormat/>
    <w:rsid w:val="00506FE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246</Words>
  <Characters>1408</Characters>
  <Application>Microsoft Office Word</Application>
  <DocSecurity>0</DocSecurity>
  <Lines>11</Lines>
  <Paragraphs>3</Paragraphs>
  <ScaleCrop>false</ScaleCrop>
  <Company>Springer Nature</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2026-06-16T06:07:00Z</dcterms:created>
  <dcterms:modified xsi:type="dcterms:W3CDTF">2026-06-16T06:08:00Z</dcterms:modified>
</cp:coreProperties>
</file>