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 w:eastAsia="Times New Roman" w:cs="Times New Roman"/>
          <w:rFonts w:ascii="Times New Roman" w:hAnsi="Times New Roman"/>
          <w:b/>
          <w:sz w:val="24"/>
        </w:rPr>
        <w:t>S2 Table. Raw data of offensive and defensive technical indicators for the 2024 Paris Olympic Women's Basketball Tournament (selected matches).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Matchup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Points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2PT%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3PT%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FT%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OREB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DREB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AST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Fouls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Turnovers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Steals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/>
                <w:sz w:val="20"/>
              </w:rPr>
              <w:t>Blocks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Spain vs China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0.776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Serbia vs Puerto Rico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113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0.306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8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Puerto Rico vs Spain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125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0.527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0.196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0.792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China vs Serbia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140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0.411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0.766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China vs Puerto Rico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0.443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0.293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0.566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Serbia vs Spain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132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0.225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0.868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Nigeria vs Australia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0.393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0.651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Canada vs France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129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0.268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0.725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9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Australia vs Canada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0.406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9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France vs Nigeria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129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0.489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0.287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0.661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Canada vs Nigeria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149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0.289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0.753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Australia vs France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151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0.595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0.325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0.783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7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Germany vs Belgium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0.389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7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USA vs Japan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178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0.293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0.806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11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Japan vs Germany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0.417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0.759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Belgium vs USA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161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0.515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0.271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0.873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Japan vs Belgium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143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0.485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0.795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8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Germany vs USA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155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0.484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0.407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0.778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8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Serbia vs Australia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152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0.481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0.339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0.726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Spain vs Belgium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0.441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0.432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8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Germany vs France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155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0.451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0.347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0.846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8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Nigeria vs USA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162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0.251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0.747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USA vs Australia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149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0.327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0.892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9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France vs Belgium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156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0.263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0.834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6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Belgium vs Australia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166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0.495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0.379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0.79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43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20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10</w:t>
            </w:r>
          </w:p>
        </w:tc>
      </w:tr>
      <w:tr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France vs USA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0.409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0.181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0.897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32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55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30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38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33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19</w:t>
            </w:r>
          </w:p>
        </w:tc>
        <w:tc>
          <w:tcPr>
            <w:tcW w:type="dxa" w:w="780"/>
          </w:tcPr>
          <w:p>
            <w:r>
              <w:rPr>
                <w:rFonts w:ascii="Times New Roman" w:hAnsi="Times New Roman" w:eastAsia="Times New Roman" w:cs="Times New Roman"/>
                <w:b w:val="0"/>
                <w:sz w:val="20"/>
              </w:rPr>
              <w:t>8</w:t>
            </w:r>
          </w:p>
        </w:tc>
      </w:tr>
    </w:tbl>
    <w:p>
      <w:r>
        <w:rPr>
          <w:rFonts w:ascii="Times New Roman" w:hAnsi="Times New Roman" w:eastAsia="Times New Roman" w:cs="Times New Roman"/>
          <w:rFonts w:ascii="Times New Roman" w:hAnsi="Times New Roman"/>
          <w:i/>
          <w:sz w:val="20"/>
        </w:rPr>
        <w:t>Note: All data are sourced from the 2024 Paris Olympic Women's Basketball Tournament matches collected for this study and do not involve data from other competitions.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