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AA771" w14:textId="45087A84" w:rsidR="00FD68B5" w:rsidRPr="00D0668C" w:rsidRDefault="00FD68B5"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Decadal debris records reveal legacy accumulation and emerging fishing-derived plastic inputs across the North Pacific.</w:t>
      </w:r>
    </w:p>
    <w:p w14:paraId="3F81A48E" w14:textId="77777777" w:rsidR="004C7DF7" w:rsidRPr="00D0668C" w:rsidRDefault="004C7DF7" w:rsidP="00432CD1">
      <w:pPr>
        <w:spacing w:line="276" w:lineRule="auto"/>
        <w:jc w:val="both"/>
        <w:rPr>
          <w:rFonts w:ascii="Times New Roman" w:hAnsi="Times New Roman" w:cs="Times New Roman"/>
          <w:color w:val="000000" w:themeColor="text1"/>
          <w:sz w:val="24"/>
          <w:szCs w:val="24"/>
          <w:u w:val="single"/>
          <w:lang w:val="en-US"/>
        </w:rPr>
      </w:pPr>
      <w:r w:rsidRPr="00D0668C">
        <w:rPr>
          <w:rFonts w:ascii="Times New Roman" w:hAnsi="Times New Roman" w:cs="Times New Roman"/>
          <w:color w:val="000000" w:themeColor="text1"/>
          <w:sz w:val="24"/>
          <w:szCs w:val="24"/>
          <w:lang w:val="en-US"/>
        </w:rPr>
        <w:t>Sarah-Jeanne Royer</w:t>
      </w:r>
      <w:r w:rsidRPr="00D0668C">
        <w:rPr>
          <w:rFonts w:ascii="Times New Roman" w:hAnsi="Times New Roman" w:cs="Times New Roman"/>
          <w:color w:val="000000" w:themeColor="text1"/>
          <w:sz w:val="24"/>
          <w:szCs w:val="24"/>
          <w:vertAlign w:val="superscript"/>
          <w:lang w:val="en-US"/>
        </w:rPr>
        <w:t>1*</w:t>
      </w:r>
      <w:r w:rsidRPr="00D0668C">
        <w:rPr>
          <w:rFonts w:ascii="Times New Roman" w:hAnsi="Times New Roman" w:cs="Times New Roman"/>
          <w:color w:val="000000" w:themeColor="text1"/>
          <w:sz w:val="24"/>
          <w:szCs w:val="24"/>
          <w:lang w:val="en-US"/>
        </w:rPr>
        <w:t>, Wouter-Jan Strietman</w:t>
      </w:r>
      <w:r w:rsidRPr="00D0668C">
        <w:rPr>
          <w:rFonts w:ascii="Times New Roman" w:hAnsi="Times New Roman" w:cs="Times New Roman"/>
          <w:color w:val="000000" w:themeColor="text1"/>
          <w:sz w:val="24"/>
          <w:szCs w:val="24"/>
          <w:vertAlign w:val="superscript"/>
          <w:lang w:val="en-US"/>
        </w:rPr>
        <w:t>2</w:t>
      </w:r>
      <w:r w:rsidRPr="00D0668C">
        <w:rPr>
          <w:rFonts w:ascii="Times New Roman" w:hAnsi="Times New Roman" w:cs="Times New Roman"/>
          <w:color w:val="000000" w:themeColor="text1"/>
          <w:sz w:val="24"/>
          <w:szCs w:val="24"/>
          <w:lang w:val="en-US"/>
        </w:rPr>
        <w:t>, Peter Puskic</w:t>
      </w:r>
      <w:r w:rsidRPr="00D0668C">
        <w:rPr>
          <w:rFonts w:ascii="Times New Roman" w:hAnsi="Times New Roman" w:cs="Times New Roman"/>
          <w:color w:val="000000" w:themeColor="text1"/>
          <w:sz w:val="24"/>
          <w:szCs w:val="24"/>
          <w:vertAlign w:val="superscript"/>
          <w:lang w:val="en-US"/>
        </w:rPr>
        <w:t>1</w:t>
      </w:r>
      <w:r w:rsidRPr="00D0668C">
        <w:rPr>
          <w:rFonts w:ascii="Times New Roman" w:hAnsi="Times New Roman" w:cs="Times New Roman"/>
          <w:color w:val="000000" w:themeColor="text1"/>
          <w:sz w:val="24"/>
          <w:szCs w:val="24"/>
          <w:lang w:val="en-US"/>
        </w:rPr>
        <w:t>, Matthias Egger</w:t>
      </w:r>
      <w:r w:rsidRPr="00D0668C">
        <w:rPr>
          <w:rFonts w:ascii="Times New Roman" w:hAnsi="Times New Roman" w:cs="Times New Roman"/>
          <w:color w:val="000000" w:themeColor="text1"/>
          <w:sz w:val="24"/>
          <w:szCs w:val="24"/>
          <w:vertAlign w:val="superscript"/>
          <w:lang w:val="en-US"/>
        </w:rPr>
        <w:t>1,3</w:t>
      </w:r>
      <w:r w:rsidRPr="00D0668C">
        <w:rPr>
          <w:rFonts w:ascii="Times New Roman" w:hAnsi="Times New Roman" w:cs="Times New Roman"/>
          <w:color w:val="000000" w:themeColor="text1"/>
          <w:sz w:val="24"/>
          <w:szCs w:val="24"/>
          <w:lang w:val="en-US"/>
        </w:rPr>
        <w:t>, Rafael Bergstrom</w:t>
      </w:r>
      <w:r w:rsidRPr="00D0668C">
        <w:rPr>
          <w:rFonts w:ascii="Times New Roman" w:hAnsi="Times New Roman" w:cs="Times New Roman"/>
          <w:color w:val="000000" w:themeColor="text1"/>
          <w:sz w:val="24"/>
          <w:szCs w:val="24"/>
          <w:vertAlign w:val="superscript"/>
          <w:lang w:val="en-US"/>
        </w:rPr>
        <w:t>4</w:t>
      </w:r>
      <w:r w:rsidRPr="00D0668C">
        <w:rPr>
          <w:rFonts w:ascii="Times New Roman" w:hAnsi="Times New Roman" w:cs="Times New Roman"/>
          <w:color w:val="000000" w:themeColor="text1"/>
          <w:sz w:val="24"/>
          <w:szCs w:val="24"/>
          <w:lang w:val="en-US"/>
        </w:rPr>
        <w:t>, Kevin O’Brien</w:t>
      </w:r>
      <w:r w:rsidRPr="00D0668C">
        <w:rPr>
          <w:rFonts w:ascii="Times New Roman" w:hAnsi="Times New Roman" w:cs="Times New Roman"/>
          <w:color w:val="000000" w:themeColor="text1"/>
          <w:sz w:val="24"/>
          <w:szCs w:val="24"/>
          <w:vertAlign w:val="superscript"/>
          <w:lang w:val="en-US"/>
        </w:rPr>
        <w:t>5</w:t>
      </w:r>
      <w:r w:rsidRPr="00D0668C">
        <w:rPr>
          <w:rFonts w:ascii="Times New Roman" w:hAnsi="Times New Roman" w:cs="Times New Roman"/>
          <w:color w:val="000000" w:themeColor="text1"/>
          <w:sz w:val="24"/>
          <w:szCs w:val="24"/>
          <w:lang w:val="en-US"/>
        </w:rPr>
        <w:t>, Laurent Lebreton</w:t>
      </w:r>
      <w:r w:rsidRPr="00D0668C">
        <w:rPr>
          <w:rFonts w:ascii="Times New Roman" w:hAnsi="Times New Roman" w:cs="Times New Roman"/>
          <w:color w:val="000000" w:themeColor="text1"/>
          <w:sz w:val="24"/>
          <w:szCs w:val="24"/>
          <w:vertAlign w:val="superscript"/>
          <w:lang w:val="en-US"/>
        </w:rPr>
        <w:t>1,6</w:t>
      </w:r>
    </w:p>
    <w:p w14:paraId="6B92B3ED"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vertAlign w:val="superscript"/>
          <w:lang w:val="en-US"/>
        </w:rPr>
        <w:t xml:space="preserve">1 </w:t>
      </w:r>
      <w:r w:rsidRPr="00D0668C">
        <w:rPr>
          <w:rFonts w:ascii="Times New Roman" w:hAnsi="Times New Roman" w:cs="Times New Roman"/>
          <w:color w:val="000000" w:themeColor="text1"/>
          <w:sz w:val="24"/>
          <w:szCs w:val="24"/>
          <w:lang w:val="en-US"/>
        </w:rPr>
        <w:t>The Ocean Cleanup, Rotterdam, The Netherlands</w:t>
      </w:r>
    </w:p>
    <w:p w14:paraId="760D6ADA"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vertAlign w:val="superscript"/>
          <w:lang w:val="en-US"/>
        </w:rPr>
        <w:t>2</w:t>
      </w:r>
      <w:r w:rsidRPr="00D0668C">
        <w:rPr>
          <w:rFonts w:ascii="Times New Roman" w:hAnsi="Times New Roman" w:cs="Times New Roman"/>
          <w:color w:val="000000" w:themeColor="text1"/>
          <w:sz w:val="24"/>
          <w:szCs w:val="24"/>
          <w:lang w:val="en-US"/>
        </w:rPr>
        <w:t xml:space="preserve"> </w:t>
      </w:r>
      <w:r w:rsidRPr="00D0668C">
        <w:rPr>
          <w:rFonts w:ascii="Calibri" w:hAnsi="Calibri" w:cs="Calibri"/>
          <w:color w:val="000000" w:themeColor="text1"/>
          <w:sz w:val="24"/>
          <w:szCs w:val="24"/>
        </w:rPr>
        <w:t>﻿</w:t>
      </w:r>
      <w:r w:rsidRPr="00D0668C">
        <w:rPr>
          <w:rFonts w:ascii="Times New Roman" w:hAnsi="Times New Roman" w:cs="Times New Roman"/>
          <w:color w:val="000000" w:themeColor="text1"/>
          <w:sz w:val="24"/>
          <w:szCs w:val="24"/>
          <w:lang w:val="en-US"/>
        </w:rPr>
        <w:t>Wageningen Social &amp; Economic Research, Wageningen, The Netherlands</w:t>
      </w:r>
    </w:p>
    <w:p w14:paraId="7BC932A4"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vertAlign w:val="superscript"/>
          <w:lang w:val="en-US"/>
        </w:rPr>
        <w:t>3</w:t>
      </w:r>
      <w:r w:rsidRPr="00D0668C">
        <w:rPr>
          <w:rFonts w:ascii="Times New Roman" w:hAnsi="Times New Roman" w:cs="Times New Roman"/>
          <w:color w:val="000000" w:themeColor="text1"/>
          <w:sz w:val="24"/>
          <w:szCs w:val="24"/>
          <w:lang w:val="en-US"/>
        </w:rPr>
        <w:t xml:space="preserve"> </w:t>
      </w:r>
      <w:proofErr w:type="spellStart"/>
      <w:r w:rsidRPr="00D0668C">
        <w:rPr>
          <w:rFonts w:ascii="Times New Roman" w:hAnsi="Times New Roman" w:cs="Times New Roman"/>
          <w:color w:val="000000" w:themeColor="text1"/>
          <w:sz w:val="24"/>
          <w:szCs w:val="24"/>
          <w:lang w:val="en-US"/>
        </w:rPr>
        <w:t>Empaqtify</w:t>
      </w:r>
      <w:proofErr w:type="spellEnd"/>
      <w:r w:rsidRPr="00D0668C">
        <w:rPr>
          <w:rFonts w:ascii="Times New Roman" w:hAnsi="Times New Roman" w:cs="Times New Roman"/>
          <w:color w:val="000000" w:themeColor="text1"/>
          <w:sz w:val="24"/>
          <w:szCs w:val="24"/>
          <w:lang w:val="en-US"/>
        </w:rPr>
        <w:t>, St. Gallen, Switzerland</w:t>
      </w:r>
    </w:p>
    <w:p w14:paraId="70A8AABF"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vertAlign w:val="superscript"/>
          <w:lang w:val="en-US"/>
        </w:rPr>
        <w:t xml:space="preserve">4 </w:t>
      </w:r>
      <w:r w:rsidRPr="00D0668C">
        <w:rPr>
          <w:rFonts w:ascii="Times New Roman" w:hAnsi="Times New Roman" w:cs="Times New Roman"/>
          <w:color w:val="000000" w:themeColor="text1"/>
          <w:sz w:val="24"/>
          <w:szCs w:val="24"/>
          <w:lang w:val="en-US"/>
        </w:rPr>
        <w:t>Sustainable Coastlines Hawaiʻi, Oʻahu, United States</w:t>
      </w:r>
    </w:p>
    <w:p w14:paraId="11AB5441"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bCs/>
          <w:color w:val="000000" w:themeColor="text1"/>
          <w:sz w:val="24"/>
          <w:szCs w:val="24"/>
          <w:vertAlign w:val="superscript"/>
          <w:lang w:val="en-US"/>
        </w:rPr>
        <w:t>5</w:t>
      </w:r>
      <w:r w:rsidRPr="00D0668C">
        <w:rPr>
          <w:rFonts w:ascii="Times New Roman" w:eastAsia="Times New Roman" w:hAnsi="Times New Roman" w:cs="Times New Roman"/>
          <w:color w:val="000000" w:themeColor="text1"/>
          <w:sz w:val="24"/>
          <w:szCs w:val="24"/>
          <w:lang w:val="en-US"/>
        </w:rPr>
        <w:t xml:space="preserve"> Papahānaumokuākea Marine Debris Project, </w:t>
      </w:r>
      <w:r w:rsidRPr="00D0668C">
        <w:rPr>
          <w:rFonts w:ascii="Times New Roman" w:hAnsi="Times New Roman" w:cs="Times New Roman"/>
          <w:color w:val="000000" w:themeColor="text1"/>
          <w:sz w:val="24"/>
          <w:szCs w:val="24"/>
          <w:lang w:val="en-US"/>
        </w:rPr>
        <w:t>Hawaiʻi, Oʻahu, United States</w:t>
      </w:r>
    </w:p>
    <w:p w14:paraId="74CC069F" w14:textId="77777777" w:rsidR="004C7DF7" w:rsidRPr="00D0668C" w:rsidRDefault="004C7DF7" w:rsidP="00432CD1">
      <w:pPr>
        <w:spacing w:line="276" w:lineRule="auto"/>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vertAlign w:val="superscript"/>
          <w:lang w:val="en-US"/>
        </w:rPr>
        <w:t>6</w:t>
      </w:r>
      <w:r w:rsidRPr="00D0668C">
        <w:rPr>
          <w:rFonts w:ascii="Times New Roman" w:hAnsi="Times New Roman" w:cs="Times New Roman"/>
          <w:color w:val="000000" w:themeColor="text1"/>
          <w:sz w:val="24"/>
          <w:szCs w:val="24"/>
          <w:lang w:val="en-US"/>
        </w:rPr>
        <w:t xml:space="preserve"> The Modelling House, Raglan, New Zealand</w:t>
      </w:r>
    </w:p>
    <w:p w14:paraId="396FC159" w14:textId="77777777" w:rsidR="004C7DF7" w:rsidRPr="00D0668C" w:rsidRDefault="004C7DF7" w:rsidP="00432CD1">
      <w:pPr>
        <w:spacing w:line="276" w:lineRule="auto"/>
        <w:jc w:val="both"/>
        <w:rPr>
          <w:rFonts w:ascii="Times New Roman" w:hAnsi="Times New Roman" w:cs="Times New Roman"/>
          <w:b/>
          <w:color w:val="000000" w:themeColor="text1"/>
          <w:sz w:val="24"/>
          <w:szCs w:val="24"/>
          <w:lang w:val="en-US"/>
        </w:rPr>
      </w:pPr>
      <w:r w:rsidRPr="00D0668C">
        <w:rPr>
          <w:rFonts w:ascii="Times New Roman" w:hAnsi="Times New Roman" w:cs="Times New Roman"/>
          <w:b/>
          <w:color w:val="000000" w:themeColor="text1"/>
          <w:sz w:val="24"/>
          <w:szCs w:val="24"/>
          <w:lang w:val="en-US"/>
        </w:rPr>
        <w:t>*Corresponding author: sarah-jeanne.royer@theoceancleanup.com</w:t>
      </w:r>
    </w:p>
    <w:p w14:paraId="06C8E490" w14:textId="77777777" w:rsidR="003E5317" w:rsidRPr="00D0668C" w:rsidRDefault="003E5317"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1EBD1220" w14:textId="77777777" w:rsidR="00AC3BB0" w:rsidRPr="00D0668C" w:rsidRDefault="00AC3BB0" w:rsidP="00AC3BB0">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color w:val="000000" w:themeColor="text1"/>
          <w:sz w:val="24"/>
          <w:szCs w:val="24"/>
          <w:lang w:val="en-US"/>
        </w:rPr>
        <w:lastRenderedPageBreak/>
        <w:t>Supplementary Results</w:t>
      </w:r>
    </w:p>
    <w:p w14:paraId="566D0F9E" w14:textId="7E8DF657"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1. Detailed debris mass and counts by region and cleanup event</w:t>
      </w:r>
    </w:p>
    <w:p w14:paraId="30FD10DE" w14:textId="1A76B3C4"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Full details of debris collection dates, locations, weights, and cleanup effort by region and event are provided in Supplementary Table S1. The NPGP dataset comprised seven collection events between 2015 and 2024, ranging from 618 kg (System 001/B, 2019) to 6,453 kg (System 03, September 2023).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collections covered </w:t>
      </w:r>
      <w:r w:rsidR="0079562B" w:rsidRPr="00D0668C">
        <w:rPr>
          <w:rFonts w:ascii="Times New Roman" w:hAnsi="Times New Roman" w:cs="Times New Roman"/>
          <w:color w:val="000000" w:themeColor="text1"/>
          <w:sz w:val="24"/>
          <w:szCs w:val="24"/>
          <w:lang w:val="en-US"/>
        </w:rPr>
        <w:t xml:space="preserve">three </w:t>
      </w:r>
      <w:r w:rsidRPr="00D0668C">
        <w:rPr>
          <w:rFonts w:ascii="Times New Roman" w:hAnsi="Times New Roman" w:cs="Times New Roman"/>
          <w:color w:val="000000" w:themeColor="text1"/>
          <w:sz w:val="24"/>
          <w:szCs w:val="24"/>
          <w:lang w:val="en-US"/>
        </w:rPr>
        <w:t xml:space="preserve">islands across 2024–2025, with the largest single event yielding 8,182 kg at </w:t>
      </w:r>
      <w:proofErr w:type="spellStart"/>
      <w:r w:rsidR="004248C3" w:rsidRPr="0028501A">
        <w:rPr>
          <w:rFonts w:ascii="Times New Roman" w:hAnsi="Times New Roman" w:cs="Times New Roman"/>
          <w:sz w:val="24"/>
          <w:szCs w:val="24"/>
          <w:lang w:val="en-US"/>
        </w:rPr>
        <w:t>Kamole</w:t>
      </w:r>
      <w:proofErr w:type="spellEnd"/>
      <w:r w:rsidR="004248C3" w:rsidRPr="00D0668C" w:rsidDel="004248C3">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Island in June–July 2024. MHI collections included 45 small-scale monthly cleanups at Kahuku Beach (average surface area ~1,500 m²) and three large-scale events at Kahuku and Kalaupapa, yielding 4,524 kg and 4,221 kg, respectively. Total item counts by region were: NPGP 87,837 items;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78,195 items; MHI 91,808 items (Supplementary Table S1).</w:t>
      </w:r>
    </w:p>
    <w:p w14:paraId="777CE0C6" w14:textId="27306530"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2. Detailed item counts and category breakdown</w:t>
      </w:r>
    </w:p>
    <w:p w14:paraId="0CC7FAC1" w14:textId="56DB2990"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Full item-count data by category across all three regions are provided in Supplementary Fig. S1 and Supplementary Data File 1. In the NPGP, the largest numerical contributions came from fragments greater than 5 cm (35%), fishing gear excluding nets and ropes (14%), household items (16%), and crates (14%).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fragments greater than 5 cm (35%) and floats/buoys (20%) dominated, followed by household items (14%), food and drink items (13%), and aquaculture gear (12%). In the MHI, fragments greater than 5 cm (31%), aquaculture gear (24%), and food and drink items (21%) were most abundant. Items represented by fewer than 10 individuals are excluded from figures but included in Supplementary Data File 1.</w:t>
      </w:r>
    </w:p>
    <w:p w14:paraId="6EEB6419" w14:textId="06A6A667"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3. Brand analysis</w:t>
      </w:r>
    </w:p>
    <w:p w14:paraId="576C16CE" w14:textId="30D65E78"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Full brand data are available in Supplementary Data File 1; key patterns are </w:t>
      </w:r>
      <w:proofErr w:type="spellStart"/>
      <w:r w:rsidRPr="00D0668C">
        <w:rPr>
          <w:rFonts w:ascii="Times New Roman" w:hAnsi="Times New Roman" w:cs="Times New Roman"/>
          <w:color w:val="000000" w:themeColor="text1"/>
          <w:sz w:val="24"/>
          <w:szCs w:val="24"/>
          <w:lang w:val="en-US"/>
        </w:rPr>
        <w:t>summarised</w:t>
      </w:r>
      <w:proofErr w:type="spellEnd"/>
      <w:r w:rsidRPr="00D0668C">
        <w:rPr>
          <w:rFonts w:ascii="Times New Roman" w:hAnsi="Times New Roman" w:cs="Times New Roman"/>
          <w:color w:val="000000" w:themeColor="text1"/>
          <w:sz w:val="24"/>
          <w:szCs w:val="24"/>
          <w:lang w:val="en-US"/>
        </w:rPr>
        <w:t xml:space="preserve"> here and in Fig. 5 of the main text. Brand markings were identified on 11,327 items across 2,594 distinct brands. The most represented brand was Master Kong (930 items), a Chinese food and beverage company, particularly abundant in the MHI (507 items) and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(345 items). Chinese float and buoy manufacturers dominated ALDFG-related brands: Zhejiang (914 items), </w:t>
      </w:r>
      <w:proofErr w:type="spellStart"/>
      <w:r w:rsidRPr="00D0668C">
        <w:rPr>
          <w:rFonts w:ascii="Times New Roman" w:hAnsi="Times New Roman" w:cs="Times New Roman"/>
          <w:color w:val="000000" w:themeColor="text1"/>
          <w:sz w:val="24"/>
          <w:szCs w:val="24"/>
          <w:lang w:val="en-US"/>
        </w:rPr>
        <w:t>Yufa</w:t>
      </w:r>
      <w:proofErr w:type="spellEnd"/>
      <w:r w:rsidRPr="00D0668C">
        <w:rPr>
          <w:rFonts w:ascii="Times New Roman" w:hAnsi="Times New Roman" w:cs="Times New Roman"/>
          <w:color w:val="000000" w:themeColor="text1"/>
          <w:sz w:val="24"/>
          <w:szCs w:val="24"/>
          <w:lang w:val="en-US"/>
        </w:rPr>
        <w:t xml:space="preserve"> (471 items), and Sun Brand (408 items). Chinese beverage brands were also prominent, including </w:t>
      </w:r>
      <w:proofErr w:type="spellStart"/>
      <w:r w:rsidRPr="00D0668C">
        <w:rPr>
          <w:rFonts w:ascii="Times New Roman" w:hAnsi="Times New Roman" w:cs="Times New Roman"/>
          <w:color w:val="000000" w:themeColor="text1"/>
          <w:sz w:val="24"/>
          <w:szCs w:val="24"/>
          <w:lang w:val="en-US"/>
        </w:rPr>
        <w:t>Nongfu</w:t>
      </w:r>
      <w:proofErr w:type="spellEnd"/>
      <w:r w:rsidRPr="00D0668C">
        <w:rPr>
          <w:rFonts w:ascii="Times New Roman" w:hAnsi="Times New Roman" w:cs="Times New Roman"/>
          <w:color w:val="000000" w:themeColor="text1"/>
          <w:sz w:val="24"/>
          <w:szCs w:val="24"/>
          <w:lang w:val="en-US"/>
        </w:rPr>
        <w:t xml:space="preserve"> Spring (367 items), </w:t>
      </w:r>
      <w:proofErr w:type="spellStart"/>
      <w:r w:rsidRPr="00D0668C">
        <w:rPr>
          <w:rFonts w:ascii="Times New Roman" w:hAnsi="Times New Roman" w:cs="Times New Roman"/>
          <w:color w:val="000000" w:themeColor="text1"/>
          <w:sz w:val="24"/>
          <w:szCs w:val="24"/>
          <w:lang w:val="en-US"/>
        </w:rPr>
        <w:t>Wahaha</w:t>
      </w:r>
      <w:proofErr w:type="spellEnd"/>
      <w:r w:rsidRPr="00D0668C">
        <w:rPr>
          <w:rFonts w:ascii="Times New Roman" w:hAnsi="Times New Roman" w:cs="Times New Roman"/>
          <w:color w:val="000000" w:themeColor="text1"/>
          <w:sz w:val="24"/>
          <w:szCs w:val="24"/>
          <w:lang w:val="en-US"/>
        </w:rPr>
        <w:t xml:space="preserve"> (344 items), and </w:t>
      </w:r>
      <w:proofErr w:type="spellStart"/>
      <w:r w:rsidRPr="00D0668C">
        <w:rPr>
          <w:rFonts w:ascii="Times New Roman" w:hAnsi="Times New Roman" w:cs="Times New Roman"/>
          <w:color w:val="000000" w:themeColor="text1"/>
          <w:sz w:val="24"/>
          <w:szCs w:val="24"/>
          <w:lang w:val="en-US"/>
        </w:rPr>
        <w:t>C'estbon</w:t>
      </w:r>
      <w:proofErr w:type="spellEnd"/>
      <w:r w:rsidRPr="00D0668C">
        <w:rPr>
          <w:rFonts w:ascii="Times New Roman" w:hAnsi="Times New Roman" w:cs="Times New Roman"/>
          <w:color w:val="000000" w:themeColor="text1"/>
          <w:sz w:val="24"/>
          <w:szCs w:val="24"/>
          <w:lang w:val="en-US"/>
        </w:rPr>
        <w:t xml:space="preserve"> (155 items). Japanese float manufacturers — Sanshin Kako (263 items), Nichimo (196 items), Donan Float (100 items), </w:t>
      </w:r>
      <w:proofErr w:type="spellStart"/>
      <w:r w:rsidRPr="00D0668C">
        <w:rPr>
          <w:rFonts w:ascii="Times New Roman" w:hAnsi="Times New Roman" w:cs="Times New Roman"/>
          <w:color w:val="000000" w:themeColor="text1"/>
          <w:sz w:val="24"/>
          <w:szCs w:val="24"/>
          <w:lang w:val="en-US"/>
        </w:rPr>
        <w:t>Uroko</w:t>
      </w:r>
      <w:proofErr w:type="spellEnd"/>
      <w:r w:rsidRPr="00D0668C">
        <w:rPr>
          <w:rFonts w:ascii="Times New Roman" w:hAnsi="Times New Roman" w:cs="Times New Roman"/>
          <w:color w:val="000000" w:themeColor="text1"/>
          <w:sz w:val="24"/>
          <w:szCs w:val="24"/>
          <w:lang w:val="en-US"/>
        </w:rPr>
        <w:t xml:space="preserve"> Float (92 items), Viny Float (88 items), Oyama Blow (88 items), and Sanko (54 items) — were particularly well represented in the NPGP. Indonesian brand Aqua (308 items) and Korean brand Namyang (72 items) were present across all regions. International brands, including Nestlé (274 items), Coca-Cola (187 items), Aje (60 items; Peru), and Gatorade (51 items), appeared at lower frequencies.</w:t>
      </w:r>
    </w:p>
    <w:p w14:paraId="68B3C31C" w14:textId="424A673A"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4. Polymer types</w:t>
      </w:r>
    </w:p>
    <w:p w14:paraId="5351070D" w14:textId="0A7BA1FC"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Polymer type was identified for 4,925 items using recycling codes and ATR-FTIR spectroscopy (Supplementary Fig. S3). HDPE (Type 2) dominated in the NPGP (1,367 of 1,</w:t>
      </w:r>
      <w:r w:rsidR="008B6F1A" w:rsidRPr="00D0668C">
        <w:rPr>
          <w:rFonts w:ascii="Times New Roman" w:hAnsi="Times New Roman" w:cs="Times New Roman"/>
          <w:color w:val="000000" w:themeColor="text1"/>
          <w:sz w:val="24"/>
          <w:szCs w:val="24"/>
          <w:lang w:val="en-US"/>
        </w:rPr>
        <w:t xml:space="preserve">701 </w:t>
      </w:r>
      <w:r w:rsidRPr="00D0668C">
        <w:rPr>
          <w:rFonts w:ascii="Times New Roman" w:hAnsi="Times New Roman" w:cs="Times New Roman"/>
          <w:color w:val="000000" w:themeColor="text1"/>
          <w:sz w:val="24"/>
          <w:szCs w:val="24"/>
          <w:lang w:val="en-US"/>
        </w:rPr>
        <w:t xml:space="preserve">identified items; </w:t>
      </w:r>
      <w:r w:rsidR="008B6F1A" w:rsidRPr="00D0668C">
        <w:rPr>
          <w:rFonts w:ascii="Times New Roman" w:hAnsi="Times New Roman" w:cs="Times New Roman"/>
          <w:color w:val="000000" w:themeColor="text1"/>
          <w:sz w:val="24"/>
          <w:szCs w:val="24"/>
          <w:lang w:val="en-US"/>
        </w:rPr>
        <w:t>80</w:t>
      </w:r>
      <w:r w:rsidRPr="00D0668C">
        <w:rPr>
          <w:rFonts w:ascii="Times New Roman" w:hAnsi="Times New Roman" w:cs="Times New Roman"/>
          <w:color w:val="000000" w:themeColor="text1"/>
          <w:sz w:val="24"/>
          <w:szCs w:val="24"/>
          <w:lang w:val="en-US"/>
        </w:rPr>
        <w:t xml:space="preserve">%), consistent with the prevalence of durable fishing floats, crates, and jerry cans. PET (Type 1) dominated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(1,271 of 2,311 identified items; 55%) and MHI (802 of 1,436 identified items; 56%), driven by beverage bottle abundance. PP (Type 5) occurred most notably in the NPGP (229 items; 12%), consistent with some float and rope materials. PVC </w:t>
      </w:r>
      <w:r w:rsidRPr="00D0668C">
        <w:rPr>
          <w:rFonts w:ascii="Times New Roman" w:hAnsi="Times New Roman" w:cs="Times New Roman"/>
          <w:color w:val="000000" w:themeColor="text1"/>
          <w:sz w:val="24"/>
          <w:szCs w:val="24"/>
          <w:lang w:val="en-US"/>
        </w:rPr>
        <w:lastRenderedPageBreak/>
        <w:t xml:space="preserve">(Type 3), LDPE (Type 4), and PS (Type 6) were each present in low numbers across regions. A small number of items were labelled PLA, ABS, or mixed PE+PP. These polymer distributions are consistent with the broader compositional differences between gyre accumulation zones, </w:t>
      </w:r>
      <w:proofErr w:type="spellStart"/>
      <w:r w:rsidRPr="00D0668C">
        <w:rPr>
          <w:rFonts w:ascii="Times New Roman" w:hAnsi="Times New Roman" w:cs="Times New Roman"/>
          <w:color w:val="000000" w:themeColor="text1"/>
          <w:sz w:val="24"/>
          <w:szCs w:val="24"/>
          <w:lang w:val="en-US"/>
        </w:rPr>
        <w:t>favouring</w:t>
      </w:r>
      <w:proofErr w:type="spellEnd"/>
      <w:r w:rsidRPr="00D0668C">
        <w:rPr>
          <w:rFonts w:ascii="Times New Roman" w:hAnsi="Times New Roman" w:cs="Times New Roman"/>
          <w:color w:val="000000" w:themeColor="text1"/>
          <w:sz w:val="24"/>
          <w:szCs w:val="24"/>
          <w:lang w:val="en-US"/>
        </w:rPr>
        <w:t xml:space="preserve"> buoyant, durable polyolefins, and island shorelines, </w:t>
      </w:r>
      <w:proofErr w:type="spellStart"/>
      <w:r w:rsidRPr="00D0668C">
        <w:rPr>
          <w:rFonts w:ascii="Times New Roman" w:hAnsi="Times New Roman" w:cs="Times New Roman"/>
          <w:color w:val="000000" w:themeColor="text1"/>
          <w:sz w:val="24"/>
          <w:szCs w:val="24"/>
          <w:lang w:val="en-US"/>
        </w:rPr>
        <w:t>favouring</w:t>
      </w:r>
      <w:proofErr w:type="spellEnd"/>
      <w:r w:rsidRPr="00D0668C">
        <w:rPr>
          <w:rFonts w:ascii="Times New Roman" w:hAnsi="Times New Roman" w:cs="Times New Roman"/>
          <w:color w:val="000000" w:themeColor="text1"/>
          <w:sz w:val="24"/>
          <w:szCs w:val="24"/>
          <w:lang w:val="en-US"/>
        </w:rPr>
        <w:t xml:space="preserve"> PET-dominated consumer packaging.</w:t>
      </w:r>
    </w:p>
    <w:p w14:paraId="66885D8E" w14:textId="3B67038C"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 xml:space="preserve">5. </w:t>
      </w:r>
      <w:proofErr w:type="spellStart"/>
      <w:r w:rsidRPr="00D0668C">
        <w:rPr>
          <w:rFonts w:ascii="Times New Roman" w:hAnsi="Times New Roman" w:cs="Times New Roman"/>
          <w:color w:val="000000" w:themeColor="text1"/>
          <w:sz w:val="24"/>
          <w:szCs w:val="24"/>
          <w:lang w:val="en-US"/>
        </w:rPr>
        <w:t>Colour</w:t>
      </w:r>
      <w:proofErr w:type="spellEnd"/>
      <w:r w:rsidRPr="00D0668C">
        <w:rPr>
          <w:rFonts w:ascii="Times New Roman" w:hAnsi="Times New Roman" w:cs="Times New Roman"/>
          <w:color w:val="000000" w:themeColor="text1"/>
          <w:sz w:val="24"/>
          <w:szCs w:val="24"/>
          <w:lang w:val="en-US"/>
        </w:rPr>
        <w:t xml:space="preserve"> distributions</w:t>
      </w:r>
    </w:p>
    <w:p w14:paraId="1879F6A4" w14:textId="4401EB42" w:rsidR="00AC3BB0" w:rsidRPr="00D0668C" w:rsidRDefault="00AC3BB0" w:rsidP="00AC3BB0">
      <w:pPr>
        <w:jc w:val="both"/>
        <w:rPr>
          <w:rFonts w:ascii="Times New Roman" w:hAnsi="Times New Roman" w:cs="Times New Roman"/>
          <w:color w:val="000000" w:themeColor="text1"/>
          <w:sz w:val="24"/>
          <w:szCs w:val="24"/>
          <w:lang w:val="en-US"/>
        </w:rPr>
      </w:pPr>
      <w:proofErr w:type="spellStart"/>
      <w:r w:rsidRPr="00D0668C">
        <w:rPr>
          <w:rFonts w:ascii="Times New Roman" w:hAnsi="Times New Roman" w:cs="Times New Roman"/>
          <w:color w:val="000000" w:themeColor="text1"/>
          <w:sz w:val="24"/>
          <w:szCs w:val="24"/>
          <w:lang w:val="en-US"/>
        </w:rPr>
        <w:t>Colour</w:t>
      </w:r>
      <w:proofErr w:type="spellEnd"/>
      <w:r w:rsidRPr="00D0668C">
        <w:rPr>
          <w:rFonts w:ascii="Times New Roman" w:hAnsi="Times New Roman" w:cs="Times New Roman"/>
          <w:color w:val="000000" w:themeColor="text1"/>
          <w:sz w:val="24"/>
          <w:szCs w:val="24"/>
          <w:lang w:val="en-US"/>
        </w:rPr>
        <w:t xml:space="preserve"> was recorded for 19,064 items across all regions (Supplementary Fig. S4). Blue (5,189 items; 27%) and black (3,363 items; 18%) were the most common </w:t>
      </w:r>
      <w:proofErr w:type="spellStart"/>
      <w:r w:rsidRPr="00D0668C">
        <w:rPr>
          <w:rFonts w:ascii="Times New Roman" w:hAnsi="Times New Roman" w:cs="Times New Roman"/>
          <w:color w:val="000000" w:themeColor="text1"/>
          <w:sz w:val="24"/>
          <w:szCs w:val="24"/>
          <w:lang w:val="en-US"/>
        </w:rPr>
        <w:t>colours</w:t>
      </w:r>
      <w:proofErr w:type="spellEnd"/>
      <w:r w:rsidRPr="00D0668C">
        <w:rPr>
          <w:rFonts w:ascii="Times New Roman" w:hAnsi="Times New Roman" w:cs="Times New Roman"/>
          <w:color w:val="000000" w:themeColor="text1"/>
          <w:sz w:val="24"/>
          <w:szCs w:val="24"/>
          <w:lang w:val="en-US"/>
        </w:rPr>
        <w:t xml:space="preserve"> overall, followed by white (2,887 items; 15%) and clear (2,676 items; 14%). In the NPGP, black (1,607 items; 22%) and white (1,448 items; 20%) dominated, consistent with fishing and aquaculture gear. The MHI exhibited a more even distribution, with clear (1,104 items; 21%), blue (917 items; 18%), black (661 items; 13%), and white (649 items; 12%) all prominent, reflecting a higher proportion of consumer packaging.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was overwhelmingly dominated by blue (2,997 items; 38%) and clear (1,474 items; 19%), with additional contributions from black (1,095 items; 14%), white (790 items; 10%), and yellow (976 items; 12%). Only the ten most frequent </w:t>
      </w:r>
      <w:proofErr w:type="spellStart"/>
      <w:r w:rsidRPr="00D0668C">
        <w:rPr>
          <w:rFonts w:ascii="Times New Roman" w:hAnsi="Times New Roman" w:cs="Times New Roman"/>
          <w:color w:val="000000" w:themeColor="text1"/>
          <w:sz w:val="24"/>
          <w:szCs w:val="24"/>
          <w:lang w:val="en-US"/>
        </w:rPr>
        <w:t>colours</w:t>
      </w:r>
      <w:proofErr w:type="spellEnd"/>
      <w:r w:rsidRPr="00D0668C">
        <w:rPr>
          <w:rFonts w:ascii="Times New Roman" w:hAnsi="Times New Roman" w:cs="Times New Roman"/>
          <w:color w:val="000000" w:themeColor="text1"/>
          <w:sz w:val="24"/>
          <w:szCs w:val="24"/>
          <w:lang w:val="en-US"/>
        </w:rPr>
        <w:t xml:space="preserve"> per region are shown in Supplementary Fig. S4; categories with fewer than 10 items are included in Supplementary Data File 1.</w:t>
      </w:r>
    </w:p>
    <w:p w14:paraId="19F7B431" w14:textId="79FFE5C7"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6. ONE APUS container spill</w:t>
      </w:r>
    </w:p>
    <w:p w14:paraId="4EC881A2" w14:textId="0DB99261"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Across all regions, 1,622 items were attributed to the ONE APUS container spill of November 2020 (Supplementary Fig. S5). By item count,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accounted for the largest number of attributed items (1,072 items; 66%), followed by the MHI (347 items; 21%) and the NPGP (116 items; 7%), </w:t>
      </w:r>
      <w:r w:rsidR="00D016F8" w:rsidRPr="00D0668C">
        <w:rPr>
          <w:rFonts w:ascii="Times New Roman" w:hAnsi="Times New Roman" w:cs="Times New Roman"/>
          <w:color w:val="000000" w:themeColor="text1"/>
          <w:sz w:val="24"/>
          <w:szCs w:val="24"/>
          <w:lang w:val="en-US"/>
        </w:rPr>
        <w:t>with the remaining 87 items (5%) not attributable to a specific collection site</w:t>
      </w:r>
      <w:r w:rsidRPr="00D0668C">
        <w:rPr>
          <w:rFonts w:ascii="Times New Roman" w:hAnsi="Times New Roman" w:cs="Times New Roman"/>
          <w:color w:val="000000" w:themeColor="text1"/>
          <w:sz w:val="24"/>
          <w:szCs w:val="24"/>
          <w:lang w:val="en-US"/>
        </w:rPr>
        <w:t xml:space="preserve">. As a proportion of total cleanup mass, ONE APUS items represented 0.4–0.5% in the NPGP, 0.7–1.5% in the MHI, and 2.1–6.0%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with the highest values recorded at </w:t>
      </w:r>
      <w:proofErr w:type="spellStart"/>
      <w:r w:rsidR="00FF08D7" w:rsidRPr="00D0668C">
        <w:rPr>
          <w:rFonts w:ascii="Times New Roman" w:hAnsi="Times New Roman" w:cs="Times New Roman"/>
          <w:color w:val="000000" w:themeColor="text1"/>
          <w:sz w:val="24"/>
          <w:szCs w:val="24"/>
          <w:lang w:val="en-US"/>
        </w:rPr>
        <w:t>Kuaihelani</w:t>
      </w:r>
      <w:proofErr w:type="spellEnd"/>
      <w:r w:rsidR="00FF08D7" w:rsidRPr="00D0668C" w:rsidDel="00FF08D7">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in 2024 (6.0%) and </w:t>
      </w:r>
      <w:proofErr w:type="spellStart"/>
      <w:r w:rsidR="004248C3" w:rsidRPr="0028501A">
        <w:rPr>
          <w:rFonts w:ascii="Times New Roman" w:hAnsi="Times New Roman" w:cs="Times New Roman"/>
          <w:sz w:val="24"/>
          <w:szCs w:val="24"/>
          <w:lang w:val="en-US"/>
        </w:rPr>
        <w:t>Kamole</w:t>
      </w:r>
      <w:proofErr w:type="spellEnd"/>
      <w:r w:rsidR="004248C3" w:rsidRPr="00D0668C" w:rsidDel="004248C3">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in 2024 (4.1%), declining in 2025. Footwear dominated recovered items across all regions: sandals, shoes, and shoe soles together comprised approximately 68% of all structured ONE APUS debris. A total of 136 identifiable brands were recorded, with Croc (220 items) the most abundant overall, followed by Wilson (100 items), Nike (62 items), Puma (60 items), and </w:t>
      </w:r>
      <w:proofErr w:type="spellStart"/>
      <w:r w:rsidRPr="00D0668C">
        <w:rPr>
          <w:rFonts w:ascii="Times New Roman" w:hAnsi="Times New Roman" w:cs="Times New Roman"/>
          <w:color w:val="000000" w:themeColor="text1"/>
          <w:sz w:val="24"/>
          <w:szCs w:val="24"/>
          <w:lang w:val="en-US"/>
        </w:rPr>
        <w:t>ProPenn</w:t>
      </w:r>
      <w:proofErr w:type="spellEnd"/>
      <w:r w:rsidRPr="00D0668C">
        <w:rPr>
          <w:rFonts w:ascii="Times New Roman" w:hAnsi="Times New Roman" w:cs="Times New Roman"/>
          <w:color w:val="000000" w:themeColor="text1"/>
          <w:sz w:val="24"/>
          <w:szCs w:val="24"/>
          <w:lang w:val="en-US"/>
        </w:rPr>
        <w:t xml:space="preserve"> (31 items</w:t>
      </w:r>
      <w:r w:rsidR="00DC742F" w:rsidRPr="00D0668C">
        <w:rPr>
          <w:rFonts w:ascii="Times New Roman" w:hAnsi="Times New Roman" w:cs="Times New Roman"/>
          <w:color w:val="000000" w:themeColor="text1"/>
          <w:sz w:val="24"/>
          <w:szCs w:val="24"/>
          <w:lang w:val="en-US"/>
        </w:rPr>
        <w:t>; Supplementary Fig. S6</w:t>
      </w:r>
      <w:r w:rsidRPr="00D0668C">
        <w:rPr>
          <w:rFonts w:ascii="Times New Roman" w:hAnsi="Times New Roman" w:cs="Times New Roman"/>
          <w:color w:val="000000" w:themeColor="text1"/>
          <w:sz w:val="24"/>
          <w:szCs w:val="24"/>
          <w:lang w:val="en-US"/>
        </w:rPr>
        <w:t>). Temporal tracking was only possible at James Campbell National Wildlife Refuge (Kahuku, Oʻahu) through monthly cleanups, where no clear temporal pulse was detected. These patterns are consistent with the higher proportional representation of recently released floating debris observed across Hawaiian sites.</w:t>
      </w:r>
    </w:p>
    <w:p w14:paraId="7D2208C7" w14:textId="691EEDEA" w:rsidR="00AC3BB0" w:rsidRPr="00D0668C" w:rsidRDefault="00AC3BB0"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S</w:t>
      </w:r>
      <w:r w:rsidR="00B73AAB" w:rsidRPr="00D0668C">
        <w:rPr>
          <w:rFonts w:ascii="Times New Roman" w:hAnsi="Times New Roman" w:cs="Times New Roman"/>
          <w:color w:val="000000" w:themeColor="text1"/>
          <w:sz w:val="24"/>
          <w:szCs w:val="24"/>
          <w:lang w:val="en-US"/>
        </w:rPr>
        <w:t>R</w:t>
      </w:r>
      <w:r w:rsidRPr="00D0668C">
        <w:rPr>
          <w:rFonts w:ascii="Times New Roman" w:hAnsi="Times New Roman" w:cs="Times New Roman"/>
          <w:color w:val="000000" w:themeColor="text1"/>
          <w:sz w:val="24"/>
          <w:szCs w:val="24"/>
          <w:lang w:val="en-US"/>
        </w:rPr>
        <w:t>7. Fishing net physical characteristics</w:t>
      </w:r>
      <w:r w:rsidR="001E6EFF"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extended data</w:t>
      </w:r>
    </w:p>
    <w:p w14:paraId="675F11BA" w14:textId="233154A7" w:rsidR="007D6613" w:rsidRPr="00D0668C" w:rsidRDefault="00CA4812" w:rsidP="00AC3BB0">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Full measurements for all 181 collected nets are provided in Supplementary Data File 2, including the 7 nets subsequently identified as non-fishing gear and excluded from the discard pathway analysis. Of the 174 nets retained for full assessment</w:t>
      </w:r>
      <w:r w:rsidR="00B56224" w:rsidRPr="00D0668C">
        <w:rPr>
          <w:rFonts w:ascii="Times New Roman" w:hAnsi="Times New Roman" w:cs="Times New Roman"/>
          <w:color w:val="000000" w:themeColor="text1"/>
          <w:sz w:val="24"/>
          <w:szCs w:val="24"/>
          <w:lang w:val="en-US"/>
        </w:rPr>
        <w:t>, m</w:t>
      </w:r>
      <w:r w:rsidR="00AC3BB0" w:rsidRPr="00D0668C">
        <w:rPr>
          <w:rFonts w:ascii="Times New Roman" w:hAnsi="Times New Roman" w:cs="Times New Roman"/>
          <w:color w:val="000000" w:themeColor="text1"/>
          <w:sz w:val="24"/>
          <w:szCs w:val="24"/>
          <w:lang w:val="en-US"/>
        </w:rPr>
        <w:t>esh size distributions spanned 5–550 mm, with the majority concentrated in the 40–150 mm range. Cut-out photographs (10 × 10 cm) of net panels and full-net floor photographs are archived separately (Fig. S</w:t>
      </w:r>
      <w:r w:rsidR="00F46134" w:rsidRPr="00D0668C">
        <w:rPr>
          <w:rFonts w:ascii="Times New Roman" w:hAnsi="Times New Roman" w:cs="Times New Roman"/>
          <w:color w:val="000000" w:themeColor="text1"/>
          <w:sz w:val="24"/>
          <w:szCs w:val="24"/>
          <w:lang w:val="en-US"/>
        </w:rPr>
        <w:t>7</w:t>
      </w:r>
      <w:r w:rsidR="00AC3BB0" w:rsidRPr="00D0668C">
        <w:rPr>
          <w:rFonts w:ascii="Times New Roman" w:hAnsi="Times New Roman" w:cs="Times New Roman"/>
          <w:color w:val="000000" w:themeColor="text1"/>
          <w:sz w:val="24"/>
          <w:szCs w:val="24"/>
          <w:lang w:val="en-US"/>
        </w:rPr>
        <w:t xml:space="preserve">). Expert input by respondent, including gear type assessments, origin hypotheses, and confidence ratings, is </w:t>
      </w:r>
      <w:proofErr w:type="spellStart"/>
      <w:r w:rsidR="00AC3BB0" w:rsidRPr="00D0668C">
        <w:rPr>
          <w:rFonts w:ascii="Times New Roman" w:hAnsi="Times New Roman" w:cs="Times New Roman"/>
          <w:color w:val="000000" w:themeColor="text1"/>
          <w:sz w:val="24"/>
          <w:szCs w:val="24"/>
          <w:lang w:val="en-US"/>
        </w:rPr>
        <w:t>summarised</w:t>
      </w:r>
      <w:proofErr w:type="spellEnd"/>
      <w:r w:rsidR="00AC3BB0" w:rsidRPr="00D0668C">
        <w:rPr>
          <w:rFonts w:ascii="Times New Roman" w:hAnsi="Times New Roman" w:cs="Times New Roman"/>
          <w:color w:val="000000" w:themeColor="text1"/>
          <w:sz w:val="24"/>
          <w:szCs w:val="24"/>
          <w:lang w:val="en-US"/>
        </w:rPr>
        <w:t xml:space="preserve"> in Supplementary Table S3.</w:t>
      </w:r>
    </w:p>
    <w:p w14:paraId="364FBA87" w14:textId="77777777" w:rsidR="007D6613" w:rsidRPr="00D0668C" w:rsidRDefault="007D6613">
      <w:pPr>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34826C85" w14:textId="77777777" w:rsidR="004F153D" w:rsidRPr="00D0668C" w:rsidRDefault="004F153D" w:rsidP="007D6613">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color w:val="000000" w:themeColor="text1"/>
          <w:sz w:val="24"/>
          <w:szCs w:val="24"/>
          <w:lang w:val="en-US"/>
        </w:rPr>
        <w:lastRenderedPageBreak/>
        <w:t>Supplementary Discussion</w:t>
      </w:r>
    </w:p>
    <w:p w14:paraId="0146B7A7" w14:textId="77777777" w:rsidR="00FC3B28" w:rsidRPr="00D0668C" w:rsidRDefault="00FC3B28" w:rsidP="00FC3B28">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SD1. COVID-19 and the production date signal</w:t>
      </w:r>
    </w:p>
    <w:p w14:paraId="1100202B" w14:textId="4D6C1D38" w:rsidR="00FC3B28" w:rsidRPr="00D0668C" w:rsidRDefault="00FC3B28" w:rsidP="00FC3B28">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The notable dip in production-dated items between 2020 and 2022, followed by a sharp increase in 2023, warrants brief discussion as it coincides with the global disruption caused by the COVID-19 pandemic. Global plastic production decreased in 2020 for the first time in decades, driven by reduced industrial output, supply chain disruptions, and a contraction in maritime trade and fishing activity </w:t>
      </w:r>
      <w:r w:rsidR="004F10E5" w:rsidRPr="00D0668C">
        <w:rPr>
          <w:rFonts w:ascii="Times New Roman" w:hAnsi="Times New Roman" w:cs="Times New Roman"/>
          <w:color w:val="000000" w:themeColor="text1"/>
          <w:sz w:val="24"/>
          <w:szCs w:val="24"/>
          <w:lang w:val="en-US"/>
        </w:rPr>
        <w:fldChar w:fldCharType="begin" w:fldLock="1"/>
      </w:r>
      <w:r w:rsidR="00822DB7" w:rsidRPr="00D0668C">
        <w:rPr>
          <w:rFonts w:ascii="Times New Roman" w:hAnsi="Times New Roman" w:cs="Times New Roman"/>
          <w:color w:val="000000" w:themeColor="text1"/>
          <w:sz w:val="24"/>
          <w:szCs w:val="24"/>
          <w:lang w:val="en-US"/>
        </w:rPr>
        <w:instrText>ADDIN CSL_CITATION {"citationItems":[{"id":"ITEM-1","itemData":{"ISBN":"9789280738810","author":[{"dropping-particle":"","family":"(UNEP)","given":"United Nations Environment Programme","non-dropping-particle":"","parse-names":false,"suffix":""}],"id":"ITEM-1","issued":{"date-parts":[["2022"]]},"title":"From pollution to solution: A Global Assessment of Marine Litter and Plastic Pollution.","type":"report"},"uris":["http://www.mendeley.com/documents/?uuid=541d524d-a66e-401e-b29d-5dafd2316833"]}],"mendeley":{"formattedCitation":"((UNEP), 2022)","plainTextFormattedCitation":"((UNEP), 2022)","previouslyFormattedCitation":"((UNEP), 2022)"},"properties":{"noteIndex":0},"schema":"https://github.com/citation-style-language/schema/raw/master/csl-citation.json"}</w:instrText>
      </w:r>
      <w:r w:rsidR="004F10E5" w:rsidRPr="00D0668C">
        <w:rPr>
          <w:rFonts w:ascii="Times New Roman" w:hAnsi="Times New Roman" w:cs="Times New Roman"/>
          <w:color w:val="000000" w:themeColor="text1"/>
          <w:sz w:val="24"/>
          <w:szCs w:val="24"/>
          <w:lang w:val="en-US"/>
        </w:rPr>
        <w:fldChar w:fldCharType="separate"/>
      </w:r>
      <w:r w:rsidR="004F10E5" w:rsidRPr="00D0668C">
        <w:rPr>
          <w:rFonts w:ascii="Times New Roman" w:hAnsi="Times New Roman" w:cs="Times New Roman"/>
          <w:noProof/>
          <w:color w:val="000000" w:themeColor="text1"/>
          <w:sz w:val="24"/>
          <w:szCs w:val="24"/>
          <w:lang w:val="en-US"/>
        </w:rPr>
        <w:t>((UNEP), 2022)</w:t>
      </w:r>
      <w:r w:rsidR="004F10E5"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xml:space="preserve">. Reduced fishing effort across multiple North Pacific fleets during 2020–2021, combined with port closures and restricted vessel movements, may have temporarily reduced both the volume of plastic produced and the quantity entering the ocean through sea-based pathways during this period. The subsequent sharp increase in production-dated items in 2023 is consistent with a rebound in both industrial production and maritime activity following the lifting of pandemic restrictions. However, this pattern may equally reflect variability in cleanup effort and timing across sites, particularly for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and MHI</w:t>
      </w:r>
      <w:r w:rsidR="00845700"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where shorelines are periodically cleaned rather than continuously monitored, making it difficult to distinguish a genuine production signal from a sampling artefact. This pattern is noted as an interesting temporal signal that future monitoring programs with more continuous sampling resolution would be well placed to investigate further.</w:t>
      </w:r>
    </w:p>
    <w:p w14:paraId="4CDEC253" w14:textId="77777777" w:rsidR="00FC3B28" w:rsidRPr="00D0668C" w:rsidRDefault="00FC3B28" w:rsidP="00FC3B28">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SD2. Vessel-derived waste as a secondary source of PET bottles in Hawaiian waters</w:t>
      </w:r>
    </w:p>
    <w:p w14:paraId="18D1D20B" w14:textId="47A9DAE4" w:rsidR="00FC3B28" w:rsidRPr="00D0668C" w:rsidRDefault="00FC3B28" w:rsidP="00FC3B28">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While we consider buoyancy and windage-driven expulsion from the NPGP, combined with the inherently shorter material lifespan of PET relative to durable polyolefins, to be the primary explanation for the high abundance of PET beverage bottles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and MHI, vessel-derived waste cannot be excluded as a secondary contributor. Commercial cargo ships, cruise vessels, and fishing fleets transiting or approaching the Hawaiian Islands routinely generate beverage-related waste at high volumes, and although MARPOL Annex V prohibits discharge of plastics at sea, documented non-compliance and episodic leakage of operational wastes remain well-</w:t>
      </w:r>
      <w:proofErr w:type="spellStart"/>
      <w:r w:rsidRPr="00D0668C">
        <w:rPr>
          <w:rFonts w:ascii="Times New Roman" w:hAnsi="Times New Roman" w:cs="Times New Roman"/>
          <w:color w:val="000000" w:themeColor="text1"/>
          <w:sz w:val="24"/>
          <w:szCs w:val="24"/>
          <w:lang w:val="en-US"/>
        </w:rPr>
        <w:t>recognised</w:t>
      </w:r>
      <w:proofErr w:type="spellEnd"/>
      <w:r w:rsidRPr="00D0668C">
        <w:rPr>
          <w:rFonts w:ascii="Times New Roman" w:hAnsi="Times New Roman" w:cs="Times New Roman"/>
          <w:color w:val="000000" w:themeColor="text1"/>
          <w:sz w:val="24"/>
          <w:szCs w:val="24"/>
          <w:lang w:val="en-US"/>
        </w:rPr>
        <w:t xml:space="preserve"> contributors to coastal debris in regions with heavy vessel traffic </w:t>
      </w:r>
      <w:r w:rsidR="00822DB7" w:rsidRPr="00D0668C">
        <w:rPr>
          <w:rFonts w:ascii="Times New Roman" w:hAnsi="Times New Roman" w:cs="Times New Roman"/>
          <w:color w:val="000000" w:themeColor="text1"/>
          <w:sz w:val="24"/>
          <w:szCs w:val="24"/>
          <w:lang w:val="en-US"/>
        </w:rPr>
        <w:fldChar w:fldCharType="begin" w:fldLock="1"/>
      </w:r>
      <w:r w:rsidR="00CB6812" w:rsidRPr="00D0668C">
        <w:rPr>
          <w:rFonts w:ascii="Times New Roman" w:hAnsi="Times New Roman" w:cs="Times New Roman"/>
          <w:color w:val="000000" w:themeColor="text1"/>
          <w:sz w:val="24"/>
          <w:szCs w:val="24"/>
          <w:lang w:val="en-US"/>
        </w:rPr>
        <w:instrText>ADDIN CSL_CITATION {"citationItems":[{"id":"ITEM-1","itemData":{"ISSN":"1020–4873","abstract":"SOURCES, FATE AND EFFECTS OF MICROPLASTICS IN THE MARINE ENVIRONMENT: A GLOBAL ASSESSMENT","author":[{"dropping-particle":"","family":"GESAMP","given":"","non-dropping-particle":"","parse-names":false,"suffix":""}],"container-title":"Rep. Stud. GESAMP","id":"ITEM-1","issued":{"date-parts":[["2016"]]},"page":"96 p.","title":"Sources, Fate and Effects of Microplastics in the Marine Environment: Part 2 of a Global Assessment","type":"article-journal","volume":"No. 90"},"uris":["http://www.mendeley.com/documents/?uuid=743adfc9-7aea-403c-833f-0c858f44e3bc"]},{"id":"ITEM-2","itemData":{"ISBN":"9789251061961","abstract":"Abandoned, lost or otherwise discarded fishing gear (ALDFG) is a problem that is increasingly of concern. Various United Nations General Assembly resolutions now provide a mandate for, and indeed require, action to reduce ALDFG and marine debris in general. Consequently, the United Nations Environment Programme (UNEP) and the Food and Agriculture Organization of the United Nations (FAO) entered into an agreement to carry out a study in relation to ALDFG in order to raise awareness of the extent of the problem and to recommend action to mitigate the problem of ALDFG by flag states, regional fisheries management bodies and organizations, and international organizations, such as UNEP, the International Maritime Organization (IMO) and FAO. This report reviews the magnitude and composition of ALDFG, and while noting that information is not comprehensive and does not allow for any global estimates, suggests that gillnets and fishing traps/pots may be the most common type of ALDFG, although netting fragments may also be common in some locations. The impacts of ALDFG are also considered and include: continued catching of target and non-target species (such as turtles, seabirds and marine mammals); alterations to the benthic environment; navigational hazards; beach debris/litter; introduction of synthetic material into the marine food web; introduction of alien species transported by ALDFG; and a variety of costs related to clean-up operations and impacts on business activities. In general, gillnets and pots/traps are most likely to ghost fish while other gear, such as trawls and longlines, are more likely to cause entanglement of marine organisms, including protected species, and habitat damage. The factors which cause fishing gear to be abandoned, lost or otherwise discarded are numerous and include: adverse weather; operational fishing factors including the cost of gear retrieval; gear conflicts; illegal, unregulated and unreported (IUU) fishing; vandalism/theft; and access to and cost and availability of shoreside collection facilities. Weather, operational fishing factors and gear conflicts are probably the most significant factors, but the causes of ALDFG accumulation are poorly documented and not well understood. A detailed understanding of why gear is abandoned, lost or discarded is needed when designing and tailoring effective measures to reduce ALDFG in particular locations. A variety of measures are currently in place to reduce ALDFG, and these are pr…","author":[{"dropping-particle":"","family":"Macfadyen","given":"Graeme;","non-dropping-particle":"","parse-names":false,"suffix":""},{"dropping-particle":"","family":"Huntington","given":"Tim;","non-dropping-particle":"","parse-names":false,"suffix":""},{"dropping-particle":"","family":"Cappell","given":"Rod","non-dropping-particle":"","parse-names":false,"suffix":""}],"container-title":"FAO Fisheries and Aquaculture Technical Paper 523","id":"ITEM-2","issued":{"date-parts":[["2009"]]},"number-of-pages":"115 p.","title":"Abandoned, lost or otherwise discarded fishing gear, FAO Consutlants, Lymington. United Kingdom of Great Britain and Northern Ireland","type":"book","volume":"523"},"uris":["http://www.mendeley.com/documents/?uuid=146d0ee6-7d21-4b1a-995c-dbf3a073d5c5"]},{"id":"ITEM-3","itemData":{"DOI":"10.1007/s11160-021-09674-8","ISBN":"0123456789","ISSN":"15735184","abstract":"In the age of the Anthropocene, the ocean has typically been viewed as a sink for pollution. Pollution is varied, ranging from human-made plastics and pharmaceutical compounds, to human-altered abiotic factors, such as sediment and nutrient runoff. As global population, wealth and resource consumption continue to grow, so too does the amount of potential pollution produced. This presents us with a grand challenge which requires interdisciplinary knowledge to solve. There is sufficient data on the human health, social, economic, and environmental risks of marine pollution, resulting in increased awareness and motivation to address this global challenge, however a significant lag exists when implementing strategies to address this issue. This review draws upon the expertise of 17 experts from the fields of social sciences, marine science, visual arts, and Traditional and First Nations Knowledge Holders to present two futures; the Business-As-Usual, based on current trends and observations of growing marine pollution, and a More Sustainable Future, which imagines what our ocean could look like if we implemented current knowledge and technologies. We identify priority actions that governments, industry and consumers can implement at pollution sources, vectors and sinks, over the next decade to reduce marine pollution and steer us towards the More Sustainable Future. Graphic abstract: [Figure not available: see fulltext.]","author":[{"dropping-particle":"","family":"Willis","given":"Kathryn A.","non-dropping-particle":"","parse-names":false,"suffix":""},{"dropping-particle":"","family":"Serra-Gonçalves","given":"Catarina","non-dropping-particle":"","parse-names":false,"suffix":""},{"dropping-particle":"","family":"Richardson","given":"Kelsey","non-dropping-particle":"","parse-names":false,"suffix":""},{"dropping-particle":"","family":"Schuyler","given":"Qamar A.","non-dropping-particle":"","parse-names":false,"suffix":""},{"dropping-particle":"","family":"Pedersen","given":"Halfdan","non-dropping-particle":"","parse-names":false,"suffix":""},{"dropping-particle":"","family":"Anderson","given":"Kelli","non-dropping-particle":"","parse-names":false,"suffix":""},{"dropping-particle":"","family":"Stark","given":"Jonathan S.","non-dropping-particle":"","parse-names":false,"suffix":""},{"dropping-particle":"","family":"Vince","given":"Joanna","non-dropping-particle":"","parse-names":false,"suffix":""},{"dropping-particle":"","family":"Hardesty","given":"Britta D.","non-dropping-particle":"","parse-names":false,"suffix":""},{"dropping-particle":"","family":"Wilcox","given":"Chris","non-dropping-particle":"","parse-names":false,"suffix":""},{"dropping-particle":"","family":"Nowak","given":"Barbara F.","non-dropping-particle":"","parse-names":false,"suffix":""},{"dropping-particle":"","family":"Lavers","given":"Jennifer L.","non-dropping-particle":"","parse-names":false,"suffix":""},{"dropping-particle":"","family":"Semmens","given":"Jayson M.","non-dropping-particle":"","parse-names":false,"suffix":""},{"dropping-particle":"","family":"Greeno","given":"Dean","non-dropping-particle":"","parse-names":false,"suffix":""},{"dropping-particle":"","family":"MacLeod","given":"Catriona","non-dropping-particle":"","parse-names":false,"suffix":""},{"dropping-particle":"","family":"Frederiksen","given":"Nunnoq P.O.","non-dropping-particle":"","parse-names":false,"suffix":""},{"dropping-particle":"","family":"Puskic","given":"Peter S.","non-dropping-particle":"","parse-names":false,"suffix":""}],"container-title":"Reviews in Fish Biology and Fisheries","id":"ITEM-3","issue":"1","issued":{"date-parts":[["2022"]]},"page":"145-160","title":"Cleaner seas: reducing marine pollution","type":"article-journal","volume":"32"},"uris":["http://www.mendeley.com/documents/?uuid=cfb7d520-ec88-43b2-917f-cf41d991f162"]},{"id":"ITEM-4","itemData":{"DOI":"10.1016/j.marpolbul.2023.114929","ISSN":"0025-326X","author":[{</w:instrText>
      </w:r>
      <w:r w:rsidR="00CB6812" w:rsidRPr="00D0668C">
        <w:rPr>
          <w:rFonts w:ascii="Times New Roman" w:hAnsi="Times New Roman" w:cs="Times New Roman"/>
          <w:color w:val="000000" w:themeColor="text1"/>
          <w:sz w:val="24"/>
          <w:szCs w:val="24"/>
          <w:lang w:val="da-DK"/>
        </w:rPr>
        <w:instrText>"dropping-particle":"","family":"Serra-gonçalves","given":"Catarina","non-dropping-particle":"","parse-names":false,"suffix":""},{"dropping-particle":"","family":"Lavers","given":"Jennifer L","non-dropping-particle":"","parse-names":false,"suffix":""},{"dropping-particle":"","family":"Tait","given":"Heidi L","non-dropping-particle":"","parse-names":false,"suffix":""},{"dropping-particle":"","family":"Fischer","given":"Andrew M","non-dropping-particle":"","parse-names":false,"suffix":""},{"dropping-particle":"","family":"Bond","given":"Alexander L","non-dropping-particle":"","parse-names":false,"suffix":""}],"container-title":"Marine Pollution Bulletin","id":"ITEM-4","issue":"November 2022","issued":{"date-parts":[["2023"]]},"page":"114929","publisher":"Elsevier Ltd","title":"Assessing the effectiveness of MARPOL Annex V at reducing marine debris on Australian beaches","type":"article-journal","volume":"191"},"uris":["http://www.mendeley.com/documents/?uuid=8c3035b5-0388-4607-91b6-7d85cc7abcdb"]}],"mendeley":{"formattedCitation":"(GESAMP, 2016; Macfadyen et al., 2009; Serra-gonçalves et al., 2023; Willis et al., 2022)","plainTextFormattedCitation":"(GESAMP, 2016; Macfadyen et al., 2009; Serra-gonçalves et al., 2023; Willis et al., 2022)","previouslyFormattedCitation":"(GESAMP, 2016; Macfadyen et al., 2009; Serra-gonçalves et al., 2023; Willis et al., 2022)"},"properties":{"noteIndex":0},"schema":"https://github.com/citation-style-language/schema/raw/master/csl-citation.json"}</w:instrText>
      </w:r>
      <w:r w:rsidR="00822DB7" w:rsidRPr="00D0668C">
        <w:rPr>
          <w:rFonts w:ascii="Times New Roman" w:hAnsi="Times New Roman" w:cs="Times New Roman"/>
          <w:color w:val="000000" w:themeColor="text1"/>
          <w:sz w:val="24"/>
          <w:szCs w:val="24"/>
          <w:lang w:val="en-US"/>
        </w:rPr>
        <w:fldChar w:fldCharType="separate"/>
      </w:r>
      <w:r w:rsidR="00010AA6" w:rsidRPr="00D0668C">
        <w:rPr>
          <w:rFonts w:ascii="Times New Roman" w:hAnsi="Times New Roman" w:cs="Times New Roman"/>
          <w:noProof/>
          <w:color w:val="000000" w:themeColor="text1"/>
          <w:sz w:val="24"/>
          <w:szCs w:val="24"/>
          <w:lang w:val="da-DK"/>
        </w:rPr>
        <w:t>(GESAMP, 2016; Macfadyen et al., 2009; Serra-gonçalves et al., 2023; Willis et al., 2022)</w:t>
      </w:r>
      <w:r w:rsidR="00822DB7"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da-DK"/>
        </w:rPr>
        <w:t xml:space="preserve">. </w:t>
      </w:r>
      <w:r w:rsidRPr="00D0668C">
        <w:rPr>
          <w:rFonts w:ascii="Times New Roman" w:hAnsi="Times New Roman" w:cs="Times New Roman"/>
          <w:color w:val="000000" w:themeColor="text1"/>
          <w:sz w:val="24"/>
          <w:szCs w:val="24"/>
          <w:lang w:val="en-US"/>
        </w:rPr>
        <w:t xml:space="preserve">PET beverage bottles are a recurrent signature of ship-sourced litter in the Pacific around port approaches and tourism hubs </w:t>
      </w:r>
      <w:r w:rsidR="00892948" w:rsidRPr="00D0668C">
        <w:rPr>
          <w:rFonts w:ascii="Times New Roman" w:hAnsi="Times New Roman" w:cs="Times New Roman"/>
          <w:color w:val="000000" w:themeColor="text1"/>
          <w:sz w:val="24"/>
          <w:szCs w:val="24"/>
          <w:lang w:val="en-US"/>
        </w:rPr>
        <w:fldChar w:fldCharType="begin" w:fldLock="1"/>
      </w:r>
      <w:r w:rsidR="00F51073" w:rsidRPr="00D0668C">
        <w:rPr>
          <w:rFonts w:ascii="Times New Roman" w:hAnsi="Times New Roman" w:cs="Times New Roman"/>
          <w:color w:val="000000" w:themeColor="text1"/>
          <w:sz w:val="24"/>
          <w:szCs w:val="24"/>
          <w:lang w:val="en-US"/>
        </w:rPr>
        <w:instrText>ADDIN CSL_CITATION {"citationItems":[{"id":"ITEM-1","itemData":{"author":[{"dropping-particle":"","family":"Metcalfe","given":"Ryan","non-dropping-particle":"","parse-names":false,"suffix":""},{"dropping-particle":"","family":"Bentley","given":"Arabelle","non-dropping-particle":"","parse-names":false,"suffix":""}],"container-title":"Swedish Agency for Marine and Water Management","id":"ITEM-1","issue":"April","issued":{"date-parts":[["2020"]]},"title":"Net cuttings waste from fishing in the North-East Atlantic : best practices for mitigation","type":"article-journal"},"uris":["http://www.mendeley.com/documents/?uuid=b8ae7c35-6e0d-45cd-8ad8-a48d3e6abe27"]},{"id":"ITEM-2","itemData":{"DOI":"10.1016/j.marenvres.2012.12.002","ISSN":"01411136","PMID":"23268778","abstract":"Plastic pollution has biological, chemical, and physical effects on marine environments and economic effects on coastal communities. These effects are acute on southeastern Hawai'i Island, where volunteers remove 16 metric tons of debris annually from a 15 km coastline. Although the majority is foreign-origin, a portion is locally-generated. We used floating debris-retention booms in two urban waterways to measure the input of debris from Hilo, the island's largest community, and released wooden drifters in nearby coastal waters to track the fate of that debris. In 205 days, 30 kilograms of debris (73.6% plastic) were retained from two watersheds comprising 10.2% of Hilo's developed land area. Of 851 wooden drifters released offshore of Hilo in four events, 23.3% were recovered locally, 1.4% at distant locations, and 6.5% on other islands. Comparisons with modeled surface currents and wind were mixed, indicating the importance of nearshore and tidal dynamics not included in the model. This study demonstrated that local pollutants can be retained nearby, contribute to the island's debris-accumulation area, and quickly contaminate other islands. © 2012 Elsevier Ltd.","author":[{"dropping-particle":"","family":"Carson","given":"Henry S.","non-dropping-particle":"","parse-names":false,"suffix":""},{"dropping-particle":"","family":"Lamson","given":"Megan R.","non-dropping-particle":"","parse-names":false,"suffix":""},{"dropping-particle":"","family":"Nakashima","given":"Davis","non-dropping-particle":"","parse-names":false,"suffix":""},{"dropping-particle":"","family":"Toloumu","given":"Derek","non-dropping-particle":"","parse-names":false,"suffix":""},{"dropping-particle":"","family":"Hafner","given":"Jan","non-dropping-particle":"","parse-names":false,"suffix":""},{"dropping-particle":"","family":"Maximenko","given":"Nikolai","non-dropping-particle":"","parse-names":false,"suffix":""},{"dropping-particle":"","family":"McDermid","given":"Karla J.","non-dropping-particle":"","parse-names":false,"suffix":""}],"container-title":"Marine Environmental Research","id":"ITEM-2","issued":{"date-parts":[["2013"]]},"page":"76-83","publisher":"Elsevier Ltd","title":"Tracking the sources and sinks of local marine debris in Hawai'i","type":"article-journal","volume":"84"},"uris":["http://www.mendeley.com/documents/?uuid=ec207997-9345-4c76-8178-a25c9ae66756"]}],"mendeley":{"formattedCitation":"(Carson et al., 2013; Metcalfe and Bentley, 2020)","plainTextFormattedCitation":"(Carson et al., 2013; Metcalfe and Bentley, 2020)","previouslyFormattedCitation":"(Carson et al., 2013; Metcalfe and Bentley, 2020)"},"properties":{"noteIndex":0},"schema":"https://github.com/citation-style-language/schema/raw/master/csl-citation.json"}</w:instrText>
      </w:r>
      <w:r w:rsidR="00892948" w:rsidRPr="00D0668C">
        <w:rPr>
          <w:rFonts w:ascii="Times New Roman" w:hAnsi="Times New Roman" w:cs="Times New Roman"/>
          <w:color w:val="000000" w:themeColor="text1"/>
          <w:sz w:val="24"/>
          <w:szCs w:val="24"/>
          <w:lang w:val="en-US"/>
        </w:rPr>
        <w:fldChar w:fldCharType="separate"/>
      </w:r>
      <w:r w:rsidR="003A4197" w:rsidRPr="00D0668C">
        <w:rPr>
          <w:rFonts w:ascii="Times New Roman" w:hAnsi="Times New Roman" w:cs="Times New Roman"/>
          <w:noProof/>
          <w:color w:val="000000" w:themeColor="text1"/>
          <w:sz w:val="24"/>
          <w:szCs w:val="24"/>
          <w:lang w:val="en-US"/>
        </w:rPr>
        <w:t>(Carson et al., 2013; Metcalfe and Bentley, 2020)</w:t>
      </w:r>
      <w:r w:rsidR="00892948"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xml:space="preserve">, and monitoring programs in the Northwestern Hawaiian Islands have documented episodic pulses of vessel-associated debris including PET bottles during cleanup efforts </w:t>
      </w:r>
      <w:r w:rsidR="006C6A22" w:rsidRPr="00D0668C">
        <w:rPr>
          <w:rFonts w:ascii="Times New Roman" w:hAnsi="Times New Roman" w:cs="Times New Roman"/>
          <w:color w:val="000000" w:themeColor="text1"/>
          <w:sz w:val="24"/>
          <w:szCs w:val="24"/>
          <w:lang w:val="en-US"/>
        </w:rPr>
        <w:fldChar w:fldCharType="begin" w:fldLock="1"/>
      </w:r>
      <w:r w:rsidR="006E25F9" w:rsidRPr="00D0668C">
        <w:rPr>
          <w:rFonts w:ascii="Times New Roman" w:hAnsi="Times New Roman" w:cs="Times New Roman"/>
          <w:color w:val="000000" w:themeColor="text1"/>
          <w:sz w:val="24"/>
          <w:szCs w:val="24"/>
          <w:lang w:val="en-US"/>
        </w:rPr>
        <w:instrText>ADDIN CSL_CITATION {"citationItems":[{"id":"ITEM-1","itemData":{"abstract":"Acknowledgements The 2019 revision of the Oregon Marine Debris Action Plan is the result of a productive and collaborative effort. Many thanks go to the Oregon marine debris partners who attended the workshop to revise and update the Action Plan and provided insight and suggestions; the support team, who planned the workshop and made it happen","author":[{"dropping-particle":"","family":"NOAA Marine Debris Program","given":"","non-dropping-particle":"","parse-names":false,"suffix":""}],"id":"ITEM-1","issued":{"date-parts":[["2021"]]},"number-of-pages":"35","title":"2021 Hawai'i Marine Debris Action Plan","type":"report"},"uris":["http://www.mendeley.com/documents/?uuid=9d929138-4ab0-42a1-b7ab-6650aeca3b6d"]}],"mendeley":{"formattedCitation":"(NOAA Marine Debris Program, 2021)","plainTextFormattedCitation":"(NOAA Marine Debris Program, 2021)","previouslyFormattedCitation":"(NOAA Marine Debris Program, 2021)"},"properties":{"noteIndex":0},"schema":"https://github.com/citation-style-language/schema/raw/master/csl-citation.json"}</w:instrText>
      </w:r>
      <w:r w:rsidR="006C6A22" w:rsidRPr="00D0668C">
        <w:rPr>
          <w:rFonts w:ascii="Times New Roman" w:hAnsi="Times New Roman" w:cs="Times New Roman"/>
          <w:color w:val="000000" w:themeColor="text1"/>
          <w:sz w:val="24"/>
          <w:szCs w:val="24"/>
          <w:lang w:val="en-US"/>
        </w:rPr>
        <w:fldChar w:fldCharType="separate"/>
      </w:r>
      <w:r w:rsidR="006C6A22" w:rsidRPr="00D0668C">
        <w:rPr>
          <w:rFonts w:ascii="Times New Roman" w:hAnsi="Times New Roman" w:cs="Times New Roman"/>
          <w:noProof/>
          <w:color w:val="000000" w:themeColor="text1"/>
          <w:sz w:val="24"/>
          <w:szCs w:val="24"/>
          <w:lang w:val="en-US"/>
        </w:rPr>
        <w:t>(NOAA Marine Debris Program, 2021)</w:t>
      </w:r>
      <w:r w:rsidR="006C6A22"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The fact that nearly all expiration-dated bottles in our dataset originate from the 2020s is consistent with both mechanisms, rapid gyre expulsion combined with material degradation of older PET items, and contemporary vessel discharge, and distinguishing between them definitively would require tracking of individual items or isotopic source fingerprinting beyond the scope of the current study.</w:t>
      </w:r>
    </w:p>
    <w:p w14:paraId="4473B0BC" w14:textId="77777777" w:rsidR="00FC3B28" w:rsidRPr="00D0668C" w:rsidRDefault="00FC3B28" w:rsidP="00FC3B28">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SD3. The ONE APUS container spill as a transport tracer</w:t>
      </w:r>
    </w:p>
    <w:p w14:paraId="5E58BFDD" w14:textId="25B1171E" w:rsidR="008E3EB1" w:rsidRPr="00D0668C" w:rsidRDefault="00FC3B28" w:rsidP="004F153D">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The ONE APUS container spill of November 2020 provides a rare quasi-experimental case study of how a discrete, well-</w:t>
      </w:r>
      <w:proofErr w:type="spellStart"/>
      <w:r w:rsidRPr="00D0668C">
        <w:rPr>
          <w:rFonts w:ascii="Times New Roman" w:hAnsi="Times New Roman" w:cs="Times New Roman"/>
          <w:color w:val="000000" w:themeColor="text1"/>
          <w:sz w:val="24"/>
          <w:szCs w:val="24"/>
          <w:lang w:val="en-US"/>
        </w:rPr>
        <w:t>characterised</w:t>
      </w:r>
      <w:proofErr w:type="spellEnd"/>
      <w:r w:rsidRPr="00D0668C">
        <w:rPr>
          <w:rFonts w:ascii="Times New Roman" w:hAnsi="Times New Roman" w:cs="Times New Roman"/>
          <w:color w:val="000000" w:themeColor="text1"/>
          <w:sz w:val="24"/>
          <w:szCs w:val="24"/>
          <w:lang w:val="en-US"/>
        </w:rPr>
        <w:t xml:space="preserve"> pulse of consumer goods disperses across the North </w:t>
      </w:r>
      <w:r w:rsidR="006E25F9" w:rsidRPr="00D0668C">
        <w:rPr>
          <w:rFonts w:ascii="Times New Roman" w:hAnsi="Times New Roman" w:cs="Times New Roman"/>
          <w:color w:val="000000" w:themeColor="text1"/>
          <w:sz w:val="24"/>
          <w:szCs w:val="24"/>
          <w:lang w:val="en-US"/>
        </w:rPr>
        <w:t>Pacific and</w:t>
      </w:r>
      <w:r w:rsidRPr="00D0668C">
        <w:rPr>
          <w:rFonts w:ascii="Times New Roman" w:hAnsi="Times New Roman" w:cs="Times New Roman"/>
          <w:color w:val="000000" w:themeColor="text1"/>
          <w:sz w:val="24"/>
          <w:szCs w:val="24"/>
          <w:lang w:val="en-US"/>
        </w:rPr>
        <w:t xml:space="preserve"> offers independent empirical support for the windage-driven expulsion mechanism discussed in the main text. By item count,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accounted for the largest number of attributed items (1,072 items; 66%), followed by the MHI (347 items; 21%) and the NPGP (116 items; 7%). As a proportion of total cleanup mass, ONE APUS items represented 0.4–</w:t>
      </w:r>
      <w:r w:rsidRPr="00D0668C">
        <w:rPr>
          <w:rFonts w:ascii="Times New Roman" w:hAnsi="Times New Roman" w:cs="Times New Roman"/>
          <w:color w:val="000000" w:themeColor="text1"/>
          <w:sz w:val="24"/>
          <w:szCs w:val="24"/>
          <w:lang w:val="en-US"/>
        </w:rPr>
        <w:lastRenderedPageBreak/>
        <w:t xml:space="preserve">0.5% in the NPGP, 0.7–1.5% in the MHI, and 2.1–6.0%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with the highest value recorded at </w:t>
      </w:r>
      <w:proofErr w:type="spellStart"/>
      <w:r w:rsidR="00FF08D7" w:rsidRPr="00D0668C">
        <w:rPr>
          <w:rFonts w:ascii="Times New Roman" w:hAnsi="Times New Roman" w:cs="Times New Roman"/>
          <w:color w:val="000000" w:themeColor="text1"/>
          <w:sz w:val="24"/>
          <w:szCs w:val="24"/>
          <w:lang w:val="en-US"/>
        </w:rPr>
        <w:t>Kuaihelani</w:t>
      </w:r>
      <w:proofErr w:type="spellEnd"/>
      <w:r w:rsidR="00FF08D7" w:rsidRPr="00D0668C" w:rsidDel="00FF08D7">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in 2024 (6.0%) and </w:t>
      </w:r>
      <w:proofErr w:type="spellStart"/>
      <w:r w:rsidR="004248C3" w:rsidRPr="0028501A">
        <w:rPr>
          <w:rFonts w:ascii="Times New Roman" w:hAnsi="Times New Roman" w:cs="Times New Roman"/>
          <w:sz w:val="24"/>
          <w:szCs w:val="24"/>
          <w:lang w:val="en-US"/>
        </w:rPr>
        <w:t>Kamole</w:t>
      </w:r>
      <w:proofErr w:type="spellEnd"/>
      <w:r w:rsidR="004248C3" w:rsidRPr="00D0668C" w:rsidDel="004248C3">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in 2024 (4.1%), declining in 2025. The temporal progression of detections, with initial recoveries in the NPGP in 2023 followed by higher proportions across Hawaiian sites in 2024–2025, is consistent with multi-year advection by basin-scale currents and mesoscale variability, and mirrors the distributional patterns observed for PET bottles and recently dated items across the broader dataset. Footwear dominated recovered items across all regions, with sandals, shoes, and shoe soles comprising approximately 68% of all structured ONE APUS debris, closely matching the known cargo manifest of sports and lifestyle goods. A total of 136 identifiable brands were recorded, with Croc (220 items) the most abundant overall, followed by Wilson (100 items), Nike (62 items), Puma (60 items), and </w:t>
      </w:r>
      <w:proofErr w:type="spellStart"/>
      <w:r w:rsidRPr="00D0668C">
        <w:rPr>
          <w:rFonts w:ascii="Times New Roman" w:hAnsi="Times New Roman" w:cs="Times New Roman"/>
          <w:color w:val="000000" w:themeColor="text1"/>
          <w:sz w:val="24"/>
          <w:szCs w:val="24"/>
          <w:lang w:val="en-US"/>
        </w:rPr>
        <w:t>ProPenn</w:t>
      </w:r>
      <w:proofErr w:type="spellEnd"/>
      <w:r w:rsidRPr="00D0668C">
        <w:rPr>
          <w:rFonts w:ascii="Times New Roman" w:hAnsi="Times New Roman" w:cs="Times New Roman"/>
          <w:color w:val="000000" w:themeColor="text1"/>
          <w:sz w:val="24"/>
          <w:szCs w:val="24"/>
          <w:lang w:val="en-US"/>
        </w:rPr>
        <w:t xml:space="preserve"> (31 items). Temporal tracking was only possible at James Campbell National Wildlife Refuge through monthly cleanups, where no clear temporal pulse was detected, likely reflecting the continuous nature of debris arrival rather than a discrete stranding event. These patterns provide empirical benchmarks for </w:t>
      </w:r>
      <w:proofErr w:type="spellStart"/>
      <w:r w:rsidRPr="00D0668C">
        <w:rPr>
          <w:rFonts w:ascii="Times New Roman" w:hAnsi="Times New Roman" w:cs="Times New Roman"/>
          <w:color w:val="000000" w:themeColor="text1"/>
          <w:sz w:val="24"/>
          <w:szCs w:val="24"/>
          <w:lang w:val="en-US"/>
        </w:rPr>
        <w:t>Lagrangian</w:t>
      </w:r>
      <w:proofErr w:type="spellEnd"/>
      <w:r w:rsidRPr="00D0668C">
        <w:rPr>
          <w:rFonts w:ascii="Times New Roman" w:hAnsi="Times New Roman" w:cs="Times New Roman"/>
          <w:color w:val="000000" w:themeColor="text1"/>
          <w:sz w:val="24"/>
          <w:szCs w:val="24"/>
          <w:lang w:val="en-US"/>
        </w:rPr>
        <w:t xml:space="preserve"> transport models, including beaching rates, retention times, and dispersal pathways for high-buoyancy cargo items, that are typically difficult to validate with observational data alone, and reinforce the need for early-warning frameworks and rapid-response monitoring protocols for future maritime accidents in the North Pacific.</w:t>
      </w:r>
    </w:p>
    <w:p w14:paraId="3F82620A" w14:textId="03408C73" w:rsidR="004F153D" w:rsidRPr="00D0668C" w:rsidRDefault="004F153D" w:rsidP="004F153D">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SD4. The trawling paradox: mechanisms explaining trawl net abundance in a region without trawling, and the role of mesoscale eddies in ALDFG generation</w:t>
      </w:r>
    </w:p>
    <w:p w14:paraId="07F7EC35" w14:textId="7A46749E" w:rsidR="004F153D" w:rsidRPr="00D0668C" w:rsidRDefault="004F153D" w:rsidP="004F153D">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The high abundance of trawl net fragments in </w:t>
      </w:r>
      <w:r w:rsidR="003D0ADF" w:rsidRPr="00D0668C">
        <w:rPr>
          <w:rFonts w:ascii="Times New Roman" w:hAnsi="Times New Roman" w:cs="Times New Roman"/>
          <w:color w:val="000000" w:themeColor="text1"/>
          <w:sz w:val="24"/>
          <w:szCs w:val="24"/>
          <w:lang w:val="en-US"/>
        </w:rPr>
        <w:t xml:space="preserve">floating </w:t>
      </w:r>
      <w:r w:rsidR="00E166D3" w:rsidRPr="00D0668C">
        <w:rPr>
          <w:rFonts w:ascii="Times New Roman" w:hAnsi="Times New Roman" w:cs="Times New Roman"/>
          <w:color w:val="000000" w:themeColor="text1"/>
          <w:sz w:val="24"/>
          <w:szCs w:val="24"/>
          <w:lang w:val="en-US"/>
        </w:rPr>
        <w:t xml:space="preserve">litter collected in </w:t>
      </w:r>
      <w:r w:rsidRPr="00D0668C">
        <w:rPr>
          <w:rFonts w:ascii="Times New Roman" w:hAnsi="Times New Roman" w:cs="Times New Roman"/>
          <w:color w:val="000000" w:themeColor="text1"/>
          <w:sz w:val="24"/>
          <w:szCs w:val="24"/>
          <w:lang w:val="en-US"/>
        </w:rPr>
        <w:t xml:space="preserve">the NPGP presents an apparent paradox, </w:t>
      </w:r>
      <w:r w:rsidR="009912A2" w:rsidRPr="00D0668C">
        <w:rPr>
          <w:rFonts w:ascii="Times New Roman" w:hAnsi="Times New Roman" w:cs="Times New Roman"/>
          <w:color w:val="000000" w:themeColor="text1"/>
          <w:sz w:val="24"/>
          <w:szCs w:val="24"/>
          <w:lang w:val="en-US"/>
        </w:rPr>
        <w:t xml:space="preserve">as active </w:t>
      </w:r>
      <w:r w:rsidR="00EE28E7" w:rsidRPr="00D0668C">
        <w:rPr>
          <w:rFonts w:ascii="Times New Roman" w:hAnsi="Times New Roman" w:cs="Times New Roman"/>
          <w:color w:val="000000" w:themeColor="text1"/>
          <w:sz w:val="24"/>
          <w:szCs w:val="24"/>
          <w:lang w:val="en-US"/>
        </w:rPr>
        <w:t xml:space="preserve">demersal </w:t>
      </w:r>
      <w:r w:rsidR="009912A2" w:rsidRPr="00D0668C">
        <w:rPr>
          <w:rFonts w:ascii="Times New Roman" w:hAnsi="Times New Roman" w:cs="Times New Roman"/>
          <w:color w:val="000000" w:themeColor="text1"/>
          <w:sz w:val="24"/>
          <w:szCs w:val="24"/>
          <w:lang w:val="en-US"/>
        </w:rPr>
        <w:t>trawling does not occur in the deep offshore waters of the North Pacific Subtropical Gyre, where depths exceed 4,000 m, continental shelf habitat is absent, and target species associated with trawl fisheries are not present in commercial quantities</w:t>
      </w:r>
      <w:r w:rsidRPr="00D0668C">
        <w:rPr>
          <w:rFonts w:ascii="Times New Roman" w:hAnsi="Times New Roman" w:cs="Times New Roman"/>
          <w:color w:val="000000" w:themeColor="text1"/>
          <w:sz w:val="24"/>
          <w:szCs w:val="24"/>
          <w:lang w:val="en-US"/>
        </w:rPr>
        <w:t xml:space="preserve">. </w:t>
      </w:r>
      <w:r w:rsidR="00866352" w:rsidRPr="0028501A">
        <w:rPr>
          <w:rFonts w:ascii="Times New Roman" w:hAnsi="Times New Roman" w:cs="Times New Roman"/>
          <w:sz w:val="24"/>
          <w:szCs w:val="24"/>
          <w:lang w:val="en-US"/>
        </w:rPr>
        <w:t xml:space="preserve"> </w:t>
      </w:r>
      <w:r w:rsidR="00866352" w:rsidRPr="00D0668C">
        <w:rPr>
          <w:rFonts w:ascii="Times New Roman" w:hAnsi="Times New Roman" w:cs="Times New Roman"/>
          <w:color w:val="000000" w:themeColor="text1"/>
          <w:sz w:val="24"/>
          <w:szCs w:val="24"/>
          <w:lang w:val="en-US"/>
        </w:rPr>
        <w:t xml:space="preserve">Although pelagic trawl fisheries can operate over deep offshore waters, large-scale </w:t>
      </w:r>
      <w:r w:rsidR="00DB0E25" w:rsidRPr="00D0668C">
        <w:rPr>
          <w:rFonts w:ascii="Times New Roman" w:hAnsi="Times New Roman" w:cs="Times New Roman"/>
          <w:color w:val="000000" w:themeColor="text1"/>
          <w:sz w:val="24"/>
          <w:szCs w:val="24"/>
          <w:lang w:val="en-US"/>
        </w:rPr>
        <w:t xml:space="preserve">pelagic </w:t>
      </w:r>
      <w:r w:rsidR="00866352" w:rsidRPr="00D0668C">
        <w:rPr>
          <w:rFonts w:ascii="Times New Roman" w:hAnsi="Times New Roman" w:cs="Times New Roman"/>
          <w:color w:val="000000" w:themeColor="text1"/>
          <w:sz w:val="24"/>
          <w:szCs w:val="24"/>
          <w:lang w:val="en-US"/>
        </w:rPr>
        <w:t xml:space="preserve">trawling </w:t>
      </w:r>
      <w:r w:rsidR="00786712" w:rsidRPr="00D0668C">
        <w:rPr>
          <w:rFonts w:ascii="Times New Roman" w:hAnsi="Times New Roman" w:cs="Times New Roman"/>
          <w:color w:val="000000" w:themeColor="text1"/>
          <w:sz w:val="24"/>
          <w:szCs w:val="24"/>
          <w:lang w:val="en-US"/>
        </w:rPr>
        <w:t>is not characteristic of the central oligotrophic gyre environment due to its low productivity and the absence of commercially exploitable target species in sufficient densities</w:t>
      </w:r>
      <w:r w:rsidR="002812E0" w:rsidRPr="00D0668C">
        <w:rPr>
          <w:rFonts w:ascii="Times New Roman" w:hAnsi="Times New Roman" w:cs="Times New Roman"/>
          <w:color w:val="000000" w:themeColor="text1"/>
          <w:sz w:val="24"/>
          <w:szCs w:val="24"/>
          <w:lang w:val="en-US"/>
        </w:rPr>
        <w:t xml:space="preserve"> </w:t>
      </w:r>
      <w:r w:rsidR="002812E0" w:rsidRPr="00D0668C">
        <w:rPr>
          <w:rFonts w:ascii="Times New Roman" w:hAnsi="Times New Roman" w:cs="Times New Roman"/>
          <w:color w:val="000000" w:themeColor="text1"/>
          <w:sz w:val="24"/>
          <w:szCs w:val="24"/>
          <w:lang w:val="en-US"/>
        </w:rPr>
        <w:fldChar w:fldCharType="begin" w:fldLock="1"/>
      </w:r>
      <w:r w:rsidR="003E3B08" w:rsidRPr="00D0668C">
        <w:rPr>
          <w:rFonts w:ascii="Times New Roman" w:hAnsi="Times New Roman" w:cs="Times New Roman"/>
          <w:color w:val="000000" w:themeColor="text1"/>
          <w:sz w:val="24"/>
          <w:szCs w:val="24"/>
          <w:lang w:val="en-US"/>
        </w:rPr>
        <w:instrText>ADDIN CSL_CITATION {"citationItems":[{"id":"ITEM-1","itemData":{"DOI":"10.1007/s10021-017-0117-0","ISSN":"1435-0629","author":[{"dropping-particle":"","family":"Karl","given":"David M","non-dropping-particle":"","parse-names":false,"suffix":""},{"dropping-particle":"","family":"Church","given":"Matthew J","non-dropping-particle":"","parse-names":false,"suffix":""}],"container-title":"Ecosystems","id":"ITEM-1","issue":"3","issued":{"date-parts":[["2017"]]},"page":"433-457","publisher":"Springer US","title":"Ecosystem Structure and Dynamics in the North Pacific Subtropical Gyre : New Views of an Old Ocean","type":"article-journal","volume":"20"},"uris":["http://www.mendeley.com/documents/?uuid=4c0be3dc-8e3c-4b8c-9d50-d6edd358af1f"]}],"mendeley":{"formattedCitation":"(Karl and Church, 2017)","plainTextFormattedCitation":"(Karl and Church, 2017)","previouslyFormattedCitation":"(Karl and Church, 2017)"},"properties":{"noteIndex":0},"schema":"https://github.com/citation-style-language/schema/raw/master/csl-citation.json"}</w:instrText>
      </w:r>
      <w:r w:rsidR="002812E0" w:rsidRPr="00D0668C">
        <w:rPr>
          <w:rFonts w:ascii="Times New Roman" w:hAnsi="Times New Roman" w:cs="Times New Roman"/>
          <w:color w:val="000000" w:themeColor="text1"/>
          <w:sz w:val="24"/>
          <w:szCs w:val="24"/>
          <w:lang w:val="en-US"/>
        </w:rPr>
        <w:fldChar w:fldCharType="separate"/>
      </w:r>
      <w:r w:rsidR="002812E0" w:rsidRPr="00D0668C">
        <w:rPr>
          <w:rFonts w:ascii="Times New Roman" w:hAnsi="Times New Roman" w:cs="Times New Roman"/>
          <w:noProof/>
          <w:color w:val="000000" w:themeColor="text1"/>
          <w:sz w:val="24"/>
          <w:szCs w:val="24"/>
          <w:lang w:val="en-US"/>
        </w:rPr>
        <w:t>(Karl and Church, 2017)</w:t>
      </w:r>
      <w:r w:rsidR="002812E0" w:rsidRPr="00D0668C">
        <w:rPr>
          <w:rFonts w:ascii="Times New Roman" w:hAnsi="Times New Roman" w:cs="Times New Roman"/>
          <w:color w:val="000000" w:themeColor="text1"/>
          <w:sz w:val="24"/>
          <w:szCs w:val="24"/>
          <w:lang w:val="en-US"/>
        </w:rPr>
        <w:fldChar w:fldCharType="end"/>
      </w:r>
      <w:r w:rsidR="00786712" w:rsidRPr="00D0668C">
        <w:rPr>
          <w:rFonts w:ascii="Times New Roman" w:hAnsi="Times New Roman" w:cs="Times New Roman"/>
          <w:color w:val="000000" w:themeColor="text1"/>
          <w:sz w:val="24"/>
          <w:szCs w:val="24"/>
          <w:lang w:val="en-US"/>
        </w:rPr>
        <w:t xml:space="preserve">. </w:t>
      </w:r>
      <w:r w:rsidR="003D4903" w:rsidRPr="00D0668C">
        <w:rPr>
          <w:rFonts w:ascii="Times New Roman" w:hAnsi="Times New Roman" w:cs="Times New Roman"/>
          <w:color w:val="000000" w:themeColor="text1"/>
          <w:sz w:val="24"/>
          <w:szCs w:val="24"/>
          <w:lang w:val="en-US"/>
        </w:rPr>
        <w:t>Demersal t</w:t>
      </w:r>
      <w:r w:rsidRPr="00D0668C">
        <w:rPr>
          <w:rFonts w:ascii="Times New Roman" w:hAnsi="Times New Roman" w:cs="Times New Roman"/>
          <w:color w:val="000000" w:themeColor="text1"/>
          <w:sz w:val="24"/>
          <w:szCs w:val="24"/>
          <w:lang w:val="en-US"/>
        </w:rPr>
        <w:t xml:space="preserve">rawling in the broader Pacific is largely confined to the continental shelves of the western Pacific and Asia, where China, Japan, South Korea, Taiwan, Vietnam, Thailand, and Indonesia operate extensive fleets targeting demersal fish and shrimp in the Yellow Sea, East China Sea, and South China Sea </w:t>
      </w:r>
      <w:r w:rsidR="006E25F9" w:rsidRPr="00D0668C">
        <w:rPr>
          <w:rFonts w:ascii="Times New Roman" w:hAnsi="Times New Roman" w:cs="Times New Roman"/>
          <w:color w:val="000000" w:themeColor="text1"/>
          <w:sz w:val="24"/>
          <w:szCs w:val="24"/>
          <w:lang w:val="en-US"/>
        </w:rPr>
        <w:fldChar w:fldCharType="begin" w:fldLock="1"/>
      </w:r>
      <w:r w:rsidR="00220EE0" w:rsidRPr="00D0668C">
        <w:rPr>
          <w:rFonts w:ascii="Times New Roman" w:hAnsi="Times New Roman" w:cs="Times New Roman"/>
          <w:color w:val="000000" w:themeColor="text1"/>
          <w:sz w:val="24"/>
          <w:szCs w:val="24"/>
          <w:lang w:val="en-US"/>
        </w:rPr>
        <w:instrText>ADDIN CSL_CITATION {"citationItems":[{"id":"ITEM-1","itemData":{"ISSN":"1095-9203","PMID":"29472481","abstract":"Although fishing is one of the most widespread activities by which humans harvest natural resources, its global footprint is poorly understood and has never been directly quantified. We processed 22 billion automatic identification system messages and tracked &gt;70,000 industrial fishing vessels from 2012 to 2016, creating a global dynamic footprint of fishing effort with spatial and temporal resolution two to three orders of magnitude higher than for previous data sets. Our data show that industrial fishing occurs in &gt;55% of ocean area and has a spatial extent more than four times that of agriculture. We find that global patterns of fishing have surprisingly low sensitivity to short-term economic and environmental variation and a strong response to cultural and political events such as holidays and closures.","author":[{"dropping-particle":"","family":"Kroodsma","given":"David A","non-dropping-particle":"","parse-names":false,"suffix":""},{"dropping-particle":"","family":"Mayorga","given":"Juan","non-dropping-particle":"","parse-names":false,"suffix":""},{"dropping-particle":"","family":"Hochberg","given":"Timothy","non-dropping-particle":"","parse-names":false,"suffix":""},{"dropping-particle":"","family":"Miller","given":"Nathan A","non-dropping-particle":"","parse-names":false,"suffix":""},{"dropping-particle":"","family":"Boerder","given":"Kristina","non-dropping-particle":"","parse-names":false,"suffix":""},{"dropping-particle":"","family":"Ferretti","given":"Francesco","non-dropping-particle":"","parse-names":false,"suffix":""},{"dropping-particle":"","family":"Wilson","given":"Alex","non-dropping-particle":"","parse-names":false,"suffix":""},{"dropping-particle":"","family":"Bergman","given":"Bjorn","non-dropping-particle":"","parse-names":false,"suffix":""},{"dropping-particle":"","family":"White","given":"Timothy D","non-dropping-particle":"","parse-names":false,"suffix":""},{"dropping-particle":"","family":"Block","given":"Barbara A","non-dropping-particle":"","parse-names":false,"suffix":""},{"dropping-particle":"","family":"Woods","given":"Paul","non-dropping-particle":"","parse-names":false,"suffix":""},{"dropping-particle":"","family":"Sullivan","given":"Brian","non-dropping-particle":"","parse-names":false,"suffix":""},{"dropping-particle":"","family":"Costello","given":"Christopher","non-dropping-particle":"","parse-names":false,"suffix":""},{"dropping-particle":"","family":"Worm","given":"Boris","non-dropping-particle":"","parse-names":false,"suffix":""}],"container-title":"Science (New York, N.Y.)","id":"ITEM-1","issue":"February","issued":{"date-parts":[["2018"]]},"page":"904-908","title":"Tracking the global footprint of fisheries","type":"article-journal","volume":"908"},"uris":["http://www.mendeley.com/documents/?uuid=fdeeb544-69c6-4aee-8d93-fd2baef9c580"]}],"mendeley":{"formattedCitation":"(Kroodsma et al., 2018)","plainTextFormattedCitation":"(Kroodsma et al., 2018)","previouslyFormattedCitation":"(Kroodsma et al., 2018)"},"properties":{"noteIndex":0},"schema":"https://github.com/citation-style-language/schema/raw/master/csl-citation.json"}</w:instrText>
      </w:r>
      <w:r w:rsidR="006E25F9" w:rsidRPr="00D0668C">
        <w:rPr>
          <w:rFonts w:ascii="Times New Roman" w:hAnsi="Times New Roman" w:cs="Times New Roman"/>
          <w:color w:val="000000" w:themeColor="text1"/>
          <w:sz w:val="24"/>
          <w:szCs w:val="24"/>
          <w:lang w:val="en-US"/>
        </w:rPr>
        <w:fldChar w:fldCharType="separate"/>
      </w:r>
      <w:r w:rsidR="006E25F9" w:rsidRPr="00D0668C">
        <w:rPr>
          <w:rFonts w:ascii="Times New Roman" w:hAnsi="Times New Roman" w:cs="Times New Roman"/>
          <w:noProof/>
          <w:color w:val="000000" w:themeColor="text1"/>
          <w:sz w:val="24"/>
          <w:szCs w:val="24"/>
          <w:lang w:val="en-US"/>
        </w:rPr>
        <w:t>(Kroodsma et al., 2018)</w:t>
      </w:r>
      <w:r w:rsidR="006E25F9"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In the central and eastern Pacific, geomorphological constraints and regulatory frameworks</w:t>
      </w:r>
      <w:r w:rsidR="00B9739D"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including explicit </w:t>
      </w:r>
      <w:r w:rsidR="0097017B" w:rsidRPr="00D0668C">
        <w:rPr>
          <w:rFonts w:ascii="Times New Roman" w:hAnsi="Times New Roman" w:cs="Times New Roman"/>
          <w:color w:val="000000" w:themeColor="text1"/>
          <w:sz w:val="24"/>
          <w:szCs w:val="24"/>
          <w:lang w:val="en-US"/>
        </w:rPr>
        <w:t xml:space="preserve">bottom </w:t>
      </w:r>
      <w:r w:rsidRPr="00D0668C">
        <w:rPr>
          <w:rFonts w:ascii="Times New Roman" w:hAnsi="Times New Roman" w:cs="Times New Roman"/>
          <w:color w:val="000000" w:themeColor="text1"/>
          <w:sz w:val="24"/>
          <w:szCs w:val="24"/>
          <w:lang w:val="en-US"/>
        </w:rPr>
        <w:t>trawl prohibitions across many Pacific Island nations to protect coral reefs and seamount ecosystems</w:t>
      </w:r>
      <w:r w:rsidR="00B9739D"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further limit demersal trawling to isolated shelf areas such as the continental shelf of Papua New Guinea </w:t>
      </w:r>
      <w:r w:rsidR="00220EE0" w:rsidRPr="00D0668C">
        <w:rPr>
          <w:rFonts w:ascii="Times New Roman" w:hAnsi="Times New Roman" w:cs="Times New Roman"/>
          <w:color w:val="000000" w:themeColor="text1"/>
          <w:sz w:val="24"/>
          <w:szCs w:val="24"/>
          <w:lang w:val="en-US"/>
        </w:rPr>
        <w:fldChar w:fldCharType="begin" w:fldLock="1"/>
      </w:r>
      <w:r w:rsidR="00BC7DA9" w:rsidRPr="00D0668C">
        <w:rPr>
          <w:rFonts w:ascii="Times New Roman" w:hAnsi="Times New Roman" w:cs="Times New Roman"/>
          <w:color w:val="000000" w:themeColor="text1"/>
          <w:sz w:val="24"/>
          <w:szCs w:val="24"/>
          <w:lang w:val="en-US"/>
        </w:rPr>
        <w:instrText>ADDIN CSL_CITATION {"citationItems":[{"id":"ITEM-1","itemData":{"ISBN":"9789251061961","abstract":"Abandoned, lost or otherwise discarded fishing gear (ALDFG) is a problem that is increasingly of concern. Various United Nations General Assembly resolutions now provide a mandate for, and indeed require, action to reduce ALDFG and marine debris in general. Consequently, the United Nations Environment Programme (UNEP) and the Food and Agriculture Organization of the United Nations (FAO) entered into an agreement to carry out a study in relation to ALDFG in order to raise awareness of the extent of the problem and to recommend action to mitigate the problem of ALDFG by flag states, regional fisheries management bodies and organizations, and international organizations, such as UNEP, the International Maritime Organization (IMO) and FAO. This report reviews the magnitude and composition of ALDFG, and while noting that information is not comprehensive and does not allow for any global estimates, suggests that gillnets and fishing traps/pots may be the most common type of ALDFG, although netting fragments may also be common in some locations. The impacts of ALDFG are also considered and include: continued catching of target and non-target species (such as turtles, seabirds and marine mammals); alterations to the benthic environment; navigational hazards; beach debris/litter; introduction of synthetic material into the marine food web; introduction of alien species transported by ALDFG; and a variety of costs related to clean-up operations and impacts on business activities. In general, gillnets and pots/traps are most likely to ghost fish while other gear, such as trawls and longlines, are more likely to cause entanglement of marine organisms, including protected species, and habitat damage. The factors which cause fishing gear to be abandoned, lost or otherwise discarded are numerous and include: adverse weather; operational fishing factors including the cost of gear retrieval; gear conflicts; illegal, unregulated and unreported (IUU) fishing; vandalism/theft; and access to and cost and availability of shoreside collection facilities. Weather, operational fishing factors and gear conflicts are probably the most significant factors, but the causes of ALDFG accumulation are poorly documented and not well understood. A detailed understanding of why gear is abandoned, lost or discarded is needed when designing and tailoring effective measures to reduce ALDFG in particular locations. A variety of measures are currently in place to reduce ALDFG, and these are pr…","author":[{"dropping-particle":"","family":"Macfadyen","given":"Graeme;","non-dropping-particle":"","parse-names":false,"suffix":""},{"dropping-particle":"","family":"Huntington","given":"Tim;","non-dropping-particle":"","parse-names":false,"suffix":""},{"dropping-particle":"","family":"Cappell","given":"Rod","non-dropping-particle":"","parse-names":false,"suffix":""}],"container-title":"FAO Fisheries and Aquaculture Technical Paper 523","id":"ITEM-1","issued":{"date-parts":[["2009"]]},"number-of-pages":"115 p.","title":"Abandoned, lost or otherwise discarded fishing gear, FAO Consutlants, Lymington. United Kingdom of Great Britain and Northern Ireland","type":"book","volume":"523"},"uris":["http://www.mendeley.com/documents/?uuid=146d0ee6-7d21-4b1a-995c-dbf3a073d5c5"]},{"id":"ITEM-2","itemData":{"author":[{"dropping-particle":"","family":"FAO","given":"","non-dropping-particle":"","parse-names":false,"suffix":""}],"container-title":"Technical Guidelines for Responsible Fisheries.","id":"ITEM-2","issued":{"date-parts":[["2021"]]},"publisher-place":"Rome","title":"Classification and illustrated definition of fishing gears.","type":"report"},"uris":["http://www.mendeley.com/documents/?uuid=477ae180-84dd-4c4e-8793-5e85a4cbf2e4"]}],"mendeley":{"formattedCitation":"(FAO, 2021; Macfadyen et al., 2009)","plainTextFormattedCitation":"(FAO, 2021; Macfadyen et al., 2009)","previouslyFormattedCitation":"(FAO, 2021; Macfadyen et al., 2009)"},"properties":{"noteIndex":0},"schema":"https://github.com/citation-style-language/schema/raw/master/csl-citation.json"}</w:instrText>
      </w:r>
      <w:r w:rsidR="00220EE0" w:rsidRPr="00D0668C">
        <w:rPr>
          <w:rFonts w:ascii="Times New Roman" w:hAnsi="Times New Roman" w:cs="Times New Roman"/>
          <w:color w:val="000000" w:themeColor="text1"/>
          <w:sz w:val="24"/>
          <w:szCs w:val="24"/>
          <w:lang w:val="en-US"/>
        </w:rPr>
        <w:fldChar w:fldCharType="separate"/>
      </w:r>
      <w:r w:rsidR="00220EE0" w:rsidRPr="00D0668C">
        <w:rPr>
          <w:rFonts w:ascii="Times New Roman" w:hAnsi="Times New Roman" w:cs="Times New Roman"/>
          <w:noProof/>
          <w:color w:val="000000" w:themeColor="text1"/>
          <w:sz w:val="24"/>
          <w:szCs w:val="24"/>
          <w:lang w:val="en-US"/>
        </w:rPr>
        <w:t>(FAO, 2021; Macfadyen et al., 2009)</w:t>
      </w:r>
      <w:r w:rsidR="00220EE0"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w:t>
      </w:r>
    </w:p>
    <w:p w14:paraId="4D2D672C" w14:textId="0F08938B" w:rsidR="004F153D" w:rsidRPr="00D0668C" w:rsidRDefault="004F153D" w:rsidP="004F153D">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Several non-exclusive mechanisms explain how trawl nets originating from Asian shelf fisheries appear in the NPGP. </w:t>
      </w:r>
      <w:r w:rsidR="00CD5B90" w:rsidRPr="00D0668C">
        <w:rPr>
          <w:rFonts w:ascii="Times New Roman" w:hAnsi="Times New Roman" w:cs="Times New Roman"/>
          <w:color w:val="000000" w:themeColor="text1"/>
          <w:sz w:val="24"/>
          <w:szCs w:val="24"/>
          <w:lang w:val="en-US"/>
        </w:rPr>
        <w:t>G</w:t>
      </w:r>
      <w:r w:rsidRPr="00D0668C">
        <w:rPr>
          <w:rFonts w:ascii="Times New Roman" w:hAnsi="Times New Roman" w:cs="Times New Roman"/>
          <w:color w:val="000000" w:themeColor="text1"/>
          <w:sz w:val="24"/>
          <w:szCs w:val="24"/>
          <w:lang w:val="en-US"/>
        </w:rPr>
        <w:t xml:space="preserve">ear fragments generated during net repair and replacement, whether discarded at sea or improperly disposed of at port, can be entrained in the Kuroshio Extension and North Pacific Current and transported thousands of </w:t>
      </w:r>
      <w:proofErr w:type="spellStart"/>
      <w:r w:rsidRPr="00D0668C">
        <w:rPr>
          <w:rFonts w:ascii="Times New Roman" w:hAnsi="Times New Roman" w:cs="Times New Roman"/>
          <w:color w:val="000000" w:themeColor="text1"/>
          <w:sz w:val="24"/>
          <w:szCs w:val="24"/>
          <w:lang w:val="en-US"/>
        </w:rPr>
        <w:t>kilometres</w:t>
      </w:r>
      <w:proofErr w:type="spellEnd"/>
      <w:r w:rsidRPr="00D0668C">
        <w:rPr>
          <w:rFonts w:ascii="Times New Roman" w:hAnsi="Times New Roman" w:cs="Times New Roman"/>
          <w:color w:val="000000" w:themeColor="text1"/>
          <w:sz w:val="24"/>
          <w:szCs w:val="24"/>
          <w:lang w:val="en-US"/>
        </w:rPr>
        <w:t xml:space="preserve"> into the subtropical gyre, as demonstrated by </w:t>
      </w:r>
      <w:proofErr w:type="spellStart"/>
      <w:r w:rsidRPr="00D0668C">
        <w:rPr>
          <w:rFonts w:ascii="Times New Roman" w:hAnsi="Times New Roman" w:cs="Times New Roman"/>
          <w:color w:val="000000" w:themeColor="text1"/>
          <w:sz w:val="24"/>
          <w:szCs w:val="24"/>
          <w:lang w:val="en-US"/>
        </w:rPr>
        <w:t>Lagrangian</w:t>
      </w:r>
      <w:proofErr w:type="spellEnd"/>
      <w:r w:rsidRPr="00D0668C">
        <w:rPr>
          <w:rFonts w:ascii="Times New Roman" w:hAnsi="Times New Roman" w:cs="Times New Roman"/>
          <w:color w:val="000000" w:themeColor="text1"/>
          <w:sz w:val="24"/>
          <w:szCs w:val="24"/>
          <w:lang w:val="en-US"/>
        </w:rPr>
        <w:t xml:space="preserve"> transport modelling of floating debris from Asian coastlines </w:t>
      </w:r>
      <w:r w:rsidR="00BC1761" w:rsidRPr="00D0668C">
        <w:rPr>
          <w:rFonts w:ascii="Times New Roman" w:hAnsi="Times New Roman" w:cs="Times New Roman"/>
          <w:color w:val="000000" w:themeColor="text1"/>
          <w:sz w:val="24"/>
          <w:szCs w:val="24"/>
          <w:lang w:val="en-US"/>
        </w:rPr>
        <w:fldChar w:fldCharType="begin" w:fldLock="1"/>
      </w:r>
      <w:r w:rsidR="00123E7E" w:rsidRPr="00D0668C">
        <w:rPr>
          <w:rFonts w:ascii="Times New Roman" w:hAnsi="Times New Roman" w:cs="Times New Roman"/>
          <w:color w:val="000000" w:themeColor="text1"/>
          <w:sz w:val="24"/>
          <w:szCs w:val="24"/>
          <w:lang w:val="en-US"/>
        </w:rPr>
        <w:instrText>ADDIN CSL_CITATION {"citationItems":[{"id":"ITEM-1","itemData":{"DOI":"10.1038/s41598-019-49413-5","ISSN":"20452322","PMID":"31515537","abstract":"Predicted global figures for plastic debris accumulation in the ocean surface layer range on the order of hundreds of thousands of metric tons, representing only a few percent of estimated annual emissions into the marine environment. The current accepted explanation for this difference is that positively buoyant macroplastic objects do not persist on the ocean surface. Subject to degradation into microplastics, the major part of the mass is predicted to have settled below the surface. However, we argue that such a simple emission-degradation model cannot explain the occurrence of decades-old objects collected by oceanic expeditions. We show that debris circulation dynamics in coastal environments may be a better explanation for this difference. The results presented here suggest that there is a significant time interval, on the order of several years to decades, between terrestrial emissions and representative accumulation in offshore waters. Importantly, our results also indicate that the current generation of secondary microplastics in the global ocean is mostly a result of the degradation of objects produced in the 1990s and earlier. Finally, we propose a series of future emission scenarios until 2050, discussing the necessity to rapidly reduce emissions and actively remove waste accumulated in the environment to mitigate further microplastic contamination in the global ocean.","author":[{"dropping-particle":"","family":"Lebreton","given":"Laurent","non-dropping-particle":"","parse-names":false,"suffix":""},{"dropping-particle":"","family":"Egger","given":"Matthias","non-dropping-particle":"","parse-names":false,"suffix":""},{"dropping-particle":"","family":"Slat","given":"Boyan","non-dropping-particle":"","parse-names":false,"suffix":""}],"container-title":"Scientific Reports","id":"ITEM-1","issue":"1","issued":{"date-parts":[["2019"]]},"page":"58755","title":"A global mass budget for positively buoyant macroplastic debris in the ocean","type":"article-journal","volume":"10"},"uris":["http://www.mendeley.com/documents/?uuid=60d62d9b-bc51-4b4f-849f-bb2e94db3cfb"]},{"id":"ITEM-2","itemData":{"DOI":"10.1016/j.marpolbul.2018.03.056","ISSN":"18793363","abstract":"A suite of five ocean models is used to simulate the movement of floating debris generated by the Great Japan Tsunami of 2011. This debris was subject to differential wind and wave-induced motion relative to the ambient current (often termed “windage”) which is a function of the shape, size, and buoyancy of the individual debris items. Model solutions suggest that during the eastward drift across the North Pacific the debris became “stratified” by the wind so that objects with different windages took different paths: high windage items reached North America in large numbers the first year, medium windage items recirculated southwest toward Hawaii and Asia, and low windage items collected in the Subtropical Gyre, primarily in the so-called “garbage patch” area located northeast of Hawaii and known for high concentrations of microplastics. Numerous boats lost during the tsunami were later observed at sea and/or found on the west coast of North America: these observations are used to determine optimal windage values for scaling the model solutions. The initial number of boats set adrift during the tsunami is estimated at about 1000, while about 100 boats are projected to still float in year 2018 with an e-folding decay of 2 to 8 years.","author":[{"dropping-particle":"","family":"Maximenko","given":"Nikolai","non-dropping-particle":"","parse-names":false,"suffix":""},{"dropping-particle":"","family":"Hafner","given":"Jan","non-dropping-particle":"","parse-names":false,"suffix":""},{"dropping-particle":"","family":"Kamachi","given":"Masafumi","non-dropping-particle":"","parse-names":false,"suffix":""},{"dropping-particle":"","family":"Macfadyen","given":"Amy","non-dropping-particle":"","parse-names":false,"suffix":""}],"container-title":"Marine Pollution Bulletin","id":"ITEM-2","issue":"June 2017","issued":{"date-parts":[["2018"]]},"page":"5-25","publisher":"Elsevier","title":"Numerical simulations of debris drift from the Great Japan Tsunami of 2011 and their verification with observational reports","type":"article-journal","volume":"132"},"uris":["http://www.mendeley.com/documents/?uuid=45e0b093-c62f-4152-bf7b-1a6d1cd7db9b"]}],"mendeley":{"formattedCitation":"(Lebreton et al., 2019; Maximenko et al., 2018)","plainTextFormattedCitation":"(Lebreton et al., 2019; Maximenko et al., 2018)","previouslyFormattedCitation":"(Lebreton et al., 2019; Maximenko et al., 2018)"},"properties":{"noteIndex":0},"schema":"https://github.com/citation-style-language/schema/raw/master/csl-citation.json"}</w:instrText>
      </w:r>
      <w:r w:rsidR="00BC1761" w:rsidRPr="00D0668C">
        <w:rPr>
          <w:rFonts w:ascii="Times New Roman" w:hAnsi="Times New Roman" w:cs="Times New Roman"/>
          <w:color w:val="000000" w:themeColor="text1"/>
          <w:sz w:val="24"/>
          <w:szCs w:val="24"/>
          <w:lang w:val="en-US"/>
        </w:rPr>
        <w:fldChar w:fldCharType="separate"/>
      </w:r>
      <w:r w:rsidR="00BC1761" w:rsidRPr="00D0668C">
        <w:rPr>
          <w:rFonts w:ascii="Times New Roman" w:hAnsi="Times New Roman" w:cs="Times New Roman"/>
          <w:noProof/>
          <w:color w:val="000000" w:themeColor="text1"/>
          <w:sz w:val="24"/>
          <w:szCs w:val="24"/>
          <w:lang w:val="en-US"/>
        </w:rPr>
        <w:t>(Lebreton et al., 2019; Maximenko et al., 2018)</w:t>
      </w:r>
      <w:r w:rsidR="00BC1761"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xml:space="preserve">. </w:t>
      </w:r>
      <w:r w:rsidR="00133A37" w:rsidRPr="00D0668C">
        <w:rPr>
          <w:rFonts w:ascii="Times New Roman" w:hAnsi="Times New Roman" w:cs="Times New Roman"/>
          <w:color w:val="000000" w:themeColor="text1"/>
          <w:sz w:val="24"/>
          <w:szCs w:val="24"/>
          <w:lang w:val="en-US"/>
        </w:rPr>
        <w:t>The predominance of relatively recent net material</w:t>
      </w:r>
      <w:r w:rsidR="00BE25F1" w:rsidRPr="00D0668C">
        <w:rPr>
          <w:rFonts w:ascii="Times New Roman" w:hAnsi="Times New Roman" w:cs="Times New Roman"/>
          <w:color w:val="000000" w:themeColor="text1"/>
          <w:sz w:val="24"/>
          <w:szCs w:val="24"/>
          <w:lang w:val="en-US"/>
        </w:rPr>
        <w:t>,</w:t>
      </w:r>
      <w:r w:rsidR="00133A37"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61% classified as less than five years old</w:t>
      </w:r>
      <w:r w:rsidR="00B9739D"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w:t>
      </w:r>
      <w:r w:rsidR="00BE25F1" w:rsidRPr="00D0668C">
        <w:rPr>
          <w:rFonts w:ascii="Times New Roman" w:hAnsi="Times New Roman" w:cs="Times New Roman"/>
          <w:color w:val="000000" w:themeColor="text1"/>
          <w:sz w:val="24"/>
          <w:szCs w:val="24"/>
          <w:lang w:val="en-US"/>
        </w:rPr>
        <w:t>is consistent with active, ongoing inputs maintaining the trawl net signal in the NPGP, though this pattern may also partly reflect the selective loss of older material through advanced degradation, fragmentation, and sinking over time</w:t>
      </w:r>
      <w:r w:rsidRPr="00D0668C">
        <w:rPr>
          <w:rFonts w:ascii="Times New Roman" w:hAnsi="Times New Roman" w:cs="Times New Roman"/>
          <w:color w:val="000000" w:themeColor="text1"/>
          <w:sz w:val="24"/>
          <w:szCs w:val="24"/>
          <w:lang w:val="en-US"/>
        </w:rPr>
        <w:t>.</w:t>
      </w:r>
    </w:p>
    <w:p w14:paraId="1EB0C025" w14:textId="13629865" w:rsidR="004F153D" w:rsidRPr="00D0668C" w:rsidRDefault="004F153D"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lastRenderedPageBreak/>
        <w:t>A further question raised by the dataset is where along the pathway from vessel to gyre these net fragments most commonly enter the ocean. Mesoscale eddies in the western North Pacific and along the Kuroshio Extension are associated with elevated primary productivity and concentrated fish biomass, making them preferential fishing grounds for trawl and other active gear types</w:t>
      </w:r>
      <w:r w:rsidR="00491D27" w:rsidRPr="00D0668C">
        <w:rPr>
          <w:rFonts w:ascii="Times New Roman" w:hAnsi="Times New Roman" w:cs="Times New Roman"/>
          <w:color w:val="000000" w:themeColor="text1"/>
          <w:sz w:val="24"/>
          <w:szCs w:val="24"/>
          <w:lang w:val="en-US"/>
        </w:rPr>
        <w:t xml:space="preserve"> </w:t>
      </w:r>
      <w:r w:rsidR="003E3B08" w:rsidRPr="00D0668C">
        <w:rPr>
          <w:rFonts w:ascii="Times New Roman" w:hAnsi="Times New Roman" w:cs="Times New Roman"/>
          <w:color w:val="000000" w:themeColor="text1"/>
          <w:sz w:val="24"/>
          <w:szCs w:val="24"/>
          <w:lang w:val="en-US"/>
        </w:rPr>
        <w:fldChar w:fldCharType="begin" w:fldLock="1"/>
      </w:r>
      <w:r w:rsidR="003E3B08" w:rsidRPr="00D0668C">
        <w:rPr>
          <w:rFonts w:ascii="Times New Roman" w:hAnsi="Times New Roman" w:cs="Times New Roman"/>
          <w:color w:val="000000" w:themeColor="text1"/>
          <w:sz w:val="24"/>
          <w:szCs w:val="24"/>
          <w:lang w:val="en-US"/>
        </w:rPr>
        <w:instrText>ADDIN CSL_CITATION {"citationItems":[{"id":"ITEM-1","itemData":{"DOI":"10.1111/faf.12742","author":[{"dropping-particle":"","family":"Xing","given":"Qinwang","non-dropping-particle":"","parse-names":false,"suffix":""},{"dropping-particle":"","family":"Yu","given":"Haiqing","non-dropping-particle":"","parse-names":false,"suffix":""},{"dropping-particle":"","family":"Wang","given":"Hui","non-dropping-particle":"","parse-names":false,"suffix":""},{"dropping-particle":"","family":"Chai","given":"Fei","non-dropping-particle":"","parse-names":false,"suffix":""}],"id":"ITEM-1","issue":"September 2022","issued":{"date-parts":[["2023"]]},"page":"1-17","title":"Mesoscale eddies modulate the dynamics of human fishing activities in the global midlatitude ocean","type":"article-journal"},"uris":["http://www.mendeley.com/documents/?uuid=dad69fc6-d833-4512-8567-58c00b7c4081"]}],"mendeley":{"formattedCitation":"(Xing et al., 2023)","plainTextFormattedCitation":"(Xing et al., 2023)"},"properties":{"noteIndex":0},"schema":"https://github.com/citation-style-language/schema/raw/master/csl-citation.json"}</w:instrText>
      </w:r>
      <w:r w:rsidR="003E3B08" w:rsidRPr="00D0668C">
        <w:rPr>
          <w:rFonts w:ascii="Times New Roman" w:hAnsi="Times New Roman" w:cs="Times New Roman"/>
          <w:color w:val="000000" w:themeColor="text1"/>
          <w:sz w:val="24"/>
          <w:szCs w:val="24"/>
          <w:lang w:val="en-US"/>
        </w:rPr>
        <w:fldChar w:fldCharType="separate"/>
      </w:r>
      <w:r w:rsidR="003E3B08" w:rsidRPr="00D0668C">
        <w:rPr>
          <w:rFonts w:ascii="Times New Roman" w:hAnsi="Times New Roman" w:cs="Times New Roman"/>
          <w:noProof/>
          <w:color w:val="000000" w:themeColor="text1"/>
          <w:sz w:val="24"/>
          <w:szCs w:val="24"/>
          <w:lang w:val="en-US"/>
        </w:rPr>
        <w:t>(Xing et al., 2023)</w:t>
      </w:r>
      <w:r w:rsidR="003E3B08" w:rsidRPr="00D0668C">
        <w:rPr>
          <w:rFonts w:ascii="Times New Roman" w:hAnsi="Times New Roman" w:cs="Times New Roman"/>
          <w:color w:val="000000" w:themeColor="text1"/>
          <w:sz w:val="24"/>
          <w:szCs w:val="24"/>
          <w:lang w:val="en-US"/>
        </w:rPr>
        <w:fldChar w:fldCharType="end"/>
      </w:r>
      <w:r w:rsidR="00C633F7"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If gear waste generation is proportional to fishing intensity, then eddy-associated fishing hotspots may represent disproportionate sources of ALDFG entering the offshore circulation system, as net fragments discarded or lost in these dynamic, high-activity zones are likely to be rapidly entrained in mesoscale circulation and transported toward the subtropical gyre. This hypothesis</w:t>
      </w:r>
      <w:r w:rsidR="00B9739D"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that mesoscale oceanographic features not only concentrate fish and fishing effort but also concentrate ALDFG generation</w:t>
      </w:r>
      <w:r w:rsidR="00B9739D"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represents a tractable and important question for future work integrating fishing effort data with oceanographic dispersal modelling and debris provenance analysis of the kind developed in this study.</w:t>
      </w:r>
    </w:p>
    <w:p w14:paraId="1510CBAF" w14:textId="77777777" w:rsidR="003A0CFD" w:rsidRPr="00D0668C" w:rsidRDefault="003A0CFD">
      <w:pPr>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28A6E7DE" w14:textId="4E9DC163" w:rsidR="007D6613" w:rsidRPr="00D0668C" w:rsidRDefault="007D6613" w:rsidP="007D6613">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color w:val="000000" w:themeColor="text1"/>
          <w:sz w:val="24"/>
          <w:szCs w:val="24"/>
          <w:lang w:val="en-US"/>
        </w:rPr>
        <w:lastRenderedPageBreak/>
        <w:t>Supplementary Methods</w:t>
      </w:r>
    </w:p>
    <w:p w14:paraId="261A0AB0" w14:textId="51318222" w:rsidR="007D6613" w:rsidRPr="00D0668C" w:rsidRDefault="007D6613" w:rsidP="007D6613">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SM1. Study sites and sample collection</w:t>
      </w:r>
      <w:r w:rsidR="006E1C7C" w:rsidRPr="00D0668C">
        <w:rPr>
          <w:rFonts w:ascii="Times New Roman" w:hAnsi="Times New Roman" w:cs="Times New Roman"/>
          <w:i/>
          <w:iCs/>
          <w:color w:val="000000" w:themeColor="text1"/>
          <w:sz w:val="24"/>
          <w:szCs w:val="24"/>
          <w:lang w:val="en-US"/>
        </w:rPr>
        <w:t>;</w:t>
      </w:r>
      <w:r w:rsidR="006E4711" w:rsidRPr="00D0668C">
        <w:rPr>
          <w:rFonts w:ascii="Times New Roman" w:hAnsi="Times New Roman" w:cs="Times New Roman"/>
          <w:i/>
          <w:iCs/>
          <w:color w:val="000000" w:themeColor="text1"/>
          <w:sz w:val="24"/>
          <w:szCs w:val="24"/>
          <w:lang w:val="en-US"/>
        </w:rPr>
        <w:t xml:space="preserve"> </w:t>
      </w:r>
      <w:r w:rsidRPr="00D0668C">
        <w:rPr>
          <w:rFonts w:ascii="Times New Roman" w:hAnsi="Times New Roman" w:cs="Times New Roman"/>
          <w:i/>
          <w:iCs/>
          <w:color w:val="000000" w:themeColor="text1"/>
          <w:sz w:val="24"/>
          <w:szCs w:val="24"/>
          <w:lang w:val="en-US"/>
        </w:rPr>
        <w:t>full details</w:t>
      </w:r>
    </w:p>
    <w:p w14:paraId="5018D003" w14:textId="1690003A" w:rsidR="007D6613" w:rsidRPr="00D0668C" w:rsidRDefault="005C1FA4"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North Pacific Garbage Patch (</w:t>
      </w:r>
      <w:r w:rsidR="007D6613" w:rsidRPr="00D0668C">
        <w:rPr>
          <w:rFonts w:ascii="Times New Roman" w:hAnsi="Times New Roman" w:cs="Times New Roman"/>
          <w:i/>
          <w:iCs/>
          <w:color w:val="000000" w:themeColor="text1"/>
          <w:sz w:val="24"/>
          <w:szCs w:val="24"/>
          <w:lang w:val="en-US"/>
        </w:rPr>
        <w:t>NPGP</w:t>
      </w:r>
      <w:r w:rsidRPr="00D0668C">
        <w:rPr>
          <w:rFonts w:ascii="Times New Roman" w:hAnsi="Times New Roman" w:cs="Times New Roman"/>
          <w:i/>
          <w:iCs/>
          <w:color w:val="000000" w:themeColor="text1"/>
          <w:sz w:val="24"/>
          <w:szCs w:val="24"/>
          <w:lang w:val="en-US"/>
        </w:rPr>
        <w:t>)</w:t>
      </w:r>
      <w:r w:rsidR="007D6613" w:rsidRPr="00D0668C">
        <w:rPr>
          <w:rFonts w:ascii="Times New Roman" w:hAnsi="Times New Roman" w:cs="Times New Roman"/>
          <w:i/>
          <w:iCs/>
          <w:color w:val="000000" w:themeColor="text1"/>
          <w:sz w:val="24"/>
          <w:szCs w:val="24"/>
          <w:lang w:val="en-US"/>
        </w:rPr>
        <w:t>.</w:t>
      </w:r>
      <w:r w:rsidR="007D6613" w:rsidRPr="00D0668C">
        <w:rPr>
          <w:rFonts w:ascii="Times New Roman" w:hAnsi="Times New Roman" w:cs="Times New Roman"/>
          <w:color w:val="000000" w:themeColor="text1"/>
          <w:sz w:val="24"/>
          <w:szCs w:val="24"/>
          <w:lang w:val="en-US"/>
        </w:rPr>
        <w:t xml:space="preserve"> Offshore plastic debris was collected from the NPGP across seven datasets. The first dataset comprised 652 surface net tows conducted between 7 July and 19 September 2015 across 25°N–41°N and 129–156°W by 18 participating vessels, yielding 668 kg </w:t>
      </w:r>
      <w:r w:rsidR="00AA1ADA" w:rsidRPr="00D0668C">
        <w:rPr>
          <w:rFonts w:ascii="Times New Roman" w:hAnsi="Times New Roman" w:cs="Times New Roman"/>
          <w:color w:val="000000" w:themeColor="text1"/>
          <w:sz w:val="24"/>
          <w:szCs w:val="24"/>
          <w:lang w:val="en-US"/>
        </w:rPr>
        <w:fldChar w:fldCharType="begin" w:fldLock="1"/>
      </w:r>
      <w:r w:rsidR="00AA1ADA" w:rsidRPr="00D0668C">
        <w:rPr>
          <w:rFonts w:ascii="Times New Roman" w:hAnsi="Times New Roman" w:cs="Times New Roman"/>
          <w:color w:val="000000" w:themeColor="text1"/>
          <w:sz w:val="24"/>
          <w:szCs w:val="24"/>
          <w:lang w:val="en-US"/>
        </w:rPr>
        <w:instrText>ADDIN CSL_CITATION {"citationItems":[{"id":"ITEM-1","itemData":{"DOI":"10.1038/s41598-018-22939-w","ISBN":"9789675366048","ISSN":"2045-2322","abstract":"Ocean plastic can persist in sea surface waters, eventually accumulating in remote areas of the world’s oceans. Here we characterise and quantify a major ocean plastic accumulation zone formed in subtropical waters between California and Hawaii: The Great Pacific Garbage Patch (GPGP). Our model, calibrated with data from multi-vessel and aircraft surveys, predicted at least 79 (45–129) thousand tonnes of ocean plastic are floating inside an area of 1.6 million km2; a figure four to sixteen times higher than previously reported. We explain this difference through the use of more robust methods to quantify larger debris. Over three-quarters of the GPGP mass was carried by debris larger than 5 cm and at least 46% was comprised of fishing nets. Microplastics accounted for 8% of the total mass but 94% of the estimated 1.8 (1.1–3.6) trillion pieces floating in the area. Plastic collected during our study has specific characteristics such as small surface-to-volume ratio, indicating that only certain types of debris have the capacity to persist and accumulate at the surface of the GPGP. Finally, our results suggest that ocean plastic pollution within the GPGP is increasing exponentially and at a faster rate than in surrounding waters.","author":[{"dropping-particle":"","family":"Lebreton","given":"L.","non-dropping-particle":"","parse-names":false,"suffix":""},{"dropping-particle":"","family":"Slat","given":"B.","non-dropping-particle":"","parse-names":false,"suffix":""},{"dropping-particle":"","family":"Ferrari","given":"F.","non-dropping-particle":"","parse-names":false,"suffix":""},{"dropping-particle":"","family":"Sainte-Rose","given":"B.","non-dropping-particle":"","parse-names":false,"suffix":""},{"dropping-particle":"","family":"Aitken","given":"J.","non-dropping-particle":"","parse-names":false,"suffix":""},{"dropping-particle":"","family":"Marthouse","given":"R.","non-dropping-particle":"","parse-names":false,"suffix":""},{"dropping-particle":"","family":"Hajbane","given":"S.","non-dropping-particle":"","parse-names":false,"suffix":""},{"dropping-particle":"","family":"Cunsolo","given":"S.","non-dropping-particle":"","parse-names":false,"suffix":""},{"dropping-particle":"","family":"Schwarz","given":"A.","non-dropping-particle":"","parse-names":false,"suffix":""},{"dropping-particle":"","family":"Levivier","given":"A.","non-dropping-particle":"","parse-names":false,"suffix":""},{"dropping-particle":"","family":"Noble","given":"K.","non-dropping-particle":"","parse-names":false,"suffix":""},{"dropping-particle":"","family":"Debeljak","given":"P.","non-dropping-particle":"","parse-names":false,"suffix":""},{"dropping-particle":"","family":"Maral","given":"H.","non-dropping-particle":"","parse-names":false,"suffix":""},{"dropping-particle":"","family":"Schoeneich-Argent","given":"R.","non-dropping-particle":"","parse-names":false,"suffix":""},{"dropping-particle":"","family":"Brambini","given":"R.","non-dropping-particle":"","parse-names":false,"suffix":""},{"dropping-particle":"","family":"Reisser","given":"J.","non-dropping-particle":"","parse-names":false,"suffix":""}],"container-title":"Scientific Reports","id":"ITEM-1","issue":"1","issued":{"date-parts":[["2018"]]},"page":"1-18","publisher":"Springer US","title":"Evidence that the Great Pacific Garbage Patch is rapidly accumulating plastic","type":"article-journal","volume":"8"},"uris":["http://www.mendeley.com/documents/?uuid=e79a4935-dbb3-4c28-8b85-7f5c141a141f"]}],"mendeley":{"formattedCitation":"(Lebreton et al., 2018)","plainTextFormattedCitation":"(Lebreton et al., 2018)","previouslyFormattedCitation":"(Lebreton et al., 2018)"},"properties":{"noteIndex":0},"schema":"https://github.com/citation-style-language/schema/raw/master/csl-citation.json"}</w:instrText>
      </w:r>
      <w:r w:rsidR="00AA1ADA" w:rsidRPr="00D0668C">
        <w:rPr>
          <w:rFonts w:ascii="Times New Roman" w:hAnsi="Times New Roman" w:cs="Times New Roman"/>
          <w:color w:val="000000" w:themeColor="text1"/>
          <w:sz w:val="24"/>
          <w:szCs w:val="24"/>
          <w:lang w:val="en-US"/>
        </w:rPr>
        <w:fldChar w:fldCharType="separate"/>
      </w:r>
      <w:r w:rsidR="00AA1ADA" w:rsidRPr="00D0668C">
        <w:rPr>
          <w:rFonts w:ascii="Times New Roman" w:hAnsi="Times New Roman" w:cs="Times New Roman"/>
          <w:noProof/>
          <w:color w:val="000000" w:themeColor="text1"/>
          <w:sz w:val="24"/>
          <w:szCs w:val="24"/>
          <w:lang w:val="en-US"/>
        </w:rPr>
        <w:t>(Lebreton et al., 2018)</w:t>
      </w:r>
      <w:r w:rsidR="00AA1ADA" w:rsidRPr="00D0668C">
        <w:rPr>
          <w:rFonts w:ascii="Times New Roman" w:hAnsi="Times New Roman" w:cs="Times New Roman"/>
          <w:color w:val="000000" w:themeColor="text1"/>
          <w:sz w:val="24"/>
          <w:szCs w:val="24"/>
          <w:lang w:val="en-US"/>
        </w:rPr>
        <w:fldChar w:fldCharType="end"/>
      </w:r>
      <w:r w:rsidR="007D6613" w:rsidRPr="00D0668C">
        <w:rPr>
          <w:rFonts w:ascii="Times New Roman" w:hAnsi="Times New Roman" w:cs="Times New Roman"/>
          <w:color w:val="000000" w:themeColor="text1"/>
          <w:sz w:val="24"/>
          <w:szCs w:val="24"/>
          <w:lang w:val="en-US"/>
        </w:rPr>
        <w:t xml:space="preserve">. The second dataset was collected using System 001/B between 27 June and 7 November 2019 at 33.0–35.1°N and 143.0–145.6°W, yielding 618 kg </w:t>
      </w:r>
      <w:r w:rsidR="00AA1ADA" w:rsidRPr="00D0668C">
        <w:rPr>
          <w:rFonts w:ascii="Times New Roman" w:hAnsi="Times New Roman" w:cs="Times New Roman"/>
          <w:color w:val="000000" w:themeColor="text1"/>
          <w:sz w:val="24"/>
          <w:szCs w:val="24"/>
          <w:lang w:val="en-US"/>
        </w:rPr>
        <w:fldChar w:fldCharType="begin" w:fldLock="1"/>
      </w:r>
      <w:r w:rsidR="00445208" w:rsidRPr="00D0668C">
        <w:rPr>
          <w:rFonts w:ascii="Times New Roman" w:hAnsi="Times New Roman" w:cs="Times New Roman"/>
          <w:color w:val="000000" w:themeColor="text1"/>
          <w:sz w:val="24"/>
          <w:szCs w:val="24"/>
          <w:lang w:val="en-US"/>
        </w:rPr>
        <w:instrText>ADDIN CSL_CITATION {"citationItems":[{"id":"ITEM-1","itemData":{"DOI":"10.1038/s41598-022-16529-0","ISBN":"0123456789","ISSN":"20452322","PMID":"36050351","abstract":"The subtropical oceanic gyre in the North Pacific Ocean is currently covered with tens of thousands of tonnes of floating plastic debris, dispersed over millions of square kilometres. A large fraction is composed of fishing nets and ropes while the rest is mostly composed of hard plastic objects and fragments, sometimes carrying evidence on their origin. In 2019, an oceanographic mission conducted in the area, retrieved over 6000 hard plastic debris items &gt; 5 cm. The debris was later sorted, counted, weighed, and analysed for evidence of origin and age. Our results, complemented with numerical model simulations and findings from a previous oceanographic mission, revealed that a majority of the floating material stems from fishing activities. While recent assessments for plastic inputs into the ocean point to coastal developing economies and rivers as major contributors into oceanic plastic pollution, here we show that most floating plastics in the North Pacific subtropical gyre can be traced back to five industrialised fishing nations, highlighting the important role the fishing industry plays in the solution to this global issue.","author":[{"dropping-particle":"","family":"Lebreton","given":"Laurent","non-dropping-particle":"","parse-names":false,"suffix":""},{"dropping-particle":"","family":"Royer","given":"Sarah-Jeanne","non-dropping-particle":"","parse-names":false,"suffix":""},{"dropping-particle":"","family":"Peytavin","given":"Axel","non-dropping-particle":"","parse-names":false,"suffix":""},{"dropping-particle":"","family":"Strietman","given":"Wouter Jan","non-dropping-particle":"","parse-names":false,"suffix":""},{"dropping-particle":"","family":"Smeding-Zuurendonk","given":"Ingeborg","non-dropping-particle":"","parse-names":false,"suffix":""},{"dropping-particle":"","family":"Egger","given":"Matthias","non-dropping-particle":"","parse-names":false,"suffix":""}],"container-title":"Scientific Reports","id":"ITEM-1","issue":"1","issued":{"date-parts":[["2022"]]},"page":"1-11","publisher":"Nature Publishing Group UK","title":"Industrialised fishing nations largely contribute to floating plastic pollution in the North Pacific subtropical gyre","type":"article-journal","volume":"12"},"uris":["http://www.mendeley.com/documents/?uuid=68dc6c7d-017f-4992-9015-68429cca4345"]}],"mendeley":{"formattedCitation":"(Lebreton et al., 2022)","plainTextFormattedCitation":"(Lebreton et al., 2022)","previouslyFormattedCitation":"(Lebreton et al., 2022)"},"properties":{"noteIndex":0},"schema":"https://github.com/citation-style-language/schema/raw/master/csl-citation.json"}</w:instrText>
      </w:r>
      <w:r w:rsidR="00AA1ADA" w:rsidRPr="00D0668C">
        <w:rPr>
          <w:rFonts w:ascii="Times New Roman" w:hAnsi="Times New Roman" w:cs="Times New Roman"/>
          <w:color w:val="000000" w:themeColor="text1"/>
          <w:sz w:val="24"/>
          <w:szCs w:val="24"/>
          <w:lang w:val="en-US"/>
        </w:rPr>
        <w:fldChar w:fldCharType="separate"/>
      </w:r>
      <w:r w:rsidR="00AA1ADA" w:rsidRPr="00D0668C">
        <w:rPr>
          <w:rFonts w:ascii="Times New Roman" w:hAnsi="Times New Roman" w:cs="Times New Roman"/>
          <w:noProof/>
          <w:color w:val="000000" w:themeColor="text1"/>
          <w:sz w:val="24"/>
          <w:szCs w:val="24"/>
          <w:lang w:val="en-US"/>
        </w:rPr>
        <w:t>(Lebreton et al., 2022)</w:t>
      </w:r>
      <w:r w:rsidR="00AA1ADA" w:rsidRPr="00D0668C">
        <w:rPr>
          <w:rFonts w:ascii="Times New Roman" w:hAnsi="Times New Roman" w:cs="Times New Roman"/>
          <w:color w:val="000000" w:themeColor="text1"/>
          <w:sz w:val="24"/>
          <w:szCs w:val="24"/>
          <w:lang w:val="en-US"/>
        </w:rPr>
        <w:fldChar w:fldCharType="end"/>
      </w:r>
      <w:r w:rsidR="007D6613" w:rsidRPr="00D0668C">
        <w:rPr>
          <w:rFonts w:ascii="Times New Roman" w:hAnsi="Times New Roman" w:cs="Times New Roman"/>
          <w:color w:val="000000" w:themeColor="text1"/>
          <w:sz w:val="24"/>
          <w:szCs w:val="24"/>
          <w:lang w:val="en-US"/>
        </w:rPr>
        <w:t xml:space="preserve">. The third dataset was collected using System 002 between 20 October and 1 December 2021, yielding 796 kg. Four complete offshore cleanup system extractions were also </w:t>
      </w:r>
      <w:proofErr w:type="spellStart"/>
      <w:r w:rsidR="007D6613" w:rsidRPr="00D0668C">
        <w:rPr>
          <w:rFonts w:ascii="Times New Roman" w:hAnsi="Times New Roman" w:cs="Times New Roman"/>
          <w:color w:val="000000" w:themeColor="text1"/>
          <w:sz w:val="24"/>
          <w:szCs w:val="24"/>
          <w:lang w:val="en-US"/>
        </w:rPr>
        <w:t>analysed</w:t>
      </w:r>
      <w:proofErr w:type="spellEnd"/>
      <w:r w:rsidR="007D6613" w:rsidRPr="00D0668C">
        <w:rPr>
          <w:rFonts w:ascii="Times New Roman" w:hAnsi="Times New Roman" w:cs="Times New Roman"/>
          <w:color w:val="000000" w:themeColor="text1"/>
          <w:sz w:val="24"/>
          <w:szCs w:val="24"/>
          <w:lang w:val="en-US"/>
        </w:rPr>
        <w:t>: the first on 9 June 2023 using System 002 (4,605 kg); the second on 4 September 2023 using System 03 (6,453 kg); the third on 14 March 2024 using System 03 (5,600 kg); and the fourth on 4 July 2024 using System 03 (6,130 kg). Extractions were conducted between 29.5–33.3°N and 135.2–141.7°W. All collected material consisted of items larger than approximately 1.6 cm in maximum dimension, though some smaller particles may have been trapped inside containers.</w:t>
      </w:r>
    </w:p>
    <w:p w14:paraId="62F0E744" w14:textId="670026D4" w:rsidR="007D6613" w:rsidRPr="00D0668C" w:rsidRDefault="005C1FA4"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GB"/>
        </w:rPr>
        <w:t>Papahānaumokuākea National Marine Sanctuary (PNMS)</w:t>
      </w:r>
      <w:r w:rsidR="007D6613" w:rsidRPr="00D0668C">
        <w:rPr>
          <w:rFonts w:ascii="Times New Roman" w:hAnsi="Times New Roman" w:cs="Times New Roman"/>
          <w:color w:val="000000" w:themeColor="text1"/>
          <w:sz w:val="24"/>
          <w:szCs w:val="24"/>
          <w:lang w:val="en-US"/>
        </w:rPr>
        <w:t xml:space="preserve">. Stranded plastic debris was collected by the PMDP at three island locations. At </w:t>
      </w:r>
      <w:proofErr w:type="spellStart"/>
      <w:r w:rsidR="00FF08D7" w:rsidRPr="00D0668C">
        <w:rPr>
          <w:rFonts w:ascii="Times New Roman" w:hAnsi="Times New Roman" w:cs="Times New Roman"/>
          <w:color w:val="000000" w:themeColor="text1"/>
          <w:sz w:val="24"/>
          <w:szCs w:val="24"/>
          <w:lang w:val="en-US"/>
        </w:rPr>
        <w:t>Kuaihelani</w:t>
      </w:r>
      <w:proofErr w:type="spellEnd"/>
      <w:r w:rsidR="007D6613" w:rsidRPr="00D0668C">
        <w:rPr>
          <w:rFonts w:ascii="Times New Roman" w:hAnsi="Times New Roman" w:cs="Times New Roman"/>
          <w:color w:val="000000" w:themeColor="text1"/>
          <w:sz w:val="24"/>
          <w:szCs w:val="24"/>
          <w:lang w:val="en-US"/>
        </w:rPr>
        <w:t xml:space="preserve">, collections were conducted in April 2024 (3,101 kg) and April 2025 (2,188 kg). Due to the presence of the invasive alga </w:t>
      </w:r>
      <w:proofErr w:type="spellStart"/>
      <w:r w:rsidR="007D6613" w:rsidRPr="00D0668C">
        <w:rPr>
          <w:rFonts w:ascii="Times New Roman" w:hAnsi="Times New Roman" w:cs="Times New Roman"/>
          <w:color w:val="000000" w:themeColor="text1"/>
          <w:sz w:val="24"/>
          <w:szCs w:val="24"/>
          <w:lang w:val="en-US"/>
        </w:rPr>
        <w:t>Chondria</w:t>
      </w:r>
      <w:proofErr w:type="spellEnd"/>
      <w:r w:rsidR="007D6613" w:rsidRPr="00D0668C">
        <w:rPr>
          <w:rFonts w:ascii="Times New Roman" w:hAnsi="Times New Roman" w:cs="Times New Roman"/>
          <w:color w:val="000000" w:themeColor="text1"/>
          <w:sz w:val="24"/>
          <w:szCs w:val="24"/>
          <w:lang w:val="en-US"/>
        </w:rPr>
        <w:t xml:space="preserve"> on </w:t>
      </w:r>
      <w:proofErr w:type="spellStart"/>
      <w:r w:rsidR="00FF08D7" w:rsidRPr="00D0668C">
        <w:rPr>
          <w:rFonts w:ascii="Times New Roman" w:hAnsi="Times New Roman" w:cs="Times New Roman"/>
          <w:color w:val="000000" w:themeColor="text1"/>
          <w:sz w:val="24"/>
          <w:szCs w:val="24"/>
          <w:lang w:val="en-US"/>
        </w:rPr>
        <w:t>Kuaihelani</w:t>
      </w:r>
      <w:proofErr w:type="spellEnd"/>
      <w:r w:rsidR="007D6613" w:rsidRPr="00D0668C">
        <w:rPr>
          <w:rFonts w:ascii="Times New Roman" w:hAnsi="Times New Roman" w:cs="Times New Roman"/>
          <w:color w:val="000000" w:themeColor="text1"/>
          <w:sz w:val="24"/>
          <w:szCs w:val="24"/>
          <w:lang w:val="en-US"/>
        </w:rPr>
        <w:t xml:space="preserve">, all sorting and inspection were carried out on-site to prevent spread, and material could not be transported off </w:t>
      </w:r>
      <w:r w:rsidR="00655FB0" w:rsidRPr="00D0668C">
        <w:rPr>
          <w:rFonts w:ascii="Times New Roman" w:hAnsi="Times New Roman" w:cs="Times New Roman"/>
          <w:color w:val="000000" w:themeColor="text1"/>
          <w:sz w:val="24"/>
          <w:szCs w:val="24"/>
          <w:lang w:val="en-US"/>
        </w:rPr>
        <w:t xml:space="preserve">the </w:t>
      </w:r>
      <w:r w:rsidR="007D6613" w:rsidRPr="00D0668C">
        <w:rPr>
          <w:rFonts w:ascii="Times New Roman" w:hAnsi="Times New Roman" w:cs="Times New Roman"/>
          <w:color w:val="000000" w:themeColor="text1"/>
          <w:sz w:val="24"/>
          <w:szCs w:val="24"/>
          <w:lang w:val="en-US"/>
        </w:rPr>
        <w:t xml:space="preserve">island. At </w:t>
      </w:r>
      <w:proofErr w:type="spellStart"/>
      <w:r w:rsidR="004248C3" w:rsidRPr="0028501A">
        <w:rPr>
          <w:rFonts w:ascii="Times New Roman" w:hAnsi="Times New Roman" w:cs="Times New Roman"/>
          <w:sz w:val="24"/>
          <w:szCs w:val="24"/>
          <w:lang w:val="en-US"/>
        </w:rPr>
        <w:t>Kamole</w:t>
      </w:r>
      <w:proofErr w:type="spellEnd"/>
      <w:r w:rsidR="004248C3" w:rsidRPr="00D0668C" w:rsidDel="004248C3">
        <w:rPr>
          <w:rFonts w:ascii="Times New Roman" w:hAnsi="Times New Roman" w:cs="Times New Roman"/>
          <w:color w:val="000000" w:themeColor="text1"/>
          <w:sz w:val="24"/>
          <w:szCs w:val="24"/>
          <w:lang w:val="en-US"/>
        </w:rPr>
        <w:t xml:space="preserve"> </w:t>
      </w:r>
      <w:r w:rsidR="007D6613" w:rsidRPr="00D0668C">
        <w:rPr>
          <w:rFonts w:ascii="Times New Roman" w:hAnsi="Times New Roman" w:cs="Times New Roman"/>
          <w:color w:val="000000" w:themeColor="text1"/>
          <w:sz w:val="24"/>
          <w:szCs w:val="24"/>
          <w:lang w:val="en-US"/>
        </w:rPr>
        <w:t xml:space="preserve">Island, collections were conducted in June–July 2024 (8,182 kg) and August 2025 (4,925 kg). At </w:t>
      </w:r>
      <w:proofErr w:type="spellStart"/>
      <w:r w:rsidR="00BD26DD" w:rsidRPr="00D0668C">
        <w:rPr>
          <w:rFonts w:ascii="Times New Roman" w:hAnsi="Times New Roman" w:cs="Times New Roman"/>
          <w:color w:val="000000" w:themeColor="text1"/>
          <w:sz w:val="24"/>
          <w:szCs w:val="24"/>
          <w:lang w:val="en-US"/>
        </w:rPr>
        <w:t>Kapou</w:t>
      </w:r>
      <w:proofErr w:type="spellEnd"/>
      <w:r w:rsidR="00BD26DD" w:rsidRPr="00D0668C" w:rsidDel="00BD26DD">
        <w:rPr>
          <w:rFonts w:ascii="Times New Roman" w:hAnsi="Times New Roman" w:cs="Times New Roman"/>
          <w:color w:val="000000" w:themeColor="text1"/>
          <w:sz w:val="24"/>
          <w:szCs w:val="24"/>
          <w:lang w:val="en-US"/>
        </w:rPr>
        <w:t xml:space="preserve"> </w:t>
      </w:r>
      <w:r w:rsidR="007D6613" w:rsidRPr="00D0668C">
        <w:rPr>
          <w:rFonts w:ascii="Times New Roman" w:hAnsi="Times New Roman" w:cs="Times New Roman"/>
          <w:color w:val="000000" w:themeColor="text1"/>
          <w:sz w:val="24"/>
          <w:szCs w:val="24"/>
          <w:lang w:val="en-US"/>
        </w:rPr>
        <w:t>(</w:t>
      </w:r>
      <w:proofErr w:type="spellStart"/>
      <w:r w:rsidR="007D6613" w:rsidRPr="00D0668C">
        <w:rPr>
          <w:rFonts w:ascii="Times New Roman" w:hAnsi="Times New Roman" w:cs="Times New Roman"/>
          <w:color w:val="000000" w:themeColor="text1"/>
          <w:sz w:val="24"/>
          <w:szCs w:val="24"/>
          <w:lang w:val="en-US"/>
        </w:rPr>
        <w:t>Papaʻāpoho</w:t>
      </w:r>
      <w:proofErr w:type="spellEnd"/>
      <w:r w:rsidR="007D6613" w:rsidRPr="00D0668C">
        <w:rPr>
          <w:rFonts w:ascii="Times New Roman" w:hAnsi="Times New Roman" w:cs="Times New Roman"/>
          <w:color w:val="000000" w:themeColor="text1"/>
          <w:sz w:val="24"/>
          <w:szCs w:val="24"/>
          <w:lang w:val="en-US"/>
        </w:rPr>
        <w:t xml:space="preserve">), one collection was conducted in August 2025 (3,794 kg). Debris from </w:t>
      </w:r>
      <w:proofErr w:type="spellStart"/>
      <w:r w:rsidR="004248C3" w:rsidRPr="0028501A">
        <w:rPr>
          <w:rFonts w:ascii="Times New Roman" w:hAnsi="Times New Roman" w:cs="Times New Roman"/>
          <w:sz w:val="24"/>
          <w:szCs w:val="24"/>
          <w:lang w:val="en-US"/>
        </w:rPr>
        <w:t>Kamole</w:t>
      </w:r>
      <w:proofErr w:type="spellEnd"/>
      <w:r w:rsidR="004248C3" w:rsidRPr="00D0668C" w:rsidDel="004248C3">
        <w:rPr>
          <w:rFonts w:ascii="Times New Roman" w:hAnsi="Times New Roman" w:cs="Times New Roman"/>
          <w:color w:val="000000" w:themeColor="text1"/>
          <w:sz w:val="24"/>
          <w:szCs w:val="24"/>
          <w:lang w:val="en-US"/>
        </w:rPr>
        <w:t xml:space="preserve"> </w:t>
      </w:r>
      <w:r w:rsidR="007D6613" w:rsidRPr="00D0668C">
        <w:rPr>
          <w:rFonts w:ascii="Times New Roman" w:hAnsi="Times New Roman" w:cs="Times New Roman"/>
          <w:color w:val="000000" w:themeColor="text1"/>
          <w:sz w:val="24"/>
          <w:szCs w:val="24"/>
          <w:lang w:val="en-US"/>
        </w:rPr>
        <w:t xml:space="preserve">and </w:t>
      </w:r>
      <w:proofErr w:type="spellStart"/>
      <w:r w:rsidR="00BD26DD" w:rsidRPr="0028501A">
        <w:rPr>
          <w:rFonts w:ascii="Times New Roman" w:hAnsi="Times New Roman" w:cs="Times New Roman"/>
          <w:sz w:val="24"/>
          <w:szCs w:val="24"/>
          <w:lang w:val="en-US"/>
        </w:rPr>
        <w:t>Kapou</w:t>
      </w:r>
      <w:proofErr w:type="spellEnd"/>
      <w:r w:rsidR="00BD26DD" w:rsidRPr="00D0668C" w:rsidDel="00BD26DD">
        <w:rPr>
          <w:rFonts w:ascii="Times New Roman" w:hAnsi="Times New Roman" w:cs="Times New Roman"/>
          <w:color w:val="000000" w:themeColor="text1"/>
          <w:sz w:val="24"/>
          <w:szCs w:val="24"/>
          <w:lang w:val="en-US"/>
        </w:rPr>
        <w:t xml:space="preserve"> </w:t>
      </w:r>
      <w:r w:rsidR="007D6613" w:rsidRPr="00D0668C">
        <w:rPr>
          <w:rFonts w:ascii="Times New Roman" w:hAnsi="Times New Roman" w:cs="Times New Roman"/>
          <w:color w:val="000000" w:themeColor="text1"/>
          <w:sz w:val="24"/>
          <w:szCs w:val="24"/>
          <w:lang w:val="en-US"/>
        </w:rPr>
        <w:t>was processed at PMDP facilities on Oʻahu. To obtain representative samples from the high volume of debris at each island, items were sorted from randomly selected locations around the island perimeter. All items greater than 1.6 cm in maximum dimension were included.</w:t>
      </w:r>
    </w:p>
    <w:p w14:paraId="4EE51649" w14:textId="106B7384" w:rsidR="007D6613" w:rsidRPr="00D0668C" w:rsidRDefault="009C3097"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Main Hawaiian Islands (</w:t>
      </w:r>
      <w:r w:rsidR="007D6613" w:rsidRPr="00D0668C">
        <w:rPr>
          <w:rFonts w:ascii="Times New Roman" w:hAnsi="Times New Roman" w:cs="Times New Roman"/>
          <w:i/>
          <w:iCs/>
          <w:color w:val="000000" w:themeColor="text1"/>
          <w:sz w:val="24"/>
          <w:szCs w:val="24"/>
          <w:lang w:val="en-US"/>
        </w:rPr>
        <w:t>MHI</w:t>
      </w:r>
      <w:r w:rsidRPr="00D0668C">
        <w:rPr>
          <w:rFonts w:ascii="Times New Roman" w:hAnsi="Times New Roman" w:cs="Times New Roman"/>
          <w:i/>
          <w:iCs/>
          <w:color w:val="000000" w:themeColor="text1"/>
          <w:sz w:val="24"/>
          <w:szCs w:val="24"/>
          <w:lang w:val="en-US"/>
        </w:rPr>
        <w:t>)</w:t>
      </w:r>
      <w:r w:rsidR="007D6613" w:rsidRPr="00D0668C">
        <w:rPr>
          <w:rFonts w:ascii="Times New Roman" w:hAnsi="Times New Roman" w:cs="Times New Roman"/>
          <w:color w:val="000000" w:themeColor="text1"/>
          <w:sz w:val="24"/>
          <w:szCs w:val="24"/>
          <w:lang w:val="en-US"/>
        </w:rPr>
        <w:t xml:space="preserve">. Debris was collected by SCH across two islands. On Oʻahu, 45 small-scale monthly cleanups (each less than 500 kg) were conducted every second Thursday from January 2024 to December 2025 at James Campbell National Wildlife Refuge, Kahuku Beach, with an average covered surface area of approximately 1,500 m² per event. One large-scale cleanup was conducted at Kahuku Beach in June 2025. Two large-scale cleanups were conducted at Kalaupapa, </w:t>
      </w:r>
      <w:proofErr w:type="spellStart"/>
      <w:r w:rsidR="007D6613" w:rsidRPr="00D0668C">
        <w:rPr>
          <w:rFonts w:ascii="Times New Roman" w:hAnsi="Times New Roman" w:cs="Times New Roman"/>
          <w:color w:val="000000" w:themeColor="text1"/>
          <w:sz w:val="24"/>
          <w:szCs w:val="24"/>
          <w:lang w:val="en-US"/>
        </w:rPr>
        <w:t>Molokaʻi</w:t>
      </w:r>
      <w:proofErr w:type="spellEnd"/>
      <w:r w:rsidR="007D6613" w:rsidRPr="00D0668C">
        <w:rPr>
          <w:rFonts w:ascii="Times New Roman" w:hAnsi="Times New Roman" w:cs="Times New Roman"/>
          <w:color w:val="000000" w:themeColor="text1"/>
          <w:sz w:val="24"/>
          <w:szCs w:val="24"/>
          <w:lang w:val="en-US"/>
        </w:rPr>
        <w:t xml:space="preserve">, in September 2024 and July 2025, each spanning approximately one week and covering X to Y m² of coastline. Total debris collected was 4,524 kg on </w:t>
      </w:r>
      <w:proofErr w:type="spellStart"/>
      <w:r w:rsidR="007D6613" w:rsidRPr="00D0668C">
        <w:rPr>
          <w:rFonts w:ascii="Times New Roman" w:hAnsi="Times New Roman" w:cs="Times New Roman"/>
          <w:color w:val="000000" w:themeColor="text1"/>
          <w:sz w:val="24"/>
          <w:szCs w:val="24"/>
          <w:lang w:val="en-US"/>
        </w:rPr>
        <w:t>Oʻahu</w:t>
      </w:r>
      <w:proofErr w:type="spellEnd"/>
      <w:r w:rsidR="007D6613" w:rsidRPr="00D0668C">
        <w:rPr>
          <w:rFonts w:ascii="Times New Roman" w:hAnsi="Times New Roman" w:cs="Times New Roman"/>
          <w:color w:val="000000" w:themeColor="text1"/>
          <w:sz w:val="24"/>
          <w:szCs w:val="24"/>
          <w:lang w:val="en-US"/>
        </w:rPr>
        <w:t xml:space="preserve"> and 4,221 kg on </w:t>
      </w:r>
      <w:proofErr w:type="spellStart"/>
      <w:r w:rsidR="007D6613" w:rsidRPr="00D0668C">
        <w:rPr>
          <w:rFonts w:ascii="Times New Roman" w:hAnsi="Times New Roman" w:cs="Times New Roman"/>
          <w:color w:val="000000" w:themeColor="text1"/>
          <w:sz w:val="24"/>
          <w:szCs w:val="24"/>
          <w:lang w:val="en-US"/>
        </w:rPr>
        <w:t>Molokaʻi</w:t>
      </w:r>
      <w:proofErr w:type="spellEnd"/>
      <w:r w:rsidR="007D6613" w:rsidRPr="00D0668C">
        <w:rPr>
          <w:rFonts w:ascii="Times New Roman" w:hAnsi="Times New Roman" w:cs="Times New Roman"/>
          <w:color w:val="000000" w:themeColor="text1"/>
          <w:sz w:val="24"/>
          <w:szCs w:val="24"/>
          <w:lang w:val="en-US"/>
        </w:rPr>
        <w:t>. All items greater than approximately 1.6 cm in maximum dimension were included.</w:t>
      </w:r>
    </w:p>
    <w:p w14:paraId="4E335F4B" w14:textId="77777777" w:rsidR="001A0E5A" w:rsidRPr="00D0668C" w:rsidRDefault="001A0E5A" w:rsidP="001A0E5A">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Minor methodological differences across sites may introduce small biases in item counts for the smallest size fractions, which should be interpreted with caution. In the NPGP, the passive collection systems retain material above approximately 1.5 cm, meaning that some smaller items recoverable by manual shoreline collection may not always be captured. In the PNMS, where cleanup operations emphasize recovery by weight, there may be a slight bias toward larger objects even within the greater than 5 cm fraction. These differences are unlikely to affect the principal findings, which are based on items greater than 5 cm with identifiable provenance markers, but are noted here in the interest of transparency.</w:t>
      </w:r>
    </w:p>
    <w:p w14:paraId="7F60E323" w14:textId="77777777" w:rsidR="001A0E5A" w:rsidRPr="00D0668C" w:rsidRDefault="001A0E5A" w:rsidP="007D6613">
      <w:pPr>
        <w:jc w:val="both"/>
        <w:rPr>
          <w:rFonts w:ascii="Times New Roman" w:hAnsi="Times New Roman" w:cs="Times New Roman"/>
          <w:color w:val="000000" w:themeColor="text1"/>
          <w:sz w:val="24"/>
          <w:szCs w:val="24"/>
          <w:lang w:val="en-US"/>
        </w:rPr>
      </w:pPr>
    </w:p>
    <w:p w14:paraId="4594CEA7" w14:textId="15F16F84" w:rsidR="007D6613" w:rsidRPr="00D0668C" w:rsidRDefault="007D6613" w:rsidP="007D6613">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lastRenderedPageBreak/>
        <w:t>SM2. Debris classification and provenance analysis</w:t>
      </w:r>
      <w:r w:rsidR="0066189C" w:rsidRPr="00D0668C">
        <w:rPr>
          <w:rFonts w:ascii="Times New Roman" w:hAnsi="Times New Roman" w:cs="Times New Roman"/>
          <w:i/>
          <w:iCs/>
          <w:color w:val="000000" w:themeColor="text1"/>
          <w:sz w:val="24"/>
          <w:szCs w:val="24"/>
          <w:lang w:val="en-US"/>
        </w:rPr>
        <w:t>;</w:t>
      </w:r>
      <w:r w:rsidR="00887976" w:rsidRPr="00D0668C">
        <w:rPr>
          <w:rFonts w:ascii="Times New Roman" w:hAnsi="Times New Roman" w:cs="Times New Roman"/>
          <w:i/>
          <w:iCs/>
          <w:color w:val="000000" w:themeColor="text1"/>
          <w:sz w:val="24"/>
          <w:szCs w:val="24"/>
          <w:lang w:val="en-US"/>
        </w:rPr>
        <w:t xml:space="preserve"> </w:t>
      </w:r>
      <w:r w:rsidRPr="00D0668C">
        <w:rPr>
          <w:rFonts w:ascii="Times New Roman" w:hAnsi="Times New Roman" w:cs="Times New Roman"/>
          <w:i/>
          <w:iCs/>
          <w:color w:val="000000" w:themeColor="text1"/>
          <w:sz w:val="24"/>
          <w:szCs w:val="24"/>
          <w:lang w:val="en-US"/>
        </w:rPr>
        <w:t>full details</w:t>
      </w:r>
    </w:p>
    <w:p w14:paraId="78C8B83A" w14:textId="19030669" w:rsidR="007D6613"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Sorting procedure.</w:t>
      </w:r>
      <w:r w:rsidRPr="00D0668C">
        <w:rPr>
          <w:rFonts w:ascii="Times New Roman" w:hAnsi="Times New Roman" w:cs="Times New Roman"/>
          <w:color w:val="000000" w:themeColor="text1"/>
          <w:sz w:val="24"/>
          <w:szCs w:val="24"/>
          <w:lang w:val="en-US"/>
        </w:rPr>
        <w:t xml:space="preserve"> Directly upon retrieval, debris was transported to sorting facilities and divided into two fractions: nets and ropes (fibers) and hard plastics (rigids; Supplementary Fig. S</w:t>
      </w:r>
      <w:r w:rsidR="00205374" w:rsidRPr="00D0668C">
        <w:rPr>
          <w:rFonts w:ascii="Times New Roman" w:hAnsi="Times New Roman" w:cs="Times New Roman"/>
          <w:color w:val="000000" w:themeColor="text1"/>
          <w:sz w:val="24"/>
          <w:szCs w:val="24"/>
          <w:lang w:val="en-US"/>
        </w:rPr>
        <w:t>8</w:t>
      </w:r>
      <w:r w:rsidRPr="00D0668C">
        <w:rPr>
          <w:rFonts w:ascii="Times New Roman" w:hAnsi="Times New Roman" w:cs="Times New Roman"/>
          <w:color w:val="000000" w:themeColor="text1"/>
          <w:sz w:val="24"/>
          <w:szCs w:val="24"/>
          <w:lang w:val="en-US"/>
        </w:rPr>
        <w:t>). Fibers were dried at ambient temperature, weighed, and</w:t>
      </w:r>
      <w:r w:rsidR="00887976"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for small-scale cleanups, counted. Fiber fractions were subsequently stored in large bags and repurposed or disposed of. Hard plastic items and fragments greater than 5 cm were displayed on a clean surface and individually sorted into 112 predefined categories across nine material types following the OSPAR Beach Litter Monitoring Guidelines (OSPAR, 2010). Additional subcategories were added to account for items frequently observed in the study area, including eel traps, baits, and oyster spacers. Both intact items and identifiable fragments were allocated to the corresponding category; item counts</w:t>
      </w:r>
      <w:r w:rsidR="00583047"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therefore</w:t>
      </w:r>
      <w:r w:rsidR="00583047"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reflect the combined total of intact objects and identifiable fragments rather than complete objects only. For each category, item counts and total weights were recorded. A full list of categories is provided in Supplementary Table S2. A workflow diagram of processing and analysis steps is shown in Supplementary Fig. S</w:t>
      </w:r>
      <w:r w:rsidR="00205374" w:rsidRPr="00D0668C">
        <w:rPr>
          <w:rFonts w:ascii="Times New Roman" w:hAnsi="Times New Roman" w:cs="Times New Roman"/>
          <w:color w:val="000000" w:themeColor="text1"/>
          <w:sz w:val="24"/>
          <w:szCs w:val="24"/>
          <w:lang w:val="en-US"/>
        </w:rPr>
        <w:t>8</w:t>
      </w:r>
      <w:r w:rsidRPr="00D0668C">
        <w:rPr>
          <w:rFonts w:ascii="Times New Roman" w:hAnsi="Times New Roman" w:cs="Times New Roman"/>
          <w:color w:val="000000" w:themeColor="text1"/>
          <w:sz w:val="24"/>
          <w:szCs w:val="24"/>
          <w:lang w:val="en-US"/>
        </w:rPr>
        <w:t>, and photographs of the most common items are shown in Supplementary Fig. S</w:t>
      </w:r>
      <w:r w:rsidR="00205374" w:rsidRPr="00D0668C">
        <w:rPr>
          <w:rFonts w:ascii="Times New Roman" w:hAnsi="Times New Roman" w:cs="Times New Roman"/>
          <w:color w:val="000000" w:themeColor="text1"/>
          <w:sz w:val="24"/>
          <w:szCs w:val="24"/>
          <w:lang w:val="en-US"/>
        </w:rPr>
        <w:t>9</w:t>
      </w:r>
      <w:r w:rsidRPr="00D0668C">
        <w:rPr>
          <w:rFonts w:ascii="Times New Roman" w:hAnsi="Times New Roman" w:cs="Times New Roman"/>
          <w:color w:val="000000" w:themeColor="text1"/>
          <w:sz w:val="24"/>
          <w:szCs w:val="24"/>
          <w:lang w:val="en-US"/>
        </w:rPr>
        <w:t>.</w:t>
      </w:r>
    </w:p>
    <w:p w14:paraId="403AB2A9" w14:textId="2281D787" w:rsidR="00DC6195" w:rsidRPr="00D0668C" w:rsidRDefault="00DC6195"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t xml:space="preserve">Fragments smaller than 5 cm were weighed only, as their volume precluded individual counting or provenance analysis. These fragments were further </w:t>
      </w:r>
      <w:proofErr w:type="spellStart"/>
      <w:r w:rsidRPr="00D0668C">
        <w:rPr>
          <w:rFonts w:ascii="Times New Roman" w:hAnsi="Times New Roman" w:cs="Times New Roman"/>
          <w:color w:val="000000" w:themeColor="text1"/>
          <w:sz w:val="24"/>
          <w:szCs w:val="24"/>
          <w:lang w:val="en-US"/>
        </w:rPr>
        <w:t>categorised</w:t>
      </w:r>
      <w:proofErr w:type="spellEnd"/>
      <w:r w:rsidRPr="00D0668C">
        <w:rPr>
          <w:rFonts w:ascii="Times New Roman" w:hAnsi="Times New Roman" w:cs="Times New Roman"/>
          <w:color w:val="000000" w:themeColor="text1"/>
          <w:sz w:val="24"/>
          <w:szCs w:val="24"/>
          <w:lang w:val="en-US"/>
        </w:rPr>
        <w:t xml:space="preserve"> into size classes using a stainless-steel sieve tower following Lebreton et al. (2018): less than 0.5 mm, 0.5–1.5 mm, 1.5–5 mm, 0.5–1.5 cm, </w:t>
      </w:r>
      <w:r w:rsidR="00946599" w:rsidRPr="00D0668C">
        <w:rPr>
          <w:rFonts w:ascii="Times New Roman" w:hAnsi="Times New Roman" w:cs="Times New Roman"/>
          <w:color w:val="000000" w:themeColor="text1"/>
          <w:sz w:val="24"/>
          <w:szCs w:val="24"/>
          <w:lang w:val="en-US"/>
        </w:rPr>
        <w:t xml:space="preserve">and </w:t>
      </w:r>
      <w:r w:rsidRPr="00D0668C">
        <w:rPr>
          <w:rFonts w:ascii="Times New Roman" w:hAnsi="Times New Roman" w:cs="Times New Roman"/>
          <w:color w:val="000000" w:themeColor="text1"/>
          <w:sz w:val="24"/>
          <w:szCs w:val="24"/>
          <w:lang w:val="en-US"/>
        </w:rPr>
        <w:t xml:space="preserve">1.5–5 cm. Fragment weights were recorded but excluded from the analyses presented here to ensure methodological consistency and comparability across regions. In the </w:t>
      </w:r>
      <w:r w:rsidR="009C3097" w:rsidRPr="00D0668C">
        <w:rPr>
          <w:rFonts w:ascii="Times New Roman" w:hAnsi="Times New Roman" w:cs="Times New Roman"/>
          <w:color w:val="000000" w:themeColor="text1"/>
          <w:sz w:val="24"/>
          <w:szCs w:val="24"/>
          <w:lang w:val="en-US"/>
        </w:rPr>
        <w:t>PNMS</w:t>
      </w:r>
      <w:r w:rsidRPr="00D0668C">
        <w:rPr>
          <w:rFonts w:ascii="Times New Roman" w:hAnsi="Times New Roman" w:cs="Times New Roman"/>
          <w:color w:val="000000" w:themeColor="text1"/>
          <w:sz w:val="24"/>
          <w:szCs w:val="24"/>
          <w:lang w:val="en-US"/>
        </w:rPr>
        <w:t xml:space="preserve">, only debris greater than 5 cm was collected, consistent with this </w:t>
      </w:r>
      <w:proofErr w:type="spellStart"/>
      <w:r w:rsidRPr="00D0668C">
        <w:rPr>
          <w:rFonts w:ascii="Times New Roman" w:hAnsi="Times New Roman" w:cs="Times New Roman"/>
          <w:color w:val="000000" w:themeColor="text1"/>
          <w:sz w:val="24"/>
          <w:szCs w:val="24"/>
          <w:lang w:val="en-US"/>
        </w:rPr>
        <w:t>standardised</w:t>
      </w:r>
      <w:proofErr w:type="spellEnd"/>
      <w:r w:rsidRPr="00D0668C">
        <w:rPr>
          <w:rFonts w:ascii="Times New Roman" w:hAnsi="Times New Roman" w:cs="Times New Roman"/>
          <w:color w:val="000000" w:themeColor="text1"/>
          <w:sz w:val="24"/>
          <w:szCs w:val="24"/>
          <w:lang w:val="en-US"/>
        </w:rPr>
        <w:t xml:space="preserve"> approach. </w:t>
      </w:r>
    </w:p>
    <w:p w14:paraId="777B5680" w14:textId="219057F3" w:rsidR="007D6613" w:rsidRPr="00D0668C" w:rsidRDefault="00571969"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Source and origin</w:t>
      </w:r>
      <w:r w:rsidR="007D6613" w:rsidRPr="00D0668C">
        <w:rPr>
          <w:rFonts w:ascii="Times New Roman" w:hAnsi="Times New Roman" w:cs="Times New Roman"/>
          <w:i/>
          <w:iCs/>
          <w:color w:val="000000" w:themeColor="text1"/>
          <w:sz w:val="24"/>
          <w:szCs w:val="24"/>
          <w:lang w:val="en-US"/>
        </w:rPr>
        <w:t xml:space="preserve"> analysis.</w:t>
      </w:r>
      <w:r w:rsidR="007D6613" w:rsidRPr="00D0668C">
        <w:rPr>
          <w:rFonts w:ascii="Times New Roman" w:hAnsi="Times New Roman" w:cs="Times New Roman"/>
          <w:color w:val="000000" w:themeColor="text1"/>
          <w:sz w:val="24"/>
          <w:szCs w:val="24"/>
          <w:lang w:val="en-US"/>
        </w:rPr>
        <w:t xml:space="preserve"> After classification, each hard plastic item was individually inspected for </w:t>
      </w:r>
      <w:r w:rsidR="00F1274B" w:rsidRPr="00D0668C">
        <w:rPr>
          <w:rFonts w:ascii="Times New Roman" w:hAnsi="Times New Roman" w:cs="Times New Roman"/>
          <w:color w:val="000000" w:themeColor="text1"/>
          <w:sz w:val="24"/>
          <w:szCs w:val="24"/>
          <w:lang w:val="en-US"/>
        </w:rPr>
        <w:t>bearing identifiable origin markers</w:t>
      </w:r>
      <w:r w:rsidR="00F1274B" w:rsidRPr="00D0668C" w:rsidDel="00F1274B">
        <w:rPr>
          <w:rFonts w:ascii="Times New Roman" w:hAnsi="Times New Roman" w:cs="Times New Roman"/>
          <w:color w:val="000000" w:themeColor="text1"/>
          <w:sz w:val="24"/>
          <w:szCs w:val="24"/>
          <w:lang w:val="en-US"/>
        </w:rPr>
        <w:t xml:space="preserve"> </w:t>
      </w:r>
      <w:r w:rsidR="007E68C6" w:rsidRPr="00D0668C">
        <w:rPr>
          <w:rFonts w:ascii="Times New Roman" w:hAnsi="Times New Roman" w:cs="Times New Roman"/>
          <w:color w:val="000000" w:themeColor="text1"/>
          <w:sz w:val="24"/>
          <w:szCs w:val="24"/>
          <w:lang w:val="en-US"/>
        </w:rPr>
        <w:t xml:space="preserve">potentially associated with geographic origin, including </w:t>
      </w:r>
      <w:r w:rsidR="007D6613" w:rsidRPr="00D0668C">
        <w:rPr>
          <w:rFonts w:ascii="Times New Roman" w:hAnsi="Times New Roman" w:cs="Times New Roman"/>
          <w:color w:val="000000" w:themeColor="text1"/>
          <w:sz w:val="24"/>
          <w:szCs w:val="24"/>
          <w:lang w:val="en-US"/>
        </w:rPr>
        <w:t xml:space="preserve">written language, brand, polymer type, and production or expiration dates, then photographed, counted, and weighed. </w:t>
      </w:r>
      <w:r w:rsidR="000A2CB6" w:rsidRPr="00D0668C">
        <w:rPr>
          <w:rFonts w:ascii="Times New Roman" w:hAnsi="Times New Roman" w:cs="Times New Roman"/>
          <w:color w:val="000000" w:themeColor="text1"/>
          <w:sz w:val="24"/>
          <w:szCs w:val="24"/>
          <w:lang w:val="en-US"/>
        </w:rPr>
        <w:t xml:space="preserve">Potential geographic association </w:t>
      </w:r>
      <w:r w:rsidR="007D6613" w:rsidRPr="00D0668C">
        <w:rPr>
          <w:rFonts w:ascii="Times New Roman" w:hAnsi="Times New Roman" w:cs="Times New Roman"/>
          <w:color w:val="000000" w:themeColor="text1"/>
          <w:sz w:val="24"/>
          <w:szCs w:val="24"/>
          <w:lang w:val="en-US"/>
        </w:rPr>
        <w:t xml:space="preserve">was attributed from language markings only where the language was spoken exclusively in a single country. English and Spanish were excluded as standalone origin indicators due to their global use. Where a kanji character could belong to both Chinese and Japanese, no </w:t>
      </w:r>
      <w:r w:rsidR="00F86E71" w:rsidRPr="00D0668C">
        <w:rPr>
          <w:rFonts w:ascii="Times New Roman" w:hAnsi="Times New Roman" w:cs="Times New Roman"/>
          <w:color w:val="000000" w:themeColor="text1"/>
          <w:sz w:val="24"/>
          <w:szCs w:val="24"/>
          <w:lang w:val="en-US"/>
        </w:rPr>
        <w:t>geographic association</w:t>
      </w:r>
      <w:r w:rsidR="007D6613" w:rsidRPr="00D0668C">
        <w:rPr>
          <w:rFonts w:ascii="Times New Roman" w:hAnsi="Times New Roman" w:cs="Times New Roman"/>
          <w:color w:val="000000" w:themeColor="text1"/>
          <w:sz w:val="24"/>
          <w:szCs w:val="24"/>
          <w:lang w:val="en-US"/>
        </w:rPr>
        <w:t xml:space="preserve"> was attributed. Brand origin was determined by identifying the country where the company is established, verified through publicly available websites, and distinguished from countries where the brand sells goods. </w:t>
      </w:r>
      <w:proofErr w:type="spellStart"/>
      <w:r w:rsidR="007D6613" w:rsidRPr="00D0668C">
        <w:rPr>
          <w:rFonts w:ascii="Times New Roman" w:hAnsi="Times New Roman" w:cs="Times New Roman"/>
          <w:color w:val="000000" w:themeColor="text1"/>
          <w:sz w:val="24"/>
          <w:szCs w:val="24"/>
          <w:lang w:val="en-US"/>
        </w:rPr>
        <w:t>Colour</w:t>
      </w:r>
      <w:proofErr w:type="spellEnd"/>
      <w:r w:rsidR="007D6613" w:rsidRPr="00D0668C">
        <w:rPr>
          <w:rFonts w:ascii="Times New Roman" w:hAnsi="Times New Roman" w:cs="Times New Roman"/>
          <w:color w:val="000000" w:themeColor="text1"/>
          <w:sz w:val="24"/>
          <w:szCs w:val="24"/>
          <w:lang w:val="en-US"/>
        </w:rPr>
        <w:t xml:space="preserve">, presence or absence of a cap, and presence or absence of bite marks were also recorded for each item. Native speakers assisted with </w:t>
      </w:r>
      <w:r w:rsidR="00085D9D" w:rsidRPr="00D0668C">
        <w:rPr>
          <w:rFonts w:ascii="Times New Roman" w:hAnsi="Times New Roman" w:cs="Times New Roman"/>
          <w:color w:val="000000" w:themeColor="text1"/>
          <w:sz w:val="24"/>
          <w:szCs w:val="24"/>
          <w:lang w:val="en-US"/>
        </w:rPr>
        <w:t xml:space="preserve">the </w:t>
      </w:r>
      <w:r w:rsidR="007D6613" w:rsidRPr="00D0668C">
        <w:rPr>
          <w:rFonts w:ascii="Times New Roman" w:hAnsi="Times New Roman" w:cs="Times New Roman"/>
          <w:color w:val="000000" w:themeColor="text1"/>
          <w:sz w:val="24"/>
          <w:szCs w:val="24"/>
          <w:lang w:val="en-US"/>
        </w:rPr>
        <w:t xml:space="preserve">identification of Asian languages. A total of 19,768 items </w:t>
      </w:r>
      <w:r w:rsidR="001B35C5" w:rsidRPr="00D0668C">
        <w:rPr>
          <w:rFonts w:ascii="Times New Roman" w:hAnsi="Times New Roman" w:cs="Times New Roman"/>
          <w:color w:val="000000" w:themeColor="text1"/>
          <w:sz w:val="24"/>
          <w:szCs w:val="24"/>
          <w:lang w:val="en-US"/>
        </w:rPr>
        <w:t xml:space="preserve">bearing identifiable provenance-related indicators </w:t>
      </w:r>
      <w:r w:rsidR="007D6613" w:rsidRPr="00D0668C">
        <w:rPr>
          <w:rFonts w:ascii="Times New Roman" w:hAnsi="Times New Roman" w:cs="Times New Roman"/>
          <w:color w:val="000000" w:themeColor="text1"/>
          <w:sz w:val="24"/>
          <w:szCs w:val="24"/>
          <w:lang w:val="en-US"/>
        </w:rPr>
        <w:t>were individually recorded across the three regions.</w:t>
      </w:r>
    </w:p>
    <w:p w14:paraId="51B270AC" w14:textId="0780776E" w:rsidR="007D6613"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Polymer identification.</w:t>
      </w:r>
      <w:r w:rsidRPr="00D0668C">
        <w:rPr>
          <w:rFonts w:ascii="Times New Roman" w:hAnsi="Times New Roman" w:cs="Times New Roman"/>
          <w:color w:val="000000" w:themeColor="text1"/>
          <w:sz w:val="24"/>
          <w:szCs w:val="24"/>
          <w:lang w:val="en-US"/>
        </w:rPr>
        <w:t xml:space="preserve"> Polymer type was identified using recycling codes where present. For a subset of items, attenuated total reflectance Fourier transform infrared spectroscopy (ATR-FTIR) was used following established protocols </w:t>
      </w:r>
      <w:r w:rsidR="00445208" w:rsidRPr="00D0668C">
        <w:rPr>
          <w:rFonts w:ascii="Times New Roman" w:hAnsi="Times New Roman" w:cs="Times New Roman"/>
          <w:color w:val="000000" w:themeColor="text1"/>
          <w:sz w:val="24"/>
          <w:szCs w:val="24"/>
          <w:lang w:val="en-US"/>
        </w:rPr>
        <w:fldChar w:fldCharType="begin" w:fldLock="1"/>
      </w:r>
      <w:r w:rsidR="0068449C" w:rsidRPr="00D0668C">
        <w:rPr>
          <w:rFonts w:ascii="Times New Roman" w:hAnsi="Times New Roman" w:cs="Times New Roman"/>
          <w:color w:val="000000" w:themeColor="text1"/>
          <w:sz w:val="24"/>
          <w:szCs w:val="24"/>
          <w:lang w:val="en-US"/>
        </w:rPr>
        <w:instrText>ADDIN CSL_CITATION {"citationItems":[{"id":"ITEM-1","itemData":{"DOI":"10.1016/j.marpolbul.2017.12.061","ISSN":"0025326X","PMID":"29475714","abstract":"Polymer identification of plastic marine debris can help identify its sources, degradation, and fate. We optimized and validated a fast, simple, and accessible technique, attenuated total reflectance Fourier transform infrared spectroscopy (ATR FT-IR), to identify polymers contained in plastic ingested by sea turtles. Spectra of consumer good items with known resin identification codes #1–6 and several #7 plastics were compared to standard and raw manufactured polymers. High temperature size exclusion chromatography measurements confirmed ATR FT-IR could differentiate these polymers. High-density (HDPE) and low-density polyethylene (LDPE) dis-crimination is challenging but a clear step-by-step guide is provided that identified 78% of ingested PE samples. The optimal cleaning methods consisted of wiping ingested pieces with water or cutting. Of 828 ingested plastics pieces from 50 Pacific sea turtles, 96% were identified by ATR FT-IR as HDPE, LDPE, unknown PE, poly-propylene (PP), PE and PP mixtures, polystyrene, polyvinyl chloride, and nylon.","author":[{"dropping-particle":"","family":"Jung","given":"Melissa R.","non-dropping-particle":"","parse-names":false,"suffix":""},{"dropping-particle":"","family":"Horgen","given":"F. David","non-dropping-particle":"","parse-names":false,"suffix":""},{"dropping-particle":"V.","family":"Orski","given":"Sara","non-dropping-particle":"","parse-names":false,"suffix":""},{"dropping-particle":"","family":"Rodriguez C.","given":"Viviana","non-dropping-particle":"","parse-names":false,"suffix":""},{"dropping-particle":"","family":"Beers","given":"Kathryn L.","non-dropping-particle":"","parse-names":false,"suffix":""},{"dropping-particle":"","family":"Balazs","given":"George H.","non-dropping-particle":"","parse-names":false,"suffix":""},{"dropping-particle":"","family":"Jones","given":"T. Todd","non-dropping-particle":"","parse-names":false,"suffix":""},{"dropping-particle":"","family":"Work","given":"Thierry M.","non-dropping-particle":"","parse-names":false,"suffix":""},{"dropping-particle":"","family":"Brignac","given":"Kayla C.","non-dropping-particle":"","parse-names":false,"suffix":""},{"dropping-particle":"","family":"Royer","given":"Sarah-Jeanne Jeanne","non-dropping-particle":"","parse-names":false,"suffix":""},{"dropping-particle":"","family":"Hyrenbach","given":"K. David","non-dropping-particle":"","parse-names":false,"suffix":""},{"dropping-particle":"","family":"Jensen","given":"Brenda A.","non-dropping-particle":"","parse-names":false,"suffix":""},{"dropping-particle":"","family":"Lynch","given":"Jennifer M.","non-dropping-particle":"","parse-names":false,"suffix":""}],"container-title":"Marine Pollution Bulletin","id":"ITEM-1","issue":"December 2017","issued":{"date-parts":[["2018"]]},"page":"704-716","publisher":"Elsevier","title":"Validation of ATR FT-IR to identify polymers of plastic marine debris, including those ingested by marine organisms","type":"article-journal","volume":"127"},"uris":["http://www.mendeley.com/documents/?uuid=dd615001-5357-45b5-8ddc-8f5e221f45ef"]}],"mendeley":{"formattedCitation":"(Jung et al., 2018)","plainTextFormattedCitation":"(Jung et al., 2018)","previouslyFormattedCitation":"(Jung et al., 2018)"},"properties":{"noteIndex":0},"schema":"https://github.com/citation-style-language/schema/raw/master/csl-citation.json"}</w:instrText>
      </w:r>
      <w:r w:rsidR="00445208" w:rsidRPr="00D0668C">
        <w:rPr>
          <w:rFonts w:ascii="Times New Roman" w:hAnsi="Times New Roman" w:cs="Times New Roman"/>
          <w:color w:val="000000" w:themeColor="text1"/>
          <w:sz w:val="24"/>
          <w:szCs w:val="24"/>
          <w:lang w:val="en-US"/>
        </w:rPr>
        <w:fldChar w:fldCharType="separate"/>
      </w:r>
      <w:r w:rsidR="00445208" w:rsidRPr="00D0668C">
        <w:rPr>
          <w:rFonts w:ascii="Times New Roman" w:hAnsi="Times New Roman" w:cs="Times New Roman"/>
          <w:noProof/>
          <w:color w:val="000000" w:themeColor="text1"/>
          <w:sz w:val="24"/>
          <w:szCs w:val="24"/>
          <w:lang w:val="en-US"/>
        </w:rPr>
        <w:t>(Jung et al., 2018)</w:t>
      </w:r>
      <w:r w:rsidR="00445208"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providing confirmatory polymer identification where recycling codes were absent or ambiguous.</w:t>
      </w:r>
    </w:p>
    <w:p w14:paraId="45996035" w14:textId="77777777" w:rsidR="007D6613"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ONE APUS identification.</w:t>
      </w:r>
      <w:r w:rsidRPr="00D0668C">
        <w:rPr>
          <w:rFonts w:ascii="Times New Roman" w:hAnsi="Times New Roman" w:cs="Times New Roman"/>
          <w:color w:val="000000" w:themeColor="text1"/>
          <w:sz w:val="24"/>
          <w:szCs w:val="24"/>
          <w:lang w:val="en-US"/>
        </w:rPr>
        <w:t xml:space="preserve"> Items attributed to the ONE APUS container spill of November 2020 were identified based on a combination of item type, brand markings, and consistency with the known cargo manifest of the vessel, which included sporting goods, footwear, and lifestyle products. Attribution was conservative: only items whose type and brand were directly consistent with documented spill cargo were included.</w:t>
      </w:r>
    </w:p>
    <w:p w14:paraId="306171D4" w14:textId="4EF7DFAC" w:rsidR="0066189C"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lastRenderedPageBreak/>
        <w:t>Statistical analysis.</w:t>
      </w:r>
      <w:r w:rsidRPr="00D0668C">
        <w:rPr>
          <w:rFonts w:ascii="Times New Roman" w:hAnsi="Times New Roman" w:cs="Times New Roman"/>
          <w:color w:val="000000" w:themeColor="text1"/>
          <w:sz w:val="24"/>
          <w:szCs w:val="24"/>
          <w:lang w:val="en-US"/>
        </w:rPr>
        <w:t xml:space="preserve"> </w:t>
      </w:r>
      <w:r w:rsidR="0066189C" w:rsidRPr="00D0668C">
        <w:rPr>
          <w:rFonts w:ascii="Times New Roman" w:hAnsi="Times New Roman" w:cs="Times New Roman"/>
          <w:color w:val="000000" w:themeColor="text1"/>
          <w:sz w:val="24"/>
          <w:szCs w:val="24"/>
          <w:lang w:val="en-US"/>
        </w:rPr>
        <w:t>A significant decrease in production dates between 2020 and 2022 and a large increase in 2023 were assessed using chi-square tests and one-way ANOVA (p &lt; 0.05). Item provenance data were managed in Microsoft Excel, and all statistical analyses were conducted in MATLAB R2023b.</w:t>
      </w:r>
    </w:p>
    <w:p w14:paraId="0ABE95DE" w14:textId="7CA7DDE0" w:rsidR="007D6613" w:rsidRPr="00D0668C" w:rsidRDefault="007D6613" w:rsidP="007D6613">
      <w:pPr>
        <w:jc w:val="both"/>
        <w:rPr>
          <w:rFonts w:ascii="Times New Roman" w:hAnsi="Times New Roman" w:cs="Times New Roman"/>
          <w:i/>
          <w:iCs/>
          <w:color w:val="000000" w:themeColor="text1"/>
          <w:sz w:val="24"/>
          <w:szCs w:val="24"/>
          <w:lang w:val="en-US"/>
        </w:rPr>
      </w:pPr>
      <w:r w:rsidRPr="00D0668C">
        <w:rPr>
          <w:rFonts w:ascii="Times New Roman" w:hAnsi="Times New Roman" w:cs="Times New Roman"/>
          <w:i/>
          <w:iCs/>
          <w:color w:val="000000" w:themeColor="text1"/>
          <w:sz w:val="24"/>
          <w:szCs w:val="24"/>
          <w:lang w:val="en-US"/>
        </w:rPr>
        <w:t>SM3. Fishing net analysis</w:t>
      </w:r>
      <w:r w:rsidR="0066189C" w:rsidRPr="00D0668C">
        <w:rPr>
          <w:rFonts w:ascii="Times New Roman" w:hAnsi="Times New Roman" w:cs="Times New Roman"/>
          <w:i/>
          <w:iCs/>
          <w:color w:val="000000" w:themeColor="text1"/>
          <w:sz w:val="24"/>
          <w:szCs w:val="24"/>
          <w:lang w:val="en-US"/>
        </w:rPr>
        <w:t xml:space="preserve">; </w:t>
      </w:r>
      <w:r w:rsidRPr="00D0668C">
        <w:rPr>
          <w:rFonts w:ascii="Times New Roman" w:hAnsi="Times New Roman" w:cs="Times New Roman"/>
          <w:i/>
          <w:iCs/>
          <w:color w:val="000000" w:themeColor="text1"/>
          <w:sz w:val="24"/>
          <w:szCs w:val="24"/>
          <w:lang w:val="en-US"/>
        </w:rPr>
        <w:t>full details</w:t>
      </w:r>
    </w:p>
    <w:p w14:paraId="4C881035" w14:textId="4A0DF207" w:rsidR="007D6613"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Sample selection and preparation.</w:t>
      </w:r>
      <w:r w:rsidRPr="00D0668C">
        <w:rPr>
          <w:rFonts w:ascii="Times New Roman" w:hAnsi="Times New Roman" w:cs="Times New Roman"/>
          <w:color w:val="000000" w:themeColor="text1"/>
          <w:sz w:val="24"/>
          <w:szCs w:val="24"/>
          <w:lang w:val="en-US"/>
        </w:rPr>
        <w:t xml:space="preserve"> A total of 181 fishing net</w:t>
      </w:r>
      <w:r w:rsidR="00367806" w:rsidRPr="00D0668C">
        <w:rPr>
          <w:rFonts w:ascii="Times New Roman" w:hAnsi="Times New Roman" w:cs="Times New Roman"/>
          <w:color w:val="000000" w:themeColor="text1"/>
          <w:sz w:val="24"/>
          <w:szCs w:val="24"/>
          <w:lang w:val="en-US"/>
        </w:rPr>
        <w:t xml:space="preserve"> fragment</w:t>
      </w:r>
      <w:r w:rsidRPr="00D0668C">
        <w:rPr>
          <w:rFonts w:ascii="Times New Roman" w:hAnsi="Times New Roman" w:cs="Times New Roman"/>
          <w:color w:val="000000" w:themeColor="text1"/>
          <w:sz w:val="24"/>
          <w:szCs w:val="24"/>
          <w:lang w:val="en-US"/>
        </w:rPr>
        <w:t xml:space="preserve"> greater than 50 cm </w:t>
      </w:r>
      <w:r w:rsidR="00367806" w:rsidRPr="00D0668C">
        <w:rPr>
          <w:rFonts w:ascii="Times New Roman" w:hAnsi="Times New Roman" w:cs="Times New Roman"/>
          <w:color w:val="000000" w:themeColor="text1"/>
          <w:sz w:val="24"/>
          <w:szCs w:val="24"/>
          <w:lang w:val="en-US"/>
        </w:rPr>
        <w:t xml:space="preserve">from the NPGP </w:t>
      </w:r>
      <w:r w:rsidRPr="00D0668C">
        <w:rPr>
          <w:rFonts w:ascii="Times New Roman" w:hAnsi="Times New Roman" w:cs="Times New Roman"/>
          <w:color w:val="000000" w:themeColor="text1"/>
          <w:sz w:val="24"/>
          <w:szCs w:val="24"/>
          <w:lang w:val="en-US"/>
        </w:rPr>
        <w:t xml:space="preserve">were </w:t>
      </w:r>
      <w:r w:rsidR="00D37647" w:rsidRPr="00D0668C">
        <w:rPr>
          <w:rFonts w:ascii="Times New Roman" w:hAnsi="Times New Roman" w:cs="Times New Roman"/>
          <w:color w:val="000000" w:themeColor="text1"/>
          <w:sz w:val="24"/>
          <w:szCs w:val="24"/>
          <w:lang w:val="en-US"/>
        </w:rPr>
        <w:t xml:space="preserve">selected </w:t>
      </w:r>
      <w:r w:rsidR="00367806" w:rsidRPr="00D0668C">
        <w:rPr>
          <w:rFonts w:ascii="Times New Roman" w:hAnsi="Times New Roman" w:cs="Times New Roman"/>
          <w:color w:val="000000" w:themeColor="text1"/>
          <w:sz w:val="24"/>
          <w:szCs w:val="24"/>
          <w:lang w:val="en-US"/>
        </w:rPr>
        <w:t xml:space="preserve">from debris collected </w:t>
      </w:r>
      <w:r w:rsidRPr="00D0668C">
        <w:rPr>
          <w:rFonts w:ascii="Times New Roman" w:hAnsi="Times New Roman" w:cs="Times New Roman"/>
          <w:color w:val="000000" w:themeColor="text1"/>
          <w:sz w:val="24"/>
          <w:szCs w:val="24"/>
          <w:lang w:val="en-US"/>
        </w:rPr>
        <w:t xml:space="preserve">across three extraction events: 42 </w:t>
      </w:r>
      <w:r w:rsidR="00C35FCA" w:rsidRPr="00D0668C">
        <w:rPr>
          <w:rFonts w:ascii="Times New Roman" w:hAnsi="Times New Roman" w:cs="Times New Roman"/>
          <w:color w:val="000000" w:themeColor="text1"/>
          <w:sz w:val="24"/>
          <w:szCs w:val="24"/>
          <w:lang w:val="en-US"/>
        </w:rPr>
        <w:t>net fragment</w:t>
      </w:r>
      <w:r w:rsidRPr="00D0668C">
        <w:rPr>
          <w:rFonts w:ascii="Times New Roman" w:hAnsi="Times New Roman" w:cs="Times New Roman"/>
          <w:color w:val="000000" w:themeColor="text1"/>
          <w:sz w:val="24"/>
          <w:szCs w:val="24"/>
          <w:lang w:val="en-US"/>
        </w:rPr>
        <w:t>s from extractions 15 and 17 in October–December 2021 using System 002; 51 net</w:t>
      </w:r>
      <w:r w:rsidR="00C35FCA" w:rsidRPr="00D0668C">
        <w:rPr>
          <w:rFonts w:ascii="Times New Roman" w:hAnsi="Times New Roman" w:cs="Times New Roman"/>
          <w:color w:val="000000" w:themeColor="text1"/>
          <w:sz w:val="24"/>
          <w:szCs w:val="24"/>
          <w:lang w:val="en-US"/>
        </w:rPr>
        <w:t xml:space="preserve"> fragment</w:t>
      </w:r>
      <w:r w:rsidRPr="00D0668C">
        <w:rPr>
          <w:rFonts w:ascii="Times New Roman" w:hAnsi="Times New Roman" w:cs="Times New Roman"/>
          <w:color w:val="000000" w:themeColor="text1"/>
          <w:sz w:val="24"/>
          <w:szCs w:val="24"/>
          <w:lang w:val="en-US"/>
        </w:rPr>
        <w:t>s from extraction 73 using System 002 in June 2023; and 88 net</w:t>
      </w:r>
      <w:r w:rsidR="00C35FCA" w:rsidRPr="00D0668C">
        <w:rPr>
          <w:rFonts w:ascii="Times New Roman" w:hAnsi="Times New Roman" w:cs="Times New Roman"/>
          <w:color w:val="000000" w:themeColor="text1"/>
          <w:sz w:val="24"/>
          <w:szCs w:val="24"/>
          <w:lang w:val="en-US"/>
        </w:rPr>
        <w:t xml:space="preserve"> fragment</w:t>
      </w:r>
      <w:r w:rsidRPr="00D0668C">
        <w:rPr>
          <w:rFonts w:ascii="Times New Roman" w:hAnsi="Times New Roman" w:cs="Times New Roman"/>
          <w:color w:val="000000" w:themeColor="text1"/>
          <w:sz w:val="24"/>
          <w:szCs w:val="24"/>
          <w:lang w:val="en-US"/>
        </w:rPr>
        <w:t xml:space="preserve">s from extraction 1 using System 03 in September 2023. Each </w:t>
      </w:r>
      <w:r w:rsidR="005978C4" w:rsidRPr="00D0668C">
        <w:rPr>
          <w:rFonts w:ascii="Times New Roman" w:hAnsi="Times New Roman" w:cs="Times New Roman"/>
          <w:color w:val="000000" w:themeColor="text1"/>
          <w:sz w:val="24"/>
          <w:szCs w:val="24"/>
          <w:lang w:val="en-US"/>
        </w:rPr>
        <w:t>fragmen</w:t>
      </w:r>
      <w:r w:rsidRPr="00D0668C">
        <w:rPr>
          <w:rFonts w:ascii="Times New Roman" w:hAnsi="Times New Roman" w:cs="Times New Roman"/>
          <w:color w:val="000000" w:themeColor="text1"/>
          <w:sz w:val="24"/>
          <w:szCs w:val="24"/>
          <w:lang w:val="en-US"/>
        </w:rPr>
        <w:t xml:space="preserve">t was randomly selected from each extraction, </w:t>
      </w:r>
      <w:r w:rsidR="005978C4" w:rsidRPr="00D0668C">
        <w:rPr>
          <w:rFonts w:ascii="Times New Roman" w:hAnsi="Times New Roman" w:cs="Times New Roman"/>
          <w:color w:val="000000" w:themeColor="text1"/>
          <w:sz w:val="24"/>
          <w:szCs w:val="24"/>
          <w:lang w:val="en-US"/>
        </w:rPr>
        <w:t xml:space="preserve">provided it </w:t>
      </w:r>
      <w:r w:rsidRPr="00D0668C">
        <w:rPr>
          <w:rFonts w:ascii="Times New Roman" w:hAnsi="Times New Roman" w:cs="Times New Roman"/>
          <w:color w:val="000000" w:themeColor="text1"/>
          <w:sz w:val="24"/>
          <w:szCs w:val="24"/>
          <w:lang w:val="en-US"/>
        </w:rPr>
        <w:t xml:space="preserve">was relatively easy to disentangle, and exceeded 50 cm at its longest dimension. The </w:t>
      </w:r>
      <w:proofErr w:type="spellStart"/>
      <w:r w:rsidRPr="00D0668C">
        <w:rPr>
          <w:rFonts w:ascii="Times New Roman" w:hAnsi="Times New Roman" w:cs="Times New Roman"/>
          <w:color w:val="000000" w:themeColor="text1"/>
          <w:sz w:val="24"/>
          <w:szCs w:val="24"/>
          <w:lang w:val="en-US"/>
        </w:rPr>
        <w:t>analysed</w:t>
      </w:r>
      <w:proofErr w:type="spellEnd"/>
      <w:r w:rsidRPr="00D0668C">
        <w:rPr>
          <w:rFonts w:ascii="Times New Roman" w:hAnsi="Times New Roman" w:cs="Times New Roman"/>
          <w:color w:val="000000" w:themeColor="text1"/>
          <w:sz w:val="24"/>
          <w:szCs w:val="24"/>
          <w:lang w:val="en-US"/>
        </w:rPr>
        <w:t xml:space="preserve"> subset consisted exclusively of multifilament twine nets, reflecting both their higher occurrence in recovered material and their suitability for disentanglement. Seven nets were subsequently identified as non-fishing gear (cargo nets and fruit or vegetable mesh bags) and excluded from </w:t>
      </w:r>
      <w:r w:rsidR="006E1C7C" w:rsidRPr="00D0668C">
        <w:rPr>
          <w:rFonts w:ascii="Times New Roman" w:hAnsi="Times New Roman" w:cs="Times New Roman"/>
          <w:color w:val="000000" w:themeColor="text1"/>
          <w:sz w:val="24"/>
          <w:szCs w:val="24"/>
          <w:lang w:val="en-US"/>
        </w:rPr>
        <w:t xml:space="preserve">the </w:t>
      </w:r>
      <w:r w:rsidRPr="00D0668C">
        <w:rPr>
          <w:rFonts w:ascii="Times New Roman" w:hAnsi="Times New Roman" w:cs="Times New Roman"/>
          <w:color w:val="000000" w:themeColor="text1"/>
          <w:sz w:val="24"/>
          <w:szCs w:val="24"/>
          <w:lang w:val="en-US"/>
        </w:rPr>
        <w:t>discard pathway analysis, leaving 174 nets for full assessment. Two additional nets were too large to fully disentangle and were excluded from edge-damage analysis only.</w:t>
      </w:r>
    </w:p>
    <w:p w14:paraId="1AE2A1B0" w14:textId="140AD900" w:rsidR="007D6613" w:rsidRPr="00D0668C" w:rsidRDefault="007D6613" w:rsidP="007D6613">
      <w:pPr>
        <w:jc w:val="both"/>
        <w:rPr>
          <w:rFonts w:ascii="Times New Roman" w:hAnsi="Times New Roman" w:cs="Times New Roman"/>
          <w:color w:val="000000" w:themeColor="text1"/>
          <w:sz w:val="24"/>
          <w:szCs w:val="24"/>
          <w:lang w:val="en-US"/>
        </w:rPr>
      </w:pPr>
      <w:r w:rsidRPr="00D0668C">
        <w:rPr>
          <w:rFonts w:ascii="Times New Roman" w:hAnsi="Times New Roman" w:cs="Times New Roman"/>
          <w:i/>
          <w:iCs/>
          <w:color w:val="000000" w:themeColor="text1"/>
          <w:sz w:val="24"/>
          <w:szCs w:val="24"/>
          <w:lang w:val="en-US"/>
        </w:rPr>
        <w:t>Physical and morphological assessment.</w:t>
      </w:r>
      <w:r w:rsidRPr="00D0668C">
        <w:rPr>
          <w:rFonts w:ascii="Times New Roman" w:hAnsi="Times New Roman" w:cs="Times New Roman"/>
          <w:color w:val="000000" w:themeColor="text1"/>
          <w:sz w:val="24"/>
          <w:szCs w:val="24"/>
          <w:lang w:val="en-US"/>
        </w:rPr>
        <w:t xml:space="preserve"> Following the Fishing Net Assessment Protocol </w:t>
      </w:r>
      <w:r w:rsidR="0068449C" w:rsidRPr="00D0668C">
        <w:rPr>
          <w:rFonts w:ascii="Times New Roman" w:hAnsi="Times New Roman" w:cs="Times New Roman"/>
          <w:color w:val="000000" w:themeColor="text1"/>
          <w:sz w:val="24"/>
          <w:szCs w:val="24"/>
          <w:lang w:val="en-US"/>
        </w:rPr>
        <w:fldChar w:fldCharType="begin" w:fldLock="1"/>
      </w:r>
      <w:r w:rsidR="00821CC5" w:rsidRPr="00D0668C">
        <w:rPr>
          <w:rFonts w:ascii="Times New Roman" w:hAnsi="Times New Roman" w:cs="Times New Roman"/>
          <w:color w:val="000000" w:themeColor="text1"/>
          <w:sz w:val="24"/>
          <w:szCs w:val="24"/>
          <w:lang w:val="en-US"/>
        </w:rPr>
        <w:instrText>ADDIN CSL_CITATION {"citationItems":[{"id":"ITEM-1","itemData":{"ISBN":"9789463957052","author":[{"dropping-particle":"","family":"Strietman","given":"Wouter Jan","non-dropping-particle":"","parse-names":false,"suffix":""}],"id":"ITEM-1","issued":{"date-parts":[["2021"]]},"title":"Fishing nets on the coastline of the Arctic and North-East Atlantic : a source analysis","type":"report"},"uris":["http://www.mendeley.com/documents/?uuid=59cc07ff-9cb6-43b6-8cf0-29d6d0d8d225"]}],"mendeley":{"formattedCitation":"(Strietman, 2021)","plainTextFormattedCitation":"(Strietman, 2021)","previouslyFormattedCitation":"(Strietman, 2021)"},"properties":{"noteIndex":0},"schema":"https://github.com/citation-style-language/schema/raw/master/csl-citation.json"}</w:instrText>
      </w:r>
      <w:r w:rsidR="0068449C" w:rsidRPr="00D0668C">
        <w:rPr>
          <w:rFonts w:ascii="Times New Roman" w:hAnsi="Times New Roman" w:cs="Times New Roman"/>
          <w:color w:val="000000" w:themeColor="text1"/>
          <w:sz w:val="24"/>
          <w:szCs w:val="24"/>
          <w:lang w:val="en-US"/>
        </w:rPr>
        <w:fldChar w:fldCharType="separate"/>
      </w:r>
      <w:r w:rsidR="0068449C" w:rsidRPr="00D0668C">
        <w:rPr>
          <w:rFonts w:ascii="Times New Roman" w:hAnsi="Times New Roman" w:cs="Times New Roman"/>
          <w:noProof/>
          <w:color w:val="000000" w:themeColor="text1"/>
          <w:sz w:val="24"/>
          <w:szCs w:val="24"/>
          <w:lang w:val="en-US"/>
        </w:rPr>
        <w:t>(Strietman, 2021)</w:t>
      </w:r>
      <w:r w:rsidR="0068449C" w:rsidRPr="00D0668C">
        <w:rPr>
          <w:rFonts w:ascii="Times New Roman" w:hAnsi="Times New Roman" w:cs="Times New Roman"/>
          <w:color w:val="000000" w:themeColor="text1"/>
          <w:sz w:val="24"/>
          <w:szCs w:val="24"/>
          <w:lang w:val="en-US"/>
        </w:rPr>
        <w:fldChar w:fldCharType="end"/>
      </w:r>
      <w:r w:rsidRPr="00D0668C">
        <w:rPr>
          <w:rFonts w:ascii="Times New Roman" w:hAnsi="Times New Roman" w:cs="Times New Roman"/>
          <w:color w:val="000000" w:themeColor="text1"/>
          <w:sz w:val="24"/>
          <w:szCs w:val="24"/>
          <w:lang w:val="en-US"/>
        </w:rPr>
        <w:t>, each net was untangled and stretched on a warehouse floor for analysis. Recorded characteristics included weight, overall dimensions, surface area, number of pieces, mesh size, stretch orientation, number of strands, construction type (knotted versus knotless), twine diameter, and twist type (S-, Z-, or braided). Small cut-outs (10 × 10 cm) of each net were photographed on a white board with a ruler (Supplementary Fig. S</w:t>
      </w:r>
      <w:r w:rsidR="00F46134" w:rsidRPr="00D0668C">
        <w:rPr>
          <w:rFonts w:ascii="Times New Roman" w:hAnsi="Times New Roman" w:cs="Times New Roman"/>
          <w:color w:val="000000" w:themeColor="text1"/>
          <w:sz w:val="24"/>
          <w:szCs w:val="24"/>
          <w:lang w:val="en-US"/>
        </w:rPr>
        <w:t>7</w:t>
      </w:r>
      <w:r w:rsidRPr="00D0668C">
        <w:rPr>
          <w:rFonts w:ascii="Times New Roman" w:hAnsi="Times New Roman" w:cs="Times New Roman"/>
          <w:color w:val="000000" w:themeColor="text1"/>
          <w:sz w:val="24"/>
          <w:szCs w:val="24"/>
          <w:lang w:val="en-US"/>
        </w:rPr>
        <w:t>). Polymer composition was determined using ATR-FTIR</w:t>
      </w:r>
      <w:r w:rsidR="00964B01" w:rsidRPr="00D0668C">
        <w:rPr>
          <w:rFonts w:ascii="Times New Roman" w:hAnsi="Times New Roman" w:cs="Times New Roman"/>
          <w:color w:val="000000" w:themeColor="text1"/>
          <w:sz w:val="24"/>
          <w:szCs w:val="24"/>
          <w:lang w:val="en-US"/>
        </w:rPr>
        <w:t xml:space="preserve"> (Agilent Cary 630)</w:t>
      </w:r>
      <w:r w:rsidRPr="00D0668C">
        <w:rPr>
          <w:rFonts w:ascii="Times New Roman" w:hAnsi="Times New Roman" w:cs="Times New Roman"/>
          <w:color w:val="000000" w:themeColor="text1"/>
          <w:sz w:val="24"/>
          <w:szCs w:val="24"/>
          <w:lang w:val="en-US"/>
        </w:rPr>
        <w:t xml:space="preserve"> following Jung et al. (2018).</w:t>
      </w:r>
    </w:p>
    <w:p w14:paraId="0361AE04" w14:textId="097EEF13" w:rsidR="007D6613" w:rsidRPr="00D0668C" w:rsidRDefault="007D6613" w:rsidP="007D6613">
      <w:pPr>
        <w:jc w:val="both"/>
        <w:rPr>
          <w:rFonts w:ascii="Times New Roman" w:hAnsi="Times New Roman" w:cs="Times New Roman"/>
          <w:color w:val="000000" w:themeColor="text1"/>
          <w:sz w:val="24"/>
          <w:szCs w:val="24"/>
          <w:lang w:val="en-US"/>
        </w:rPr>
      </w:pPr>
      <w:r w:rsidRPr="0028501A">
        <w:rPr>
          <w:rFonts w:ascii="Times New Roman" w:hAnsi="Times New Roman" w:cs="Times New Roman"/>
          <w:i/>
          <w:iCs/>
          <w:color w:val="000000" w:themeColor="text1"/>
          <w:sz w:val="24"/>
          <w:szCs w:val="24"/>
          <w:lang w:val="en-US"/>
        </w:rPr>
        <w:t xml:space="preserve">Condition and age estimation. </w:t>
      </w:r>
      <w:r w:rsidRPr="00D0668C">
        <w:rPr>
          <w:rFonts w:ascii="Times New Roman" w:hAnsi="Times New Roman" w:cs="Times New Roman"/>
          <w:color w:val="000000" w:themeColor="text1"/>
          <w:sz w:val="24"/>
          <w:szCs w:val="24"/>
          <w:lang w:val="en-US"/>
        </w:rPr>
        <w:t>Indicators of environmental exposure</w:t>
      </w:r>
      <w:r w:rsidR="00541A57"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biofouling, fraying, and fading</w:t>
      </w:r>
      <w:r w:rsidR="00541A57"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were recorded for each net and used as proxies for relative age, reflecting cumulative mechanical stress and prolonged marine exposure. These characteristics were combined into a numerical classification of exposure level (low, moderate, or high) and a qualitative classification of nets as relatively recent (less than 5 years) or older.</w:t>
      </w:r>
    </w:p>
    <w:p w14:paraId="555D7118" w14:textId="7AEA153E" w:rsidR="007D6613" w:rsidRPr="00D0668C" w:rsidRDefault="007D6613" w:rsidP="007D6613">
      <w:pPr>
        <w:jc w:val="both"/>
        <w:rPr>
          <w:rFonts w:ascii="Times New Roman" w:hAnsi="Times New Roman" w:cs="Times New Roman"/>
          <w:color w:val="000000" w:themeColor="text1"/>
          <w:sz w:val="24"/>
          <w:szCs w:val="24"/>
          <w:lang w:val="en-US"/>
        </w:rPr>
      </w:pPr>
      <w:r w:rsidRPr="0028501A">
        <w:rPr>
          <w:rFonts w:ascii="Times New Roman" w:hAnsi="Times New Roman" w:cs="Times New Roman"/>
          <w:i/>
          <w:iCs/>
          <w:color w:val="000000" w:themeColor="text1"/>
          <w:sz w:val="24"/>
          <w:szCs w:val="24"/>
          <w:lang w:val="en-US"/>
        </w:rPr>
        <w:t>Discard pathway assessment.</w:t>
      </w:r>
      <w:r w:rsidRPr="00D0668C">
        <w:rPr>
          <w:rFonts w:ascii="Times New Roman" w:hAnsi="Times New Roman" w:cs="Times New Roman"/>
          <w:color w:val="000000" w:themeColor="text1"/>
          <w:sz w:val="24"/>
          <w:szCs w:val="24"/>
          <w:lang w:val="en-US"/>
        </w:rPr>
        <w:t xml:space="preserve"> The number and configuration of cut versus torn edges on each side of the net were assessed by </w:t>
      </w:r>
      <w:r w:rsidR="00345950" w:rsidRPr="00D0668C">
        <w:rPr>
          <w:rFonts w:ascii="Times New Roman" w:hAnsi="Times New Roman" w:cs="Times New Roman"/>
          <w:color w:val="000000" w:themeColor="text1"/>
          <w:sz w:val="24"/>
          <w:szCs w:val="24"/>
          <w:lang w:val="en-US"/>
        </w:rPr>
        <w:t xml:space="preserve">trawl </w:t>
      </w:r>
      <w:r w:rsidRPr="00D0668C">
        <w:rPr>
          <w:rFonts w:ascii="Times New Roman" w:hAnsi="Times New Roman" w:cs="Times New Roman"/>
          <w:color w:val="000000" w:themeColor="text1"/>
          <w:sz w:val="24"/>
          <w:szCs w:val="24"/>
          <w:lang w:val="en-US"/>
        </w:rPr>
        <w:t xml:space="preserve">gear </w:t>
      </w:r>
      <w:r w:rsidR="0018130A" w:rsidRPr="00D0668C">
        <w:rPr>
          <w:rFonts w:ascii="Times New Roman" w:hAnsi="Times New Roman" w:cs="Times New Roman"/>
          <w:color w:val="000000" w:themeColor="text1"/>
          <w:sz w:val="24"/>
          <w:szCs w:val="24"/>
          <w:lang w:val="en-US"/>
        </w:rPr>
        <w:t xml:space="preserve">fisheries </w:t>
      </w:r>
      <w:r w:rsidRPr="00D0668C">
        <w:rPr>
          <w:rFonts w:ascii="Times New Roman" w:hAnsi="Times New Roman" w:cs="Times New Roman"/>
          <w:color w:val="000000" w:themeColor="text1"/>
          <w:sz w:val="24"/>
          <w:szCs w:val="24"/>
          <w:lang w:val="en-US"/>
        </w:rPr>
        <w:t xml:space="preserve">experts to distinguish between accidental loss and intentional discard. Cut marks with a regular pattern along net sides indicated deliberate sectioning during repair or replacement. Tear marks with an irregular or frayed pattern indicated mechanical damage consistent with accidental loss or operational wear. Based on this assessment, nets were classified into one of </w:t>
      </w:r>
      <w:r w:rsidR="00DE6048" w:rsidRPr="00D0668C">
        <w:rPr>
          <w:rFonts w:ascii="Times New Roman" w:hAnsi="Times New Roman" w:cs="Times New Roman"/>
          <w:color w:val="000000" w:themeColor="text1"/>
          <w:sz w:val="24"/>
          <w:szCs w:val="24"/>
          <w:lang w:val="en-US"/>
        </w:rPr>
        <w:t xml:space="preserve">three </w:t>
      </w:r>
      <w:r w:rsidRPr="00D0668C">
        <w:rPr>
          <w:rFonts w:ascii="Times New Roman" w:hAnsi="Times New Roman" w:cs="Times New Roman"/>
          <w:color w:val="000000" w:themeColor="text1"/>
          <w:sz w:val="24"/>
          <w:szCs w:val="24"/>
          <w:lang w:val="en-US"/>
        </w:rPr>
        <w:t xml:space="preserve">categories: </w:t>
      </w:r>
      <w:r w:rsidR="00EE3431" w:rsidRPr="00D0668C">
        <w:rPr>
          <w:rFonts w:ascii="Times New Roman" w:hAnsi="Times New Roman" w:cs="Times New Roman"/>
          <w:color w:val="000000" w:themeColor="text1"/>
          <w:sz w:val="24"/>
          <w:szCs w:val="24"/>
          <w:lang w:val="en-US"/>
        </w:rPr>
        <w:t xml:space="preserve">(1) all sides ripped or torn, indicative of accidental gear loss through entanglement or operational damage; (2) three sides cut and one side torn, consistent with net offcuts generated during repair or replacement operations where sectioning was incomplete; or (3) all sides cut, consistent with deliberate and complete sectioning of net material during routine maintenance. Categories (2) and (3) together were classified as showing characteristics most consistent with inadequate fishing gear waste management rather than accidental </w:t>
      </w:r>
      <w:proofErr w:type="gramStart"/>
      <w:r w:rsidR="00EE3431" w:rsidRPr="00D0668C">
        <w:rPr>
          <w:rFonts w:ascii="Times New Roman" w:hAnsi="Times New Roman" w:cs="Times New Roman"/>
          <w:color w:val="000000" w:themeColor="text1"/>
          <w:sz w:val="24"/>
          <w:szCs w:val="24"/>
          <w:lang w:val="en-US"/>
        </w:rPr>
        <w:t>loss, and</w:t>
      </w:r>
      <w:proofErr w:type="gramEnd"/>
      <w:r w:rsidR="00EE3431" w:rsidRPr="00D0668C">
        <w:rPr>
          <w:rFonts w:ascii="Times New Roman" w:hAnsi="Times New Roman" w:cs="Times New Roman"/>
          <w:color w:val="000000" w:themeColor="text1"/>
          <w:sz w:val="24"/>
          <w:szCs w:val="24"/>
          <w:lang w:val="en-US"/>
        </w:rPr>
        <w:t xml:space="preserve"> together accounted for 87% of the 174 assessed nets</w:t>
      </w:r>
      <w:r w:rsidRPr="00D0668C">
        <w:rPr>
          <w:rFonts w:ascii="Times New Roman" w:hAnsi="Times New Roman" w:cs="Times New Roman"/>
          <w:color w:val="000000" w:themeColor="text1"/>
          <w:sz w:val="24"/>
          <w:szCs w:val="24"/>
          <w:lang w:val="en-US"/>
        </w:rPr>
        <w:t>.</w:t>
      </w:r>
    </w:p>
    <w:p w14:paraId="4E607873" w14:textId="013DE4D6" w:rsidR="00BC4654" w:rsidRPr="00D0668C" w:rsidRDefault="007D6613" w:rsidP="007D6613">
      <w:pPr>
        <w:jc w:val="both"/>
        <w:rPr>
          <w:rFonts w:ascii="Times New Roman" w:hAnsi="Times New Roman" w:cs="Times New Roman"/>
          <w:color w:val="000000" w:themeColor="text1"/>
          <w:sz w:val="24"/>
          <w:szCs w:val="24"/>
          <w:lang w:val="en-US"/>
        </w:rPr>
      </w:pPr>
      <w:r w:rsidRPr="0028501A">
        <w:rPr>
          <w:rFonts w:ascii="Times New Roman" w:hAnsi="Times New Roman" w:cs="Times New Roman"/>
          <w:i/>
          <w:iCs/>
          <w:color w:val="000000" w:themeColor="text1"/>
          <w:sz w:val="24"/>
          <w:szCs w:val="24"/>
          <w:lang w:val="en-US"/>
        </w:rPr>
        <w:lastRenderedPageBreak/>
        <w:t>Expert consultation.</w:t>
      </w:r>
      <w:r w:rsidRPr="00D0668C">
        <w:rPr>
          <w:rFonts w:ascii="Times New Roman" w:hAnsi="Times New Roman" w:cs="Times New Roman"/>
          <w:color w:val="000000" w:themeColor="text1"/>
          <w:sz w:val="24"/>
          <w:szCs w:val="24"/>
          <w:lang w:val="en-US"/>
        </w:rPr>
        <w:t xml:space="preserve"> Expert input on gear type, target species, geographic origin, and flag state was collected from 18 specialists across the North Pacific region, including technical specialists from manufacturers and universities based in the United States, Micronesia, Indonesia, Japan, Vietnam, Taiwan, New Zealand, and the Netherlands (Supplementary Table S3). Engagement proceeded in three stages: known gear experts were contacted first and asked to contribute and recommend additional specialists within their networks; The Ocean Cleanup engaged social media followers to identify additional experts; and a PDF containing net photographs and measured characteristics was shared with all contacted experts. Where experts </w:t>
      </w:r>
      <w:r w:rsidR="00E96A03" w:rsidRPr="00D0668C">
        <w:rPr>
          <w:rFonts w:ascii="Times New Roman" w:hAnsi="Times New Roman" w:cs="Times New Roman"/>
          <w:color w:val="000000" w:themeColor="text1"/>
          <w:sz w:val="24"/>
          <w:szCs w:val="24"/>
          <w:lang w:val="en-US"/>
        </w:rPr>
        <w:t>recognized</w:t>
      </w:r>
      <w:r w:rsidRPr="00D0668C">
        <w:rPr>
          <w:rFonts w:ascii="Times New Roman" w:hAnsi="Times New Roman" w:cs="Times New Roman"/>
          <w:color w:val="000000" w:themeColor="text1"/>
          <w:sz w:val="24"/>
          <w:szCs w:val="24"/>
          <w:lang w:val="en-US"/>
        </w:rPr>
        <w:t xml:space="preserve"> </w:t>
      </w:r>
      <w:r w:rsidR="006262D8" w:rsidRPr="00D0668C">
        <w:rPr>
          <w:rFonts w:ascii="Times New Roman" w:hAnsi="Times New Roman" w:cs="Times New Roman"/>
          <w:color w:val="000000" w:themeColor="text1"/>
          <w:sz w:val="24"/>
          <w:szCs w:val="24"/>
          <w:lang w:val="en-US"/>
        </w:rPr>
        <w:t>most</w:t>
      </w:r>
      <w:r w:rsidRPr="00D0668C">
        <w:rPr>
          <w:rFonts w:ascii="Times New Roman" w:hAnsi="Times New Roman" w:cs="Times New Roman"/>
          <w:color w:val="000000" w:themeColor="text1"/>
          <w:sz w:val="24"/>
          <w:szCs w:val="24"/>
          <w:lang w:val="en-US"/>
        </w:rPr>
        <w:t xml:space="preserve"> nets, detailed follow-up discussions were conducted to obtain gear type assessments, origin hypotheses, and confidence ratings.</w:t>
      </w:r>
    </w:p>
    <w:p w14:paraId="1235D4F0" w14:textId="77777777" w:rsidR="00821CC5" w:rsidRPr="00D0668C" w:rsidRDefault="00821CC5" w:rsidP="007D6613">
      <w:pPr>
        <w:jc w:val="both"/>
        <w:rPr>
          <w:rFonts w:ascii="Times New Roman" w:hAnsi="Times New Roman" w:cs="Times New Roman"/>
          <w:color w:val="000000" w:themeColor="text1"/>
          <w:sz w:val="24"/>
          <w:szCs w:val="24"/>
          <w:lang w:val="en-US"/>
        </w:rPr>
      </w:pPr>
    </w:p>
    <w:p w14:paraId="24CB3C42" w14:textId="77777777" w:rsidR="003A0CFD" w:rsidRPr="00D0668C" w:rsidRDefault="003A0CFD">
      <w:pPr>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416B5B1C" w14:textId="4062AE73" w:rsidR="00821CC5" w:rsidRPr="00D0668C" w:rsidRDefault="00821CC5" w:rsidP="00821CC5">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color w:val="000000" w:themeColor="text1"/>
          <w:sz w:val="24"/>
          <w:szCs w:val="24"/>
          <w:lang w:val="en-US"/>
        </w:rPr>
        <w:lastRenderedPageBreak/>
        <w:t>Reference</w:t>
      </w:r>
    </w:p>
    <w:p w14:paraId="30D68776" w14:textId="158DDDCC" w:rsidR="003E3B08" w:rsidRPr="00D0668C" w:rsidRDefault="00821CC5"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color w:val="000000" w:themeColor="text1"/>
          <w:sz w:val="24"/>
          <w:szCs w:val="24"/>
          <w:lang w:val="en-US"/>
        </w:rPr>
        <w:fldChar w:fldCharType="begin" w:fldLock="1"/>
      </w:r>
      <w:r w:rsidRPr="00D0668C">
        <w:rPr>
          <w:rFonts w:ascii="Times New Roman" w:hAnsi="Times New Roman" w:cs="Times New Roman"/>
          <w:color w:val="000000" w:themeColor="text1"/>
          <w:sz w:val="24"/>
          <w:szCs w:val="24"/>
          <w:lang w:val="en-US"/>
        </w:rPr>
        <w:instrText xml:space="preserve">ADDIN Mendeley Bibliography CSL_BIBLIOGRAPHY </w:instrText>
      </w:r>
      <w:r w:rsidRPr="00D0668C">
        <w:rPr>
          <w:rFonts w:ascii="Times New Roman" w:hAnsi="Times New Roman" w:cs="Times New Roman"/>
          <w:color w:val="000000" w:themeColor="text1"/>
          <w:sz w:val="24"/>
          <w:szCs w:val="24"/>
          <w:lang w:val="en-US"/>
        </w:rPr>
        <w:fldChar w:fldCharType="separate"/>
      </w:r>
      <w:r w:rsidR="003E3B08" w:rsidRPr="00D0668C">
        <w:rPr>
          <w:rFonts w:ascii="Times New Roman" w:hAnsi="Times New Roman" w:cs="Times New Roman"/>
          <w:noProof/>
          <w:kern w:val="0"/>
          <w:sz w:val="24"/>
          <w:szCs w:val="24"/>
        </w:rPr>
        <w:t>(UNEP), U.N.E.P., 2022. From pollution to solution: A Global Assessment of Marine Litter and Plastic Pollution.</w:t>
      </w:r>
    </w:p>
    <w:p w14:paraId="311775D0"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Carson, H.S., Lamson, M.R., Nakashima, D., Toloumu, D., Hafner, J., Maximenko, N., McDermid, K.J., 2013. Tracking the sources and sinks of local marine debris in Hawai’i. Mar. Environ. Res. 84, 76–83. https://doi.org/10.1016/j.marenvres.2012.12.002</w:t>
      </w:r>
    </w:p>
    <w:p w14:paraId="6C0F6C06"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FAO, 2021. Classification and illustrated definition of fishing gears., Technical Guidelines for Responsible Fisheries. Rome.</w:t>
      </w:r>
    </w:p>
    <w:p w14:paraId="26B01C9D"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GESAMP, 2016. Sources, Fate and Effects of Microplastics in the Marine Environment: Part 2 of a Global Assessment. Rep. Stud. GESAMP No. 90, 96 p.</w:t>
      </w:r>
    </w:p>
    <w:p w14:paraId="4D46853B"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Jung, M.R., Horgen, F.D., Orski, S. V., Rodriguez C., V., Beers, K.L., Balazs, G.H., Jones, T.T., Work, T.M., Brignac, K.C., Royer, S.-J.J., Hyrenbach, K.D., Jensen, B.A., Lynch, J.M., 2018. Validation of ATR FT-IR to identify polymers of plastic marine debris, including those ingested by marine organisms. Mar. Pollut. Bull. 127, 704–716. https://doi.org/10.1016/j.marpolbul.2017.12.061</w:t>
      </w:r>
    </w:p>
    <w:p w14:paraId="25720C3D"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Karl, D.M., Church, M.J., 2017. Ecosystem Structure and Dynamics in the North Pacific Subtropical Gyre : New Views of an Old Ocean. Ecosystems 20, 433–457. https://doi.org/10.1007/s10021-017-0117-0</w:t>
      </w:r>
    </w:p>
    <w:p w14:paraId="234C57E7"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Kroodsma, D.A., Mayorga, J., Hochberg, T., Miller, N.A., Boerder, K., Ferretti, F., Wilson, A., Bergman, B., White, T.D., Block, B.A., Woods, P., Sullivan, B., Costello, C., Worm, B., 2018. Tracking the global footprint of fisheries. Science 908, 904–908.</w:t>
      </w:r>
    </w:p>
    <w:p w14:paraId="42D5074B"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Lebreton, L., Egger, M., Slat, B., 2019. A global mass budget for positively buoyant macroplastic debris in the ocean. Sci. Rep. 10, 58755. https://doi.org/10.1038/s41598-019-49413-5</w:t>
      </w:r>
    </w:p>
    <w:p w14:paraId="0185A1F0"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Lebreton, L., Royer, S.-J., Peytavin, A., Strietman, W.J., Smeding-Zuurendonk, I., Egger, M., 2022. Industrialised fishing nations largely contribute to floating plastic pollution in the North Pacific subtropical gyre. Sci. Rep. 12, 1–11. https://doi.org/10.1038/s41598-022-16529-0</w:t>
      </w:r>
    </w:p>
    <w:p w14:paraId="7EA237EB"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Lebreton, L., Slat, B., Ferrari, F., Sainte-Rose, B., Aitken, J., Marthouse, R., Hajbane, S., Cunsolo, S., Schwarz, A., Levivier, A., Noble, K., Debeljak, P., Maral, H., Schoeneich-Argent, R., Brambini, R., Reisser, J., 2018. Evidence that the Great Pacific Garbage Patch is rapidly accumulating plastic. Sci. Rep. 8, 1–18. https://doi.org/10.1038/s41598-018-22939-w</w:t>
      </w:r>
    </w:p>
    <w:p w14:paraId="30483A5E"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Macfadyen, G., Huntington, T., Cappell, R., 2009. Abandoned, lost or otherwise discarded fishing gear, FAO Consutlants, Lymington. United Kingdom of Great Britain and Northern Ireland, FAO Fisheries and Aquaculture Technical Paper 523.</w:t>
      </w:r>
    </w:p>
    <w:p w14:paraId="5DF40116"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Maximenko, N., Hafner, J., Kamachi, M., Macfadyen, A., 2018. Numerical simulations of debris drift from the Great Japan Tsunami of 2011 and their verification with observational reports. Mar. Pollut. Bull. 132, 5–25. https://doi.org/10.1016/j.marpolbul.2018.03.056</w:t>
      </w:r>
    </w:p>
    <w:p w14:paraId="74DA9A22"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Metcalfe, R., Bentley, A., 2020. Net cuttings waste from fishing in the North-East Atlantic : best practices for mitigation. Swedish Agency Mar. Water Manag.</w:t>
      </w:r>
    </w:p>
    <w:p w14:paraId="0157EED6"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lastRenderedPageBreak/>
        <w:t>NOAA Marine Debris Program, 2021. 2021 Hawai’i Marine Debris Action Plan.</w:t>
      </w:r>
    </w:p>
    <w:p w14:paraId="25722B2F"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OSPAR, 2010. Guideline for monitoring marine litter on the beachs in the OSPAR Maritime Area. OSPAR Comm. 1, 84.</w:t>
      </w:r>
    </w:p>
    <w:p w14:paraId="27EF80B2"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Serra-gonçalves, C., Lavers, J.L., Tait, H.L., Fischer, A.M., Bond, A.L., 2023. Assessing the effectiveness of MARPOL Annex V at reducing marine debris on Australian beaches. Mar. Pollut. Bull. 191, 114929. https://doi.org/10.1016/j.marpolbul.2023.114929</w:t>
      </w:r>
    </w:p>
    <w:p w14:paraId="2A28EABE"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Strietman, W.J., 2021. Fishing nets on the coastline of the Arctic and North-East Atlantic : a source analysis.</w:t>
      </w:r>
    </w:p>
    <w:p w14:paraId="7EC25472"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kern w:val="0"/>
          <w:sz w:val="24"/>
          <w:szCs w:val="24"/>
        </w:rPr>
      </w:pPr>
      <w:r w:rsidRPr="00D0668C">
        <w:rPr>
          <w:rFonts w:ascii="Times New Roman" w:hAnsi="Times New Roman" w:cs="Times New Roman"/>
          <w:noProof/>
          <w:kern w:val="0"/>
          <w:sz w:val="24"/>
          <w:szCs w:val="24"/>
        </w:rPr>
        <w:t>Willis, K.A., Serra-Gonçalves, C., Richardson, K., Schuyler, Q.A., Pedersen, H., Anderson, K., Stark, J.S., Vince, J., Hardesty, B.D., Wilcox, C., Nowak, B.F., Lavers, J.L., Semmens, J.M., Greeno, D., MacLeod, C., Frederiksen, N.P.O., Puskic, P.S., 2022. Cleaner seas: reducing marine pollution. Rev. Fish Biol. Fish. 32, 145–160. https://doi.org/10.1007/s11160-021-09674-8</w:t>
      </w:r>
    </w:p>
    <w:p w14:paraId="002EA4AC" w14:textId="77777777" w:rsidR="003E3B08" w:rsidRPr="00D0668C" w:rsidRDefault="003E3B08" w:rsidP="003E3B08">
      <w:pPr>
        <w:widowControl w:val="0"/>
        <w:autoSpaceDE w:val="0"/>
        <w:autoSpaceDN w:val="0"/>
        <w:adjustRightInd w:val="0"/>
        <w:spacing w:line="240" w:lineRule="auto"/>
        <w:ind w:left="480" w:hanging="480"/>
        <w:rPr>
          <w:rFonts w:ascii="Times New Roman" w:hAnsi="Times New Roman" w:cs="Times New Roman"/>
          <w:noProof/>
          <w:sz w:val="24"/>
          <w:szCs w:val="24"/>
        </w:rPr>
      </w:pPr>
      <w:r w:rsidRPr="00D0668C">
        <w:rPr>
          <w:rFonts w:ascii="Times New Roman" w:hAnsi="Times New Roman" w:cs="Times New Roman"/>
          <w:noProof/>
          <w:kern w:val="0"/>
          <w:sz w:val="24"/>
          <w:szCs w:val="24"/>
        </w:rPr>
        <w:t>Xing, Q., Yu, H., Wang, H., Chai, F., 2023. Mesoscale eddies modulate the dynamics of human fishing activities in the global midlatitude ocean 1–17. https://doi.org/10.1111/faf.12742</w:t>
      </w:r>
    </w:p>
    <w:p w14:paraId="119C5AB7" w14:textId="187010F6" w:rsidR="00821CC5" w:rsidRPr="00D0668C" w:rsidRDefault="00821CC5" w:rsidP="003E3B08">
      <w:pPr>
        <w:widowControl w:val="0"/>
        <w:autoSpaceDE w:val="0"/>
        <w:autoSpaceDN w:val="0"/>
        <w:adjustRightInd w:val="0"/>
        <w:spacing w:line="240" w:lineRule="auto"/>
        <w:ind w:left="480" w:hanging="480"/>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fldChar w:fldCharType="end"/>
      </w:r>
    </w:p>
    <w:p w14:paraId="695372E3" w14:textId="77777777" w:rsidR="00821CC5" w:rsidRPr="00D0668C" w:rsidRDefault="00821CC5" w:rsidP="007D6613">
      <w:pPr>
        <w:jc w:val="both"/>
        <w:rPr>
          <w:rFonts w:ascii="Times New Roman" w:hAnsi="Times New Roman" w:cs="Times New Roman"/>
          <w:color w:val="000000" w:themeColor="text1"/>
          <w:sz w:val="24"/>
          <w:szCs w:val="24"/>
          <w:lang w:val="en-US"/>
        </w:rPr>
      </w:pPr>
    </w:p>
    <w:p w14:paraId="07FF270A" w14:textId="77777777" w:rsidR="006704FF" w:rsidRPr="00D0668C" w:rsidRDefault="006704FF">
      <w:pPr>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10B16B73" w14:textId="1883812C" w:rsidR="00B9286A" w:rsidRPr="00D0668C" w:rsidRDefault="00B9286A"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lastRenderedPageBreak/>
        <w:t>List of supplem</w:t>
      </w:r>
      <w:r w:rsidR="00503BB4" w:rsidRPr="00D0668C">
        <w:rPr>
          <w:rFonts w:ascii="Times New Roman" w:hAnsi="Times New Roman" w:cs="Times New Roman"/>
          <w:color w:val="000000" w:themeColor="text1"/>
          <w:sz w:val="24"/>
          <w:szCs w:val="24"/>
          <w:lang w:val="en-US"/>
        </w:rPr>
        <w:t xml:space="preserve">entary </w:t>
      </w:r>
      <w:r w:rsidRPr="00D0668C">
        <w:rPr>
          <w:rFonts w:ascii="Times New Roman" w:hAnsi="Times New Roman" w:cs="Times New Roman"/>
          <w:color w:val="000000" w:themeColor="text1"/>
          <w:sz w:val="24"/>
          <w:szCs w:val="24"/>
          <w:lang w:val="en-US"/>
        </w:rPr>
        <w:t>tables and figures</w:t>
      </w:r>
    </w:p>
    <w:p w14:paraId="541B1582" w14:textId="1F47574B" w:rsidR="00B9286A" w:rsidRPr="00D0668C" w:rsidRDefault="00B9286A"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 xml:space="preserve">Table </w:t>
      </w:r>
      <w:r w:rsidR="00503BB4" w:rsidRPr="00D0668C">
        <w:rPr>
          <w:rFonts w:ascii="Times New Roman" w:hAnsi="Times New Roman" w:cs="Times New Roman"/>
          <w:b/>
          <w:bCs/>
          <w:color w:val="000000" w:themeColor="text1"/>
          <w:sz w:val="24"/>
          <w:szCs w:val="24"/>
          <w:lang w:val="en-US"/>
        </w:rPr>
        <w:t>S</w:t>
      </w:r>
      <w:r w:rsidRPr="00D0668C">
        <w:rPr>
          <w:rFonts w:ascii="Times New Roman" w:hAnsi="Times New Roman" w:cs="Times New Roman"/>
          <w:b/>
          <w:bCs/>
          <w:color w:val="000000" w:themeColor="text1"/>
          <w:sz w:val="24"/>
          <w:szCs w:val="24"/>
          <w:lang w:val="en-US"/>
        </w:rPr>
        <w:t>1:</w:t>
      </w:r>
      <w:r w:rsidRPr="00D0668C">
        <w:rPr>
          <w:rFonts w:ascii="Times New Roman" w:hAnsi="Times New Roman" w:cs="Times New Roman"/>
          <w:color w:val="000000" w:themeColor="text1"/>
          <w:sz w:val="24"/>
          <w:szCs w:val="24"/>
          <w:lang w:val="en-US"/>
        </w:rPr>
        <w:t xml:space="preserve"> Summary of cleanup events in which plastic debris was categorized using the catch analysis method</w:t>
      </w:r>
      <w:r w:rsidR="00065E70" w:rsidRPr="00D0668C">
        <w:rPr>
          <w:rFonts w:ascii="Times New Roman" w:hAnsi="Times New Roman" w:cs="Times New Roman"/>
          <w:color w:val="000000" w:themeColor="text1"/>
          <w:sz w:val="24"/>
          <w:szCs w:val="24"/>
          <w:lang w:val="en-US"/>
        </w:rPr>
        <w:t xml:space="preserve"> and the sourcing</w:t>
      </w:r>
      <w:r w:rsidR="0099683B" w:rsidRPr="00D0668C">
        <w:rPr>
          <w:rFonts w:ascii="Times New Roman" w:hAnsi="Times New Roman" w:cs="Times New Roman"/>
          <w:color w:val="000000" w:themeColor="text1"/>
          <w:sz w:val="24"/>
          <w:szCs w:val="24"/>
          <w:lang w:val="en-US"/>
        </w:rPr>
        <w:t xml:space="preserve"> of the debris</w:t>
      </w:r>
      <w:r w:rsidRPr="00D0668C">
        <w:rPr>
          <w:rFonts w:ascii="Times New Roman" w:hAnsi="Times New Roman" w:cs="Times New Roman"/>
          <w:color w:val="000000" w:themeColor="text1"/>
          <w:sz w:val="24"/>
          <w:szCs w:val="24"/>
          <w:lang w:val="en-US"/>
        </w:rPr>
        <w:t>. For each event, the table provides the date, total weight of debris extracted, the responsible organization, and the collection location.</w:t>
      </w:r>
    </w:p>
    <w:p w14:paraId="17387B96" w14:textId="77777777" w:rsidR="003359C5" w:rsidRPr="00D0668C" w:rsidRDefault="003359C5"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noProof/>
          <w:color w:val="000000" w:themeColor="text1"/>
          <w:sz w:val="24"/>
          <w:szCs w:val="24"/>
          <w:lang w:val="en-US"/>
        </w:rPr>
        <w:drawing>
          <wp:inline distT="0" distB="0" distL="0" distR="0" wp14:anchorId="00A764D1" wp14:editId="7D92E7C6">
            <wp:extent cx="5649781" cy="7776117"/>
            <wp:effectExtent l="0" t="0" r="1905" b="0"/>
            <wp:docPr id="125096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63057" name=""/>
                    <pic:cNvPicPr/>
                  </pic:nvPicPr>
                  <pic:blipFill>
                    <a:blip r:embed="rId6"/>
                    <a:stretch>
                      <a:fillRect/>
                    </a:stretch>
                  </pic:blipFill>
                  <pic:spPr>
                    <a:xfrm>
                      <a:off x="0" y="0"/>
                      <a:ext cx="5661413" cy="7792126"/>
                    </a:xfrm>
                    <a:prstGeom prst="rect">
                      <a:avLst/>
                    </a:prstGeom>
                  </pic:spPr>
                </pic:pic>
              </a:graphicData>
            </a:graphic>
          </wp:inline>
        </w:drawing>
      </w:r>
    </w:p>
    <w:p w14:paraId="2EAA7BCD" w14:textId="77777777" w:rsidR="008457F2" w:rsidRPr="00D0668C" w:rsidRDefault="008457F2" w:rsidP="00432CD1">
      <w:pPr>
        <w:jc w:val="both"/>
        <w:rPr>
          <w:rFonts w:ascii="Times New Roman" w:hAnsi="Times New Roman" w:cs="Times New Roman"/>
          <w:b/>
          <w:bCs/>
          <w:color w:val="000000" w:themeColor="text1"/>
          <w:sz w:val="24"/>
          <w:szCs w:val="24"/>
          <w:highlight w:val="yellow"/>
          <w:lang w:val="en-US"/>
        </w:rPr>
      </w:pPr>
    </w:p>
    <w:p w14:paraId="3400D13D" w14:textId="77777777" w:rsidR="008457F2" w:rsidRPr="00D0668C" w:rsidRDefault="008457F2" w:rsidP="00432CD1">
      <w:pPr>
        <w:jc w:val="both"/>
        <w:rPr>
          <w:rFonts w:ascii="Times New Roman" w:hAnsi="Times New Roman" w:cs="Times New Roman"/>
          <w:b/>
          <w:bCs/>
          <w:color w:val="000000" w:themeColor="text1"/>
          <w:sz w:val="24"/>
          <w:szCs w:val="24"/>
          <w:highlight w:val="yellow"/>
          <w:lang w:val="en-US"/>
        </w:rPr>
      </w:pPr>
    </w:p>
    <w:p w14:paraId="147E275D" w14:textId="77777777" w:rsidR="008457F2" w:rsidRPr="00D0668C" w:rsidRDefault="008457F2" w:rsidP="00432CD1">
      <w:pPr>
        <w:jc w:val="both"/>
        <w:rPr>
          <w:rFonts w:ascii="Times New Roman" w:hAnsi="Times New Roman" w:cs="Times New Roman"/>
          <w:b/>
          <w:bCs/>
          <w:color w:val="000000" w:themeColor="text1"/>
          <w:sz w:val="24"/>
          <w:szCs w:val="24"/>
          <w:highlight w:val="yellow"/>
          <w:lang w:val="en-US"/>
        </w:rPr>
      </w:pPr>
    </w:p>
    <w:p w14:paraId="10E73A05" w14:textId="3E809C37" w:rsidR="005A4F6D" w:rsidRPr="00D0668C" w:rsidRDefault="00FC3F53"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noProof/>
          <w:color w:val="000000" w:themeColor="text1"/>
          <w:sz w:val="24"/>
          <w:szCs w:val="24"/>
          <w:lang w:val="en-US"/>
        </w:rPr>
        <w:drawing>
          <wp:inline distT="0" distB="0" distL="0" distR="0" wp14:anchorId="0A1A169B" wp14:editId="4BCBB645">
            <wp:extent cx="5731510" cy="4404360"/>
            <wp:effectExtent l="0" t="0" r="0" b="2540"/>
            <wp:docPr id="943813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13085" name="Picture 94381308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404360"/>
                    </a:xfrm>
                    <a:prstGeom prst="rect">
                      <a:avLst/>
                    </a:prstGeom>
                  </pic:spPr>
                </pic:pic>
              </a:graphicData>
            </a:graphic>
          </wp:inline>
        </w:drawing>
      </w:r>
      <w:r w:rsidR="005A4F6D" w:rsidRPr="00D0668C">
        <w:rPr>
          <w:rFonts w:ascii="Times New Roman" w:hAnsi="Times New Roman" w:cs="Times New Roman"/>
          <w:b/>
          <w:bCs/>
          <w:color w:val="000000" w:themeColor="text1"/>
          <w:sz w:val="24"/>
          <w:szCs w:val="24"/>
          <w:lang w:val="en-US"/>
        </w:rPr>
        <w:t>Table S</w:t>
      </w:r>
      <w:r w:rsidR="006F2476" w:rsidRPr="00D0668C">
        <w:rPr>
          <w:rFonts w:ascii="Times New Roman" w:hAnsi="Times New Roman" w:cs="Times New Roman"/>
          <w:b/>
          <w:bCs/>
          <w:color w:val="000000" w:themeColor="text1"/>
          <w:sz w:val="24"/>
          <w:szCs w:val="24"/>
          <w:lang w:val="en-US"/>
        </w:rPr>
        <w:t>2</w:t>
      </w:r>
      <w:r w:rsidR="005A4F6D" w:rsidRPr="00D0668C">
        <w:rPr>
          <w:rFonts w:ascii="Times New Roman" w:hAnsi="Times New Roman" w:cs="Times New Roman"/>
          <w:b/>
          <w:bCs/>
          <w:color w:val="000000" w:themeColor="text1"/>
          <w:sz w:val="24"/>
          <w:szCs w:val="24"/>
          <w:lang w:val="en-US"/>
        </w:rPr>
        <w:t>:</w:t>
      </w:r>
      <w:r w:rsidR="005A4F6D" w:rsidRPr="00D0668C">
        <w:rPr>
          <w:rFonts w:ascii="Times New Roman" w:hAnsi="Times New Roman" w:cs="Times New Roman"/>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Example of the pre-defined categories from the </w:t>
      </w:r>
      <w:r w:rsidR="006A68CC" w:rsidRPr="00D0668C">
        <w:rPr>
          <w:rFonts w:ascii="Times New Roman" w:eastAsia="Times New Roman" w:hAnsi="Times New Roman" w:cs="Times New Roman"/>
          <w:color w:val="000000" w:themeColor="text1"/>
          <w:sz w:val="24"/>
          <w:szCs w:val="24"/>
          <w:lang w:val="en-US"/>
        </w:rPr>
        <w:t xml:space="preserve">112 predefined categories across nine different material types following the OSPAR Beach Litter Monitoring Guideline </w:t>
      </w:r>
      <w:r w:rsidR="006A68CC" w:rsidRPr="00D0668C">
        <w:rPr>
          <w:rFonts w:ascii="Times New Roman" w:eastAsia="Times New Roman" w:hAnsi="Times New Roman" w:cs="Times New Roman"/>
          <w:color w:val="000000" w:themeColor="text1"/>
          <w:sz w:val="24"/>
          <w:szCs w:val="24"/>
        </w:rPr>
        <w:fldChar w:fldCharType="begin" w:fldLock="1"/>
      </w:r>
      <w:r w:rsidR="006A68CC" w:rsidRPr="00D0668C">
        <w:rPr>
          <w:rFonts w:ascii="Times New Roman" w:eastAsia="Times New Roman" w:hAnsi="Times New Roman" w:cs="Times New Roman"/>
          <w:color w:val="000000" w:themeColor="text1"/>
          <w:sz w:val="24"/>
          <w:szCs w:val="24"/>
          <w:lang w:val="en-US"/>
        </w:rPr>
        <w:instrText>ADDIN CSL_CITATION {"citationItems":[{"id":"ITEM-1","itemData":{"ISBN":"ISBN 90-3631-973","abstract":"A guideline for monitoring marine litter on beaches has been developed by OSPAR as a tool to collect data on litter in the marine environment. This tool has been designed to generate data on marine litter according to a standardized methodology.","author":[{"dropping-particle":"","family":"OSPAR","given":"","non-dropping-particle":"","parse-names":false,"suffix":""}],"container-title":"OSPAR Commission","id":"ITEM-1","issued":{"date-parts":[["2010"]]},"page":"84","title":"Guideline for monitoring marine litter on the beachs in the OSPAR Maritime Area","type":"article-journal","volume":"1"},"uris":["http://www.mendeley.com/documents/?uuid=b7187202-0da2-4699-b6b7-4d5baf2cfa29"]}],"mendeley":{"formattedCitation":"(OSPAR, 2010)","plainTextFormattedCitation":"(OSPAR, 2010)","previouslyFormattedCitation":"(OSPAR, 2010)"},"properties":{"noteIndex":0},"schema":"https://github.com/citation-style-language/schema/raw/master/csl-citation.json"}</w:instrText>
      </w:r>
      <w:r w:rsidR="006A68CC" w:rsidRPr="00D0668C">
        <w:rPr>
          <w:rFonts w:ascii="Times New Roman" w:eastAsia="Times New Roman" w:hAnsi="Times New Roman" w:cs="Times New Roman"/>
          <w:color w:val="000000" w:themeColor="text1"/>
          <w:sz w:val="24"/>
          <w:szCs w:val="24"/>
        </w:rPr>
        <w:fldChar w:fldCharType="separate"/>
      </w:r>
      <w:r w:rsidR="006A68CC" w:rsidRPr="00D0668C">
        <w:rPr>
          <w:rFonts w:ascii="Times New Roman" w:eastAsia="Times New Roman" w:hAnsi="Times New Roman" w:cs="Times New Roman"/>
          <w:noProof/>
          <w:color w:val="000000" w:themeColor="text1"/>
          <w:sz w:val="24"/>
          <w:szCs w:val="24"/>
          <w:lang w:val="en-US"/>
        </w:rPr>
        <w:t>(OSPAR, 2010)</w:t>
      </w:r>
      <w:r w:rsidR="006A68CC" w:rsidRPr="00D0668C">
        <w:rPr>
          <w:rFonts w:ascii="Times New Roman" w:eastAsia="Times New Roman" w:hAnsi="Times New Roman" w:cs="Times New Roman"/>
          <w:color w:val="000000" w:themeColor="text1"/>
          <w:sz w:val="24"/>
          <w:szCs w:val="24"/>
        </w:rPr>
        <w:fldChar w:fldCharType="end"/>
      </w:r>
      <w:r w:rsidR="00CB4402" w:rsidRPr="00D0668C">
        <w:rPr>
          <w:rFonts w:ascii="Times New Roman" w:eastAsia="Times New Roman" w:hAnsi="Times New Roman" w:cs="Times New Roman"/>
          <w:color w:val="000000" w:themeColor="text1"/>
          <w:sz w:val="24"/>
          <w:szCs w:val="24"/>
        </w:rPr>
        <w:t xml:space="preserve">; </w:t>
      </w:r>
      <w:proofErr w:type="spellStart"/>
      <w:r w:rsidR="00CB4402" w:rsidRPr="00D0668C">
        <w:rPr>
          <w:rFonts w:ascii="Times New Roman" w:eastAsia="Times New Roman" w:hAnsi="Times New Roman" w:cs="Times New Roman"/>
          <w:color w:val="000000" w:themeColor="text1"/>
          <w:sz w:val="24"/>
          <w:szCs w:val="24"/>
        </w:rPr>
        <w:t>this</w:t>
      </w:r>
      <w:proofErr w:type="spellEnd"/>
      <w:r w:rsidR="00CB4402" w:rsidRPr="00D0668C">
        <w:rPr>
          <w:rFonts w:ascii="Times New Roman" w:eastAsia="Times New Roman" w:hAnsi="Times New Roman" w:cs="Times New Roman"/>
          <w:color w:val="000000" w:themeColor="text1"/>
          <w:sz w:val="24"/>
          <w:szCs w:val="24"/>
        </w:rPr>
        <w:t xml:space="preserve"> </w:t>
      </w:r>
      <w:proofErr w:type="spellStart"/>
      <w:r w:rsidR="00CB4402" w:rsidRPr="00D0668C">
        <w:rPr>
          <w:rFonts w:ascii="Times New Roman" w:eastAsia="Times New Roman" w:hAnsi="Times New Roman" w:cs="Times New Roman"/>
          <w:color w:val="000000" w:themeColor="text1"/>
          <w:sz w:val="24"/>
          <w:szCs w:val="24"/>
        </w:rPr>
        <w:t>classification</w:t>
      </w:r>
      <w:proofErr w:type="spellEnd"/>
      <w:r w:rsidR="00CB4402" w:rsidRPr="00D0668C">
        <w:rPr>
          <w:rFonts w:ascii="Times New Roman" w:eastAsia="Times New Roman" w:hAnsi="Times New Roman" w:cs="Times New Roman"/>
          <w:color w:val="000000" w:themeColor="text1"/>
          <w:sz w:val="24"/>
          <w:szCs w:val="24"/>
        </w:rPr>
        <w:t xml:space="preserve"> </w:t>
      </w:r>
      <w:proofErr w:type="spellStart"/>
      <w:r w:rsidR="00CB4402" w:rsidRPr="00D0668C">
        <w:rPr>
          <w:rFonts w:ascii="Times New Roman" w:eastAsia="Times New Roman" w:hAnsi="Times New Roman" w:cs="Times New Roman"/>
          <w:color w:val="000000" w:themeColor="text1"/>
          <w:sz w:val="24"/>
          <w:szCs w:val="24"/>
        </w:rPr>
        <w:t>framework</w:t>
      </w:r>
      <w:proofErr w:type="spellEnd"/>
      <w:r w:rsidR="00CB4402" w:rsidRPr="00D0668C">
        <w:rPr>
          <w:rFonts w:ascii="Times New Roman" w:eastAsia="Times New Roman" w:hAnsi="Times New Roman" w:cs="Times New Roman"/>
          <w:color w:val="000000" w:themeColor="text1"/>
          <w:sz w:val="24"/>
          <w:szCs w:val="24"/>
        </w:rPr>
        <w:t xml:space="preserve"> was first </w:t>
      </w:r>
      <w:proofErr w:type="spellStart"/>
      <w:r w:rsidR="00CB4402" w:rsidRPr="00D0668C">
        <w:rPr>
          <w:rFonts w:ascii="Times New Roman" w:eastAsia="Times New Roman" w:hAnsi="Times New Roman" w:cs="Times New Roman"/>
          <w:color w:val="000000" w:themeColor="text1"/>
          <w:sz w:val="24"/>
          <w:szCs w:val="24"/>
        </w:rPr>
        <w:t>applied</w:t>
      </w:r>
      <w:proofErr w:type="spellEnd"/>
      <w:r w:rsidR="00CB4402" w:rsidRPr="00D0668C">
        <w:rPr>
          <w:rFonts w:ascii="Times New Roman" w:eastAsia="Times New Roman" w:hAnsi="Times New Roman" w:cs="Times New Roman"/>
          <w:color w:val="000000" w:themeColor="text1"/>
          <w:sz w:val="24"/>
          <w:szCs w:val="24"/>
        </w:rPr>
        <w:t xml:space="preserve"> </w:t>
      </w:r>
      <w:proofErr w:type="spellStart"/>
      <w:r w:rsidR="00CB4402" w:rsidRPr="00D0668C">
        <w:rPr>
          <w:rFonts w:ascii="Times New Roman" w:eastAsia="Times New Roman" w:hAnsi="Times New Roman" w:cs="Times New Roman"/>
          <w:color w:val="000000" w:themeColor="text1"/>
          <w:sz w:val="24"/>
          <w:szCs w:val="24"/>
        </w:rPr>
        <w:t>to</w:t>
      </w:r>
      <w:proofErr w:type="spellEnd"/>
      <w:r w:rsidR="00CB4402" w:rsidRPr="00D0668C">
        <w:rPr>
          <w:rFonts w:ascii="Times New Roman" w:eastAsia="Times New Roman" w:hAnsi="Times New Roman" w:cs="Times New Roman"/>
          <w:color w:val="000000" w:themeColor="text1"/>
          <w:sz w:val="24"/>
          <w:szCs w:val="24"/>
        </w:rPr>
        <w:t xml:space="preserve"> North Pacific offshore </w:t>
      </w:r>
      <w:proofErr w:type="spellStart"/>
      <w:r w:rsidR="00CB4402" w:rsidRPr="00D0668C">
        <w:rPr>
          <w:rFonts w:ascii="Times New Roman" w:eastAsia="Times New Roman" w:hAnsi="Times New Roman" w:cs="Times New Roman"/>
          <w:color w:val="000000" w:themeColor="text1"/>
          <w:sz w:val="24"/>
          <w:szCs w:val="24"/>
        </w:rPr>
        <w:t>debris</w:t>
      </w:r>
      <w:proofErr w:type="spellEnd"/>
      <w:r w:rsidR="00CB4402" w:rsidRPr="00D0668C">
        <w:rPr>
          <w:rFonts w:ascii="Times New Roman" w:eastAsia="Times New Roman" w:hAnsi="Times New Roman" w:cs="Times New Roman"/>
          <w:color w:val="000000" w:themeColor="text1"/>
          <w:sz w:val="24"/>
          <w:szCs w:val="24"/>
        </w:rPr>
        <w:t xml:space="preserve"> in </w:t>
      </w:r>
      <w:proofErr w:type="spellStart"/>
      <w:r w:rsidR="00CB4402" w:rsidRPr="00D0668C">
        <w:rPr>
          <w:rFonts w:ascii="Times New Roman" w:eastAsia="Times New Roman" w:hAnsi="Times New Roman" w:cs="Times New Roman"/>
          <w:color w:val="000000" w:themeColor="text1"/>
          <w:sz w:val="24"/>
          <w:szCs w:val="24"/>
        </w:rPr>
        <w:t>Lebreton</w:t>
      </w:r>
      <w:proofErr w:type="spellEnd"/>
      <w:r w:rsidR="00CB4402" w:rsidRPr="00D0668C">
        <w:rPr>
          <w:rFonts w:ascii="Times New Roman" w:eastAsia="Times New Roman" w:hAnsi="Times New Roman" w:cs="Times New Roman"/>
          <w:color w:val="000000" w:themeColor="text1"/>
          <w:sz w:val="24"/>
          <w:szCs w:val="24"/>
        </w:rPr>
        <w:t xml:space="preserve"> et al. (2022).</w:t>
      </w:r>
      <w:r w:rsidR="00325D62" w:rsidRPr="00D0668C">
        <w:rPr>
          <w:rFonts w:ascii="Times New Roman" w:hAnsi="Times New Roman" w:cs="Times New Roman"/>
          <w:color w:val="000000" w:themeColor="text1"/>
          <w:sz w:val="24"/>
          <w:szCs w:val="24"/>
          <w:lang w:val="en-US"/>
        </w:rPr>
        <w:t xml:space="preserve"> The complete list of categories is provided in the supplementary information. </w:t>
      </w:r>
    </w:p>
    <w:p w14:paraId="2C3A4BBE" w14:textId="77777777" w:rsidR="00F44126" w:rsidRDefault="00F44126">
      <w:pPr>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br w:type="page"/>
      </w:r>
    </w:p>
    <w:p w14:paraId="78D083C2" w14:textId="66F5C5D7" w:rsidR="003510AF" w:rsidRPr="00D0668C" w:rsidRDefault="00F44126" w:rsidP="00432CD1">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color w:val="000000" w:themeColor="text1"/>
          <w:sz w:val="24"/>
          <w:szCs w:val="24"/>
          <w:lang w:val="en-US"/>
        </w:rPr>
        <w:lastRenderedPageBreak/>
        <w:t>Table S3:</w:t>
      </w:r>
      <w:r w:rsidRPr="00D0668C">
        <w:rPr>
          <w:rFonts w:ascii="Times New Roman" w:hAnsi="Times New Roman" w:cs="Times New Roman"/>
          <w:color w:val="000000" w:themeColor="text1"/>
          <w:sz w:val="24"/>
          <w:szCs w:val="24"/>
          <w:lang w:val="en-US"/>
        </w:rPr>
        <w:t xml:space="preserve"> </w:t>
      </w:r>
      <w:r w:rsidRPr="005E64D2">
        <w:rPr>
          <w:rFonts w:ascii="Times New Roman" w:hAnsi="Times New Roman" w:cs="Times New Roman"/>
          <w:color w:val="000000" w:themeColor="text1"/>
          <w:sz w:val="24"/>
          <w:szCs w:val="24"/>
          <w:lang w:val="en-US"/>
        </w:rPr>
        <w:t xml:space="preserve">Overview of fishing gear experts consulted during the physical and morphological net assessment. A total of 17 experts and expert pairs were consulted across Indonesia, Japan, the Netherlands, Taiwan, New Zealand, the United States, Vietnam, and the Micronesia region. Expert names have been removed and institutional affiliations replaced with broad category descriptors to preserve anonymity. The number of discussions reflects the number of separate consultation sessions conducted with each expert or expert group. Key information retained </w:t>
      </w:r>
      <w:proofErr w:type="spellStart"/>
      <w:r w:rsidRPr="005E64D2">
        <w:rPr>
          <w:rFonts w:ascii="Times New Roman" w:hAnsi="Times New Roman" w:cs="Times New Roman"/>
          <w:color w:val="000000" w:themeColor="text1"/>
          <w:sz w:val="24"/>
          <w:szCs w:val="24"/>
          <w:lang w:val="en-US"/>
        </w:rPr>
        <w:t>summarises</w:t>
      </w:r>
      <w:proofErr w:type="spellEnd"/>
      <w:r w:rsidRPr="005E64D2">
        <w:rPr>
          <w:rFonts w:ascii="Times New Roman" w:hAnsi="Times New Roman" w:cs="Times New Roman"/>
          <w:color w:val="000000" w:themeColor="text1"/>
          <w:sz w:val="24"/>
          <w:szCs w:val="24"/>
          <w:lang w:val="en-US"/>
        </w:rPr>
        <w:t xml:space="preserve"> the principal findings and conclusions drawn from each consultation as they relate to gear type identification, fleet attribution, and discard pathway assessment.</w:t>
      </w:r>
    </w:p>
    <w:p w14:paraId="6189307A" w14:textId="4E452E66" w:rsidR="00180AFF" w:rsidRDefault="00180AFF" w:rsidP="00432CD1">
      <w:pPr>
        <w:jc w:val="both"/>
        <w:rPr>
          <w:rFonts w:ascii="Times New Roman" w:hAnsi="Times New Roman" w:cs="Times New Roman"/>
          <w:b/>
          <w:bCs/>
          <w:color w:val="000000" w:themeColor="text1"/>
          <w:sz w:val="24"/>
          <w:szCs w:val="24"/>
          <w:lang w:val="en-US"/>
        </w:rPr>
      </w:pP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80"/>
        <w:gridCol w:w="1480"/>
        <w:gridCol w:w="1360"/>
        <w:gridCol w:w="1607"/>
        <w:gridCol w:w="4296"/>
      </w:tblGrid>
      <w:tr w:rsidR="005708AC" w14:paraId="35376BB7" w14:textId="77777777" w:rsidTr="0028501A">
        <w:trPr>
          <w:trHeight w:val="743"/>
          <w:tblHeader/>
        </w:trPr>
        <w:tc>
          <w:tcPr>
            <w:tcW w:w="14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14:paraId="4C38439B" w14:textId="77777777" w:rsidR="005708AC" w:rsidRDefault="005708AC" w:rsidP="00E42075">
            <w:pPr>
              <w:jc w:val="center"/>
            </w:pPr>
            <w:r>
              <w:rPr>
                <w:rFonts w:ascii="Times New Roman" w:eastAsia="Times New Roman" w:hAnsi="Times New Roman" w:cs="Times New Roman"/>
                <w:b/>
                <w:bCs/>
                <w:sz w:val="24"/>
                <w:szCs w:val="24"/>
              </w:rPr>
              <w:t>Expert descriptor</w:t>
            </w:r>
          </w:p>
        </w:tc>
        <w:tc>
          <w:tcPr>
            <w:tcW w:w="1467"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14:paraId="2586636F" w14:textId="77777777" w:rsidR="005708AC" w:rsidRDefault="005708AC" w:rsidP="00E42075">
            <w:pPr>
              <w:jc w:val="center"/>
            </w:pPr>
            <w:proofErr w:type="spellStart"/>
            <w:r>
              <w:rPr>
                <w:rFonts w:ascii="Times New Roman" w:eastAsia="Times New Roman" w:hAnsi="Times New Roman" w:cs="Times New Roman"/>
                <w:b/>
                <w:bCs/>
                <w:sz w:val="24"/>
                <w:szCs w:val="24"/>
              </w:rPr>
              <w:t>Affiliation</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category</w:t>
            </w:r>
            <w:proofErr w:type="spellEnd"/>
          </w:p>
        </w:tc>
        <w:tc>
          <w:tcPr>
            <w:tcW w:w="1354"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14:paraId="2FA14FCC" w14:textId="77777777" w:rsidR="005708AC" w:rsidRDefault="005708AC" w:rsidP="00E42075">
            <w:pPr>
              <w:jc w:val="center"/>
            </w:pPr>
            <w:r>
              <w:rPr>
                <w:rFonts w:ascii="Times New Roman" w:eastAsia="Times New Roman" w:hAnsi="Times New Roman" w:cs="Times New Roman"/>
                <w:b/>
                <w:bCs/>
                <w:sz w:val="24"/>
                <w:szCs w:val="24"/>
              </w:rPr>
              <w:t>Country</w:t>
            </w:r>
          </w:p>
        </w:tc>
        <w:tc>
          <w:tcPr>
            <w:tcW w:w="161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14:paraId="5A7F20F8" w14:textId="77777777" w:rsidR="005708AC" w:rsidRDefault="005708AC" w:rsidP="00E42075">
            <w:pPr>
              <w:jc w:val="center"/>
            </w:pPr>
            <w:proofErr w:type="spellStart"/>
            <w:r>
              <w:rPr>
                <w:rFonts w:ascii="Times New Roman" w:eastAsia="Times New Roman" w:hAnsi="Times New Roman" w:cs="Times New Roman"/>
                <w:b/>
                <w:bCs/>
                <w:sz w:val="24"/>
                <w:szCs w:val="24"/>
              </w:rPr>
              <w:t>Number</w:t>
            </w:r>
            <w:proofErr w:type="spellEnd"/>
            <w:r>
              <w:rPr>
                <w:rFonts w:ascii="Times New Roman" w:eastAsia="Times New Roman" w:hAnsi="Times New Roman" w:cs="Times New Roman"/>
                <w:b/>
                <w:bCs/>
                <w:sz w:val="24"/>
                <w:szCs w:val="24"/>
              </w:rPr>
              <w:t xml:space="preserve"> of </w:t>
            </w:r>
            <w:proofErr w:type="spellStart"/>
            <w:r>
              <w:rPr>
                <w:rFonts w:ascii="Times New Roman" w:eastAsia="Times New Roman" w:hAnsi="Times New Roman" w:cs="Times New Roman"/>
                <w:b/>
                <w:bCs/>
                <w:sz w:val="24"/>
                <w:szCs w:val="24"/>
              </w:rPr>
              <w:t>Discussions</w:t>
            </w:r>
            <w:proofErr w:type="spellEnd"/>
          </w:p>
        </w:tc>
        <w:tc>
          <w:tcPr>
            <w:tcW w:w="4325"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vAlign w:val="center"/>
          </w:tcPr>
          <w:p w14:paraId="5A20BE75" w14:textId="77777777" w:rsidR="005708AC" w:rsidRDefault="005708AC" w:rsidP="00E42075">
            <w:pPr>
              <w:jc w:val="center"/>
            </w:pPr>
            <w:proofErr w:type="spellStart"/>
            <w:r>
              <w:rPr>
                <w:rFonts w:ascii="Times New Roman" w:eastAsia="Times New Roman" w:hAnsi="Times New Roman" w:cs="Times New Roman"/>
                <w:b/>
                <w:bCs/>
                <w:sz w:val="24"/>
                <w:szCs w:val="24"/>
              </w:rPr>
              <w:t>Key</w:t>
            </w:r>
            <w:proofErr w:type="spellEnd"/>
            <w:r>
              <w:rPr>
                <w:rFonts w:ascii="Times New Roman" w:eastAsia="Times New Roman" w:hAnsi="Times New Roman" w:cs="Times New Roman"/>
                <w:b/>
                <w:bCs/>
                <w:sz w:val="24"/>
                <w:szCs w:val="24"/>
              </w:rPr>
              <w:t xml:space="preserve"> Information </w:t>
            </w:r>
            <w:proofErr w:type="spellStart"/>
            <w:r>
              <w:rPr>
                <w:rFonts w:ascii="Times New Roman" w:eastAsia="Times New Roman" w:hAnsi="Times New Roman" w:cs="Times New Roman"/>
                <w:b/>
                <w:bCs/>
                <w:sz w:val="24"/>
                <w:szCs w:val="24"/>
              </w:rPr>
              <w:t>Retained</w:t>
            </w:r>
            <w:proofErr w:type="spellEnd"/>
          </w:p>
        </w:tc>
      </w:tr>
      <w:tr w:rsidR="005708AC" w14:paraId="49A7E9AE" w14:textId="77777777" w:rsidTr="0028501A">
        <w:trPr>
          <w:trHeight w:val="1627"/>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2C23D3" w14:textId="77777777" w:rsidR="005708AC" w:rsidRDefault="005708AC" w:rsidP="00E42075">
            <w:r>
              <w:rPr>
                <w:rFonts w:ascii="Times New Roman" w:eastAsia="Times New Roman" w:hAnsi="Times New Roman" w:cs="Times New Roman"/>
                <w:sz w:val="24"/>
                <w:szCs w:val="24"/>
              </w:rPr>
              <w:t>University researcher</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A670F0B" w14:textId="77777777" w:rsidR="005708AC" w:rsidRDefault="005708AC" w:rsidP="00E42075">
            <w:r>
              <w:rPr>
                <w:rFonts w:ascii="Times New Roman" w:eastAsia="Times New Roman" w:hAnsi="Times New Roman" w:cs="Times New Roman"/>
                <w:sz w:val="24"/>
                <w:szCs w:val="24"/>
              </w:rPr>
              <w:t>University</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EB91E71" w14:textId="77777777" w:rsidR="005708AC" w:rsidRDefault="005708AC" w:rsidP="00E42075">
            <w:r>
              <w:rPr>
                <w:rFonts w:ascii="Times New Roman" w:eastAsia="Times New Roman" w:hAnsi="Times New Roman" w:cs="Times New Roman"/>
                <w:sz w:val="24"/>
                <w:szCs w:val="24"/>
              </w:rPr>
              <w:t>Indonesia</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ED1C238"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14D122" w14:textId="77777777" w:rsidR="005708AC" w:rsidRDefault="005708AC" w:rsidP="00E42075">
            <w:proofErr w:type="spellStart"/>
            <w:r>
              <w:rPr>
                <w:rFonts w:ascii="Times New Roman" w:eastAsia="Times New Roman" w:hAnsi="Times New Roman" w:cs="Times New Roman"/>
                <w:sz w:val="24"/>
                <w:szCs w:val="24"/>
              </w:rPr>
              <w:t>Confirmed</w:t>
            </w:r>
            <w:proofErr w:type="spellEnd"/>
            <w:r>
              <w:rPr>
                <w:rFonts w:ascii="Times New Roman" w:eastAsia="Times New Roman" w:hAnsi="Times New Roman" w:cs="Times New Roman"/>
                <w:sz w:val="24"/>
                <w:szCs w:val="24"/>
              </w:rPr>
              <w:t xml:space="preserve"> multinational </w:t>
            </w:r>
            <w:proofErr w:type="spellStart"/>
            <w:r>
              <w:rPr>
                <w:rFonts w:ascii="Times New Roman" w:eastAsia="Times New Roman" w:hAnsi="Times New Roman" w:cs="Times New Roman"/>
                <w:sz w:val="24"/>
                <w:szCs w:val="24"/>
              </w:rPr>
              <w:t>fishing</w:t>
            </w:r>
            <w:proofErr w:type="spellEnd"/>
            <w:r>
              <w:rPr>
                <w:rFonts w:ascii="Times New Roman" w:eastAsia="Times New Roman" w:hAnsi="Times New Roman" w:cs="Times New Roman"/>
                <w:sz w:val="24"/>
                <w:szCs w:val="24"/>
              </w:rPr>
              <w:t xml:space="preserve"> effort; </w:t>
            </w:r>
            <w:proofErr w:type="spellStart"/>
            <w:r>
              <w:rPr>
                <w:rFonts w:ascii="Times New Roman" w:eastAsia="Times New Roman" w:hAnsi="Times New Roman" w:cs="Times New Roman"/>
                <w:sz w:val="24"/>
                <w:szCs w:val="24"/>
              </w:rPr>
              <w:t>similar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across</w:t>
            </w:r>
            <w:proofErr w:type="spellEnd"/>
            <w:r>
              <w:rPr>
                <w:rFonts w:ascii="Times New Roman" w:eastAsia="Times New Roman" w:hAnsi="Times New Roman" w:cs="Times New Roman"/>
                <w:sz w:val="24"/>
                <w:szCs w:val="24"/>
              </w:rPr>
              <w:t xml:space="preserve"> Taiwan, China, Indonesia, Japan, Philippines. Supports </w:t>
            </w:r>
            <w:proofErr w:type="spellStart"/>
            <w:r>
              <w:rPr>
                <w:rFonts w:ascii="Times New Roman" w:eastAsia="Times New Roman" w:hAnsi="Times New Roman" w:cs="Times New Roman"/>
                <w:sz w:val="24"/>
                <w:szCs w:val="24"/>
              </w:rPr>
              <w:t>conclusion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cannot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 single </w:t>
            </w:r>
            <w:proofErr w:type="spellStart"/>
            <w:r>
              <w:rPr>
                <w:rFonts w:ascii="Times New Roman" w:eastAsia="Times New Roman" w:hAnsi="Times New Roman" w:cs="Times New Roman"/>
                <w:sz w:val="24"/>
                <w:szCs w:val="24"/>
              </w:rPr>
              <w:t>fleet</w:t>
            </w:r>
            <w:proofErr w:type="spellEnd"/>
            <w:r>
              <w:rPr>
                <w:rFonts w:ascii="Times New Roman" w:eastAsia="Times New Roman" w:hAnsi="Times New Roman" w:cs="Times New Roman"/>
                <w:sz w:val="24"/>
                <w:szCs w:val="24"/>
              </w:rPr>
              <w:t>.</w:t>
            </w:r>
          </w:p>
        </w:tc>
      </w:tr>
      <w:tr w:rsidR="005708AC" w14:paraId="12609987" w14:textId="77777777" w:rsidTr="0028501A">
        <w:trPr>
          <w:trHeight w:val="104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BC9A5E"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r>
              <w:rPr>
                <w:rFonts w:ascii="Times New Roman" w:eastAsia="Times New Roman" w:hAnsi="Times New Roman" w:cs="Times New Roman"/>
                <w:sz w:val="24"/>
                <w:szCs w:val="24"/>
              </w:rPr>
              <w:t xml:space="preserve"> experts (×2)</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37AE00A"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BF1BBF1"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3C4045D"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E82859" w14:textId="77777777" w:rsidR="005708AC" w:rsidRDefault="005708AC" w:rsidP="00E42075">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PE </w:t>
            </w:r>
            <w:proofErr w:type="spellStart"/>
            <w:r>
              <w:rPr>
                <w:rFonts w:ascii="Times New Roman" w:eastAsia="Times New Roman" w:hAnsi="Times New Roman" w:cs="Times New Roman"/>
                <w:sz w:val="24"/>
                <w:szCs w:val="24"/>
              </w:rPr>
              <w:t>twined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netting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typical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w:t>
            </w:r>
            <w:proofErr w:type="spellEnd"/>
            <w:r>
              <w:rPr>
                <w:rFonts w:ascii="Times New Roman" w:eastAsia="Times New Roman" w:hAnsi="Times New Roman" w:cs="Times New Roman"/>
                <w:sz w:val="24"/>
                <w:szCs w:val="24"/>
              </w:rPr>
              <w:t xml:space="preserve"> China, India, SE </w:t>
            </w:r>
            <w:proofErr w:type="spellStart"/>
            <w:r>
              <w:rPr>
                <w:rFonts w:ascii="Times New Roman" w:eastAsia="Times New Roman" w:hAnsi="Times New Roman" w:cs="Times New Roman"/>
                <w:sz w:val="24"/>
                <w:szCs w:val="24"/>
              </w:rPr>
              <w:t>Asia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knotless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construction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possibly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Japanese</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Peruvian</w:t>
            </w:r>
            <w:proofErr w:type="spellEnd"/>
            <w:r>
              <w:rPr>
                <w:rFonts w:ascii="Times New Roman" w:eastAsia="Times New Roman" w:hAnsi="Times New Roman" w:cs="Times New Roman"/>
                <w:sz w:val="24"/>
                <w:szCs w:val="24"/>
              </w:rPr>
              <w:t>.</w:t>
            </w:r>
          </w:p>
        </w:tc>
      </w:tr>
      <w:tr w:rsidR="005708AC" w14:paraId="279DC55F" w14:textId="77777777" w:rsidTr="0028501A">
        <w:trPr>
          <w:trHeight w:val="1034"/>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EEE968E" w14:textId="77777777" w:rsidR="005708AC" w:rsidRDefault="005708AC" w:rsidP="00E42075">
            <w:r>
              <w:rPr>
                <w:rFonts w:ascii="Times New Roman" w:eastAsia="Times New Roman" w:hAnsi="Times New Roman" w:cs="Times New Roman"/>
                <w:sz w:val="24"/>
                <w:szCs w:val="24"/>
              </w:rPr>
              <w:t>University researcher</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127624" w14:textId="77777777" w:rsidR="005708AC" w:rsidRDefault="005708AC" w:rsidP="00E42075">
            <w:r>
              <w:rPr>
                <w:rFonts w:ascii="Times New Roman" w:eastAsia="Times New Roman" w:hAnsi="Times New Roman" w:cs="Times New Roman"/>
                <w:sz w:val="24"/>
                <w:szCs w:val="24"/>
              </w:rPr>
              <w:t>University</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94B1187" w14:textId="77777777" w:rsidR="005708AC" w:rsidRDefault="005708AC" w:rsidP="00E42075">
            <w:r>
              <w:rPr>
                <w:rFonts w:ascii="Times New Roman" w:eastAsia="Times New Roman" w:hAnsi="Times New Roman" w:cs="Times New Roman"/>
                <w:sz w:val="24"/>
                <w:szCs w:val="24"/>
              </w:rPr>
              <w:t>Japan</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FEC48B4"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6ADE102" w14:textId="77777777" w:rsidR="005708AC" w:rsidRDefault="005708AC" w:rsidP="00E42075">
            <w:proofErr w:type="spellStart"/>
            <w:r>
              <w:rPr>
                <w:rFonts w:ascii="Times New Roman" w:eastAsia="Times New Roman" w:hAnsi="Times New Roman" w:cs="Times New Roman"/>
                <w:sz w:val="24"/>
                <w:szCs w:val="24"/>
              </w:rPr>
              <w:t>Confirmed</w:t>
            </w:r>
            <w:proofErr w:type="spellEnd"/>
            <w:r>
              <w:rPr>
                <w:rFonts w:ascii="Times New Roman" w:eastAsia="Times New Roman" w:hAnsi="Times New Roman" w:cs="Times New Roman"/>
                <w:sz w:val="24"/>
                <w:szCs w:val="24"/>
              </w:rPr>
              <w:t xml:space="preserve"> nets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across</w:t>
            </w:r>
            <w:proofErr w:type="spellEnd"/>
            <w:r>
              <w:rPr>
                <w:rFonts w:ascii="Times New Roman" w:eastAsia="Times New Roman" w:hAnsi="Times New Roman" w:cs="Times New Roman"/>
                <w:sz w:val="24"/>
                <w:szCs w:val="24"/>
              </w:rPr>
              <w:t xml:space="preserve"> Japan, Korea, Taiwan; </w:t>
            </w:r>
            <w:proofErr w:type="spellStart"/>
            <w:r>
              <w:rPr>
                <w:rFonts w:ascii="Times New Roman" w:eastAsia="Times New Roman" w:hAnsi="Times New Roman" w:cs="Times New Roman"/>
                <w:sz w:val="24"/>
                <w:szCs w:val="24"/>
              </w:rPr>
              <w:t>difficult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identify</w:t>
            </w:r>
            <w:proofErr w:type="spellEnd"/>
            <w:r>
              <w:rPr>
                <w:rFonts w:ascii="Times New Roman" w:eastAsia="Times New Roman" w:hAnsi="Times New Roman" w:cs="Times New Roman"/>
                <w:sz w:val="24"/>
                <w:szCs w:val="24"/>
              </w:rPr>
              <w:t xml:space="preserve"> user </w:t>
            </w:r>
            <w:proofErr w:type="spellStart"/>
            <w:r>
              <w:rPr>
                <w:rFonts w:ascii="Times New Roman" w:eastAsia="Times New Roman" w:hAnsi="Times New Roman" w:cs="Times New Roman"/>
                <w:sz w:val="24"/>
                <w:szCs w:val="24"/>
              </w:rPr>
              <w:t>fleet</w:t>
            </w:r>
            <w:proofErr w:type="spellEnd"/>
            <w:r>
              <w:rPr>
                <w:rFonts w:ascii="Times New Roman" w:eastAsia="Times New Roman" w:hAnsi="Times New Roman" w:cs="Times New Roman"/>
                <w:sz w:val="24"/>
                <w:szCs w:val="24"/>
              </w:rPr>
              <w:t xml:space="preserve"> → supports </w:t>
            </w: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convergence</w:t>
            </w:r>
            <w:proofErr w:type="spellEnd"/>
            <w:r>
              <w:rPr>
                <w:rFonts w:ascii="Times New Roman" w:eastAsia="Times New Roman" w:hAnsi="Times New Roman" w:cs="Times New Roman"/>
                <w:sz w:val="24"/>
                <w:szCs w:val="24"/>
              </w:rPr>
              <w:t>.</w:t>
            </w:r>
          </w:p>
        </w:tc>
      </w:tr>
      <w:tr w:rsidR="005708AC" w14:paraId="57CE9329" w14:textId="77777777" w:rsidTr="0028501A">
        <w:trPr>
          <w:trHeight w:val="755"/>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AA99777" w14:textId="77777777" w:rsidR="005708AC" w:rsidRDefault="005708AC" w:rsidP="00E42075">
            <w:r>
              <w:rPr>
                <w:rFonts w:ascii="Times New Roman" w:eastAsia="Times New Roman" w:hAnsi="Times New Roman" w:cs="Times New Roman"/>
                <w:sz w:val="24"/>
                <w:szCs w:val="24"/>
              </w:rPr>
              <w:t xml:space="preserve">Trawl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specialist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72494CA" w14:textId="77777777" w:rsidR="005708AC" w:rsidRDefault="005708AC" w:rsidP="00E42075">
            <w:proofErr w:type="spellStart"/>
            <w:r>
              <w:rPr>
                <w:rFonts w:ascii="Times New Roman" w:eastAsia="Times New Roman" w:hAnsi="Times New Roman" w:cs="Times New Roman"/>
                <w:sz w:val="24"/>
                <w:szCs w:val="24"/>
              </w:rPr>
              <w:t>Fishery</w:t>
            </w:r>
            <w:proofErr w:type="spellEnd"/>
            <w:r>
              <w:rPr>
                <w:rFonts w:ascii="Times New Roman" w:eastAsia="Times New Roman" w:hAnsi="Times New Roman" w:cs="Times New Roman"/>
                <w:sz w:val="24"/>
                <w:szCs w:val="24"/>
              </w:rPr>
              <w:t xml:space="preserve"> sector expert</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16CB3B8" w14:textId="77777777" w:rsidR="005708AC" w:rsidRDefault="005708AC" w:rsidP="00E42075">
            <w:r>
              <w:rPr>
                <w:rFonts w:ascii="Times New Roman" w:eastAsia="Times New Roman" w:hAnsi="Times New Roman" w:cs="Times New Roman"/>
                <w:sz w:val="24"/>
                <w:szCs w:val="24"/>
              </w:rPr>
              <w:t>USA (West Coast)</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237655F" w14:textId="77777777" w:rsidR="005708AC" w:rsidRDefault="005708AC" w:rsidP="00E42075">
            <w:pPr>
              <w:jc w:val="center"/>
            </w:pPr>
            <w:r>
              <w:rPr>
                <w:rFonts w:ascii="Times New Roman" w:eastAsia="Times New Roman" w:hAnsi="Times New Roman" w:cs="Times New Roman"/>
                <w:sz w:val="24"/>
                <w:szCs w:val="24"/>
              </w:rPr>
              <w:t>2</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238CAF4" w14:textId="77777777" w:rsidR="005708AC" w:rsidRDefault="005708AC" w:rsidP="00E42075">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nets as trawl </w:t>
            </w:r>
            <w:proofErr w:type="spellStart"/>
            <w:r>
              <w:rPr>
                <w:rFonts w:ascii="Times New Roman" w:eastAsia="Times New Roman" w:hAnsi="Times New Roman" w:cs="Times New Roman"/>
                <w:sz w:val="24"/>
                <w:szCs w:val="24"/>
              </w:rPr>
              <w:t>netting</w:t>
            </w:r>
            <w:proofErr w:type="spellEnd"/>
            <w:r>
              <w:rPr>
                <w:rFonts w:ascii="Times New Roman" w:eastAsia="Times New Roman" w:hAnsi="Times New Roman" w:cs="Times New Roman"/>
                <w:sz w:val="24"/>
                <w:szCs w:val="24"/>
              </w:rPr>
              <w:t xml:space="preserve">; cut-out </w:t>
            </w:r>
            <w:proofErr w:type="spellStart"/>
            <w:r>
              <w:rPr>
                <w:rFonts w:ascii="Times New Roman" w:eastAsia="Times New Roman" w:hAnsi="Times New Roman" w:cs="Times New Roman"/>
                <w:sz w:val="24"/>
                <w:szCs w:val="24"/>
              </w:rPr>
              <w:t>repair</w:t>
            </w:r>
            <w:proofErr w:type="spellEnd"/>
            <w:r>
              <w:rPr>
                <w:rFonts w:ascii="Times New Roman" w:eastAsia="Times New Roman" w:hAnsi="Times New Roman" w:cs="Times New Roman"/>
                <w:sz w:val="24"/>
                <w:szCs w:val="24"/>
              </w:rPr>
              <w:t xml:space="preserve"> waste; </w:t>
            </w:r>
            <w:proofErr w:type="spellStart"/>
            <w:r>
              <w:rPr>
                <w:rFonts w:ascii="Times New Roman" w:eastAsia="Times New Roman" w:hAnsi="Times New Roman" w:cs="Times New Roman"/>
                <w:sz w:val="24"/>
                <w:szCs w:val="24"/>
              </w:rPr>
              <w:t>explained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bottom</w:t>
            </w:r>
            <w:proofErr w:type="spellEnd"/>
            <w:r>
              <w:rPr>
                <w:rFonts w:ascii="Times New Roman" w:eastAsia="Times New Roman" w:hAnsi="Times New Roman" w:cs="Times New Roman"/>
                <w:sz w:val="24"/>
                <w:szCs w:val="24"/>
              </w:rPr>
              <w:t xml:space="preserve"> trawl </w:t>
            </w:r>
            <w:proofErr w:type="spellStart"/>
            <w:r>
              <w:rPr>
                <w:rFonts w:ascii="Times New Roman" w:eastAsia="Times New Roman" w:hAnsi="Times New Roman" w:cs="Times New Roman"/>
                <w:sz w:val="24"/>
                <w:szCs w:val="24"/>
              </w:rPr>
              <w:t>practices</w:t>
            </w:r>
            <w:proofErr w:type="spellEnd"/>
            <w:r>
              <w:rPr>
                <w:rFonts w:ascii="Times New Roman" w:eastAsia="Times New Roman" w:hAnsi="Times New Roman" w:cs="Times New Roman"/>
                <w:sz w:val="24"/>
                <w:szCs w:val="24"/>
              </w:rPr>
              <w:t>.</w:t>
            </w:r>
          </w:p>
        </w:tc>
      </w:tr>
      <w:tr w:rsidR="005708AC" w14:paraId="2AF00062" w14:textId="77777777" w:rsidTr="0028501A">
        <w:trPr>
          <w:trHeight w:val="1325"/>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AF05F4B" w14:textId="77777777" w:rsidR="005708AC" w:rsidRDefault="005708AC" w:rsidP="00E42075">
            <w:r>
              <w:rPr>
                <w:rFonts w:ascii="Times New Roman" w:eastAsia="Times New Roman" w:hAnsi="Times New Roman" w:cs="Times New Roman"/>
                <w:sz w:val="24"/>
                <w:szCs w:val="24"/>
              </w:rPr>
              <w:t xml:space="preserve">Net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specialist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2849118"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2BF1F30" w14:textId="77777777" w:rsidR="005708AC" w:rsidRDefault="005708AC" w:rsidP="00E42075">
            <w:r>
              <w:rPr>
                <w:rFonts w:ascii="Times New Roman" w:eastAsia="Times New Roman" w:hAnsi="Times New Roman" w:cs="Times New Roman"/>
                <w:sz w:val="24"/>
                <w:szCs w:val="24"/>
              </w:rPr>
              <w:t>USA (West Coast)</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91C2344" w14:textId="77777777" w:rsidR="005708AC" w:rsidRDefault="005708AC" w:rsidP="00E42075">
            <w:pPr>
              <w:jc w:val="center"/>
            </w:pPr>
            <w:r>
              <w:rPr>
                <w:rFonts w:ascii="Times New Roman" w:eastAsia="Times New Roman" w:hAnsi="Times New Roman" w:cs="Times New Roman"/>
                <w:sz w:val="24"/>
                <w:szCs w:val="24"/>
              </w:rPr>
              <w:t>2</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81D5B2" w14:textId="77777777" w:rsidR="005708AC" w:rsidRDefault="005708AC" w:rsidP="00E42075">
            <w:proofErr w:type="spellStart"/>
            <w:r>
              <w:rPr>
                <w:rFonts w:ascii="Times New Roman" w:eastAsia="Times New Roman" w:hAnsi="Times New Roman" w:cs="Times New Roman"/>
                <w:sz w:val="24"/>
                <w:szCs w:val="24"/>
              </w:rPr>
              <w:t>Assessed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type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likely</w:t>
            </w:r>
            <w:proofErr w:type="spellEnd"/>
            <w:r>
              <w:rPr>
                <w:rFonts w:ascii="Times New Roman" w:eastAsia="Times New Roman" w:hAnsi="Times New Roman" w:cs="Times New Roman"/>
                <w:sz w:val="24"/>
                <w:szCs w:val="24"/>
              </w:rPr>
              <w:t xml:space="preserve"> target species of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nets </w:t>
            </w:r>
            <w:proofErr w:type="spellStart"/>
            <w:r>
              <w:rPr>
                <w:rFonts w:ascii="Times New Roman" w:eastAsia="Times New Roman" w:hAnsi="Times New Roman" w:cs="Times New Roman"/>
                <w:sz w:val="24"/>
                <w:szCs w:val="24"/>
              </w:rPr>
              <w:t>examined</w:t>
            </w:r>
            <w:proofErr w:type="spellEnd"/>
            <w:r>
              <w:rPr>
                <w:rFonts w:ascii="Times New Roman" w:eastAsia="Times New Roman" w:hAnsi="Times New Roman" w:cs="Times New Roman"/>
                <w:sz w:val="24"/>
                <w:szCs w:val="24"/>
              </w:rPr>
              <w:t xml:space="preserve">, but </w:t>
            </w:r>
            <w:proofErr w:type="spellStart"/>
            <w:r>
              <w:rPr>
                <w:rFonts w:ascii="Times New Roman" w:eastAsia="Times New Roman" w:hAnsi="Times New Roman" w:cs="Times New Roman"/>
                <w:sz w:val="24"/>
                <w:szCs w:val="24"/>
              </w:rPr>
              <w:t>could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determine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area of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fleet</w:t>
            </w:r>
            <w:proofErr w:type="spellEnd"/>
            <w:r>
              <w:rPr>
                <w:rFonts w:ascii="Times New Roman" w:eastAsia="Times New Roman" w:hAnsi="Times New Roman" w:cs="Times New Roman"/>
                <w:sz w:val="24"/>
                <w:szCs w:val="24"/>
              </w:rPr>
              <w:t>.</w:t>
            </w:r>
          </w:p>
        </w:tc>
      </w:tr>
      <w:tr w:rsidR="005708AC" w14:paraId="7A47A71F" w14:textId="77777777" w:rsidTr="0028501A">
        <w:trPr>
          <w:trHeight w:val="755"/>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44B6699" w14:textId="77777777" w:rsidR="005708AC" w:rsidRDefault="005708AC" w:rsidP="00E42075">
            <w:r>
              <w:rPr>
                <w:rFonts w:ascii="Times New Roman" w:eastAsia="Times New Roman" w:hAnsi="Times New Roman" w:cs="Times New Roman"/>
                <w:sz w:val="24"/>
                <w:szCs w:val="24"/>
              </w:rPr>
              <w:t xml:space="preserve">Net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specialist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BABE1DB"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C048C70" w14:textId="77777777" w:rsidR="005708AC" w:rsidRDefault="005708AC" w:rsidP="00E42075">
            <w:r>
              <w:rPr>
                <w:rFonts w:ascii="Times New Roman" w:eastAsia="Times New Roman" w:hAnsi="Times New Roman" w:cs="Times New Roman"/>
                <w:sz w:val="24"/>
                <w:szCs w:val="24"/>
              </w:rPr>
              <w:t>USA (West Coast)</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58C8486"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AC4C85E" w14:textId="77777777" w:rsidR="005708AC" w:rsidRDefault="005708AC" w:rsidP="00E42075">
            <w:proofErr w:type="spellStart"/>
            <w:r>
              <w:rPr>
                <w:rFonts w:ascii="Times New Roman" w:eastAsia="Times New Roman" w:hAnsi="Times New Roman" w:cs="Times New Roman"/>
                <w:sz w:val="24"/>
                <w:szCs w:val="24"/>
              </w:rPr>
              <w:t>Did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West Coast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USA.</w:t>
            </w:r>
          </w:p>
        </w:tc>
      </w:tr>
      <w:tr w:rsidR="005708AC" w14:paraId="791F0F26" w14:textId="77777777" w:rsidTr="0028501A">
        <w:trPr>
          <w:trHeight w:val="1034"/>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9E33C76"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r>
              <w:rPr>
                <w:rFonts w:ascii="Times New Roman" w:eastAsia="Times New Roman" w:hAnsi="Times New Roman" w:cs="Times New Roman"/>
                <w:sz w:val="24"/>
                <w:szCs w:val="24"/>
              </w:rPr>
              <w:t xml:space="preserve"> expert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D933970"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0F2480"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F81FC9"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E84154" w14:textId="77777777" w:rsidR="005708AC" w:rsidRDefault="005708AC" w:rsidP="00E42075">
            <w:proofErr w:type="spellStart"/>
            <w:r>
              <w:rPr>
                <w:rFonts w:ascii="Times New Roman" w:eastAsia="Times New Roman" w:hAnsi="Times New Roman" w:cs="Times New Roman"/>
                <w:sz w:val="24"/>
                <w:szCs w:val="24"/>
              </w:rPr>
              <w:t>Did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Supports </w:t>
            </w:r>
            <w:proofErr w:type="spellStart"/>
            <w:r>
              <w:rPr>
                <w:rFonts w:ascii="Times New Roman" w:eastAsia="Times New Roman" w:hAnsi="Times New Roman" w:cs="Times New Roman"/>
                <w:sz w:val="24"/>
                <w:szCs w:val="24"/>
              </w:rPr>
              <w:t>evidence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globally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widespread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similar</w:t>
            </w:r>
            <w:proofErr w:type="spellEnd"/>
            <w:r>
              <w:rPr>
                <w:rFonts w:ascii="Times New Roman" w:eastAsia="Times New Roman" w:hAnsi="Times New Roman" w:cs="Times New Roman"/>
                <w:sz w:val="24"/>
                <w:szCs w:val="24"/>
              </w:rPr>
              <w:t xml:space="preserve"> net types.</w:t>
            </w:r>
          </w:p>
        </w:tc>
      </w:tr>
      <w:tr w:rsidR="005708AC" w14:paraId="38EE49D7" w14:textId="77777777" w:rsidTr="0028501A">
        <w:trPr>
          <w:trHeight w:val="133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7952AA1" w14:textId="77777777" w:rsidR="005708AC" w:rsidRDefault="005708AC" w:rsidP="00E42075">
            <w:proofErr w:type="spellStart"/>
            <w:r>
              <w:rPr>
                <w:rFonts w:ascii="Times New Roman" w:eastAsia="Times New Roman" w:hAnsi="Times New Roman" w:cs="Times New Roman"/>
                <w:sz w:val="24"/>
                <w:szCs w:val="24"/>
              </w:rPr>
              <w:lastRenderedPageBreak/>
              <w:t>Regional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experts (×2)</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09125B2" w14:textId="77777777" w:rsidR="005708AC" w:rsidRDefault="005708AC" w:rsidP="00E42075">
            <w:proofErr w:type="spellStart"/>
            <w:r>
              <w:rPr>
                <w:rFonts w:ascii="Times New Roman" w:eastAsia="Times New Roman" w:hAnsi="Times New Roman" w:cs="Times New Roman"/>
                <w:sz w:val="24"/>
                <w:szCs w:val="24"/>
              </w:rPr>
              <w:t>Regional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organisation</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601B3F" w14:textId="77777777" w:rsidR="005708AC" w:rsidRDefault="005708AC" w:rsidP="00E42075">
            <w:r>
              <w:rPr>
                <w:rFonts w:ascii="Times New Roman" w:eastAsia="Times New Roman" w:hAnsi="Times New Roman" w:cs="Times New Roman"/>
                <w:sz w:val="24"/>
                <w:szCs w:val="24"/>
              </w:rPr>
              <w:t xml:space="preserve">Micronesia </w:t>
            </w:r>
            <w:proofErr w:type="spellStart"/>
            <w:r>
              <w:rPr>
                <w:rFonts w:ascii="Times New Roman" w:eastAsia="Times New Roman" w:hAnsi="Times New Roman" w:cs="Times New Roman"/>
                <w:sz w:val="24"/>
                <w:szCs w:val="24"/>
              </w:rPr>
              <w:t>region</w:t>
            </w:r>
            <w:proofErr w:type="spellEnd"/>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10203DA"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55A6C01" w14:textId="77777777" w:rsidR="005708AC" w:rsidRDefault="005708AC" w:rsidP="00E42075">
            <w:proofErr w:type="spellStart"/>
            <w:r>
              <w:rPr>
                <w:rFonts w:ascii="Times New Roman" w:eastAsia="Times New Roman" w:hAnsi="Times New Roman" w:cs="Times New Roman"/>
                <w:sz w:val="24"/>
                <w:szCs w:val="24"/>
              </w:rPr>
              <w:t>Did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recognise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Micronesia </w:t>
            </w:r>
            <w:proofErr w:type="spellStart"/>
            <w:r>
              <w:rPr>
                <w:rFonts w:ascii="Times New Roman" w:eastAsia="Times New Roman" w:hAnsi="Times New Roman" w:cs="Times New Roman"/>
                <w:sz w:val="24"/>
                <w:szCs w:val="24"/>
              </w:rPr>
              <w:t>region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confirmed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minimal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trawling</w:t>
            </w:r>
            <w:proofErr w:type="spellEnd"/>
            <w:r>
              <w:rPr>
                <w:rFonts w:ascii="Times New Roman" w:eastAsia="Times New Roman" w:hAnsi="Times New Roman" w:cs="Times New Roman"/>
                <w:sz w:val="24"/>
                <w:szCs w:val="24"/>
              </w:rPr>
              <w:t xml:space="preserve"> takes </w:t>
            </w:r>
            <w:proofErr w:type="spellStart"/>
            <w:r>
              <w:rPr>
                <w:rFonts w:ascii="Times New Roman" w:eastAsia="Times New Roman" w:hAnsi="Times New Roman" w:cs="Times New Roman"/>
                <w:sz w:val="24"/>
                <w:szCs w:val="24"/>
              </w:rPr>
              <w:t>place</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Micronesia </w:t>
            </w:r>
            <w:proofErr w:type="spellStart"/>
            <w:r>
              <w:rPr>
                <w:rFonts w:ascii="Times New Roman" w:eastAsia="Times New Roman" w:hAnsi="Times New Roman" w:cs="Times New Roman"/>
                <w:sz w:val="24"/>
                <w:szCs w:val="24"/>
              </w:rPr>
              <w:t>region</w:t>
            </w:r>
            <w:proofErr w:type="spellEnd"/>
            <w:r>
              <w:rPr>
                <w:rFonts w:ascii="Times New Roman" w:eastAsia="Times New Roman" w:hAnsi="Times New Roman" w:cs="Times New Roman"/>
                <w:sz w:val="24"/>
                <w:szCs w:val="24"/>
              </w:rPr>
              <w:t>.</w:t>
            </w:r>
          </w:p>
        </w:tc>
      </w:tr>
      <w:tr w:rsidR="005708AC" w14:paraId="48E3C21F" w14:textId="77777777" w:rsidTr="0028501A">
        <w:trPr>
          <w:trHeight w:val="133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8939C7E" w14:textId="77777777" w:rsidR="005708AC" w:rsidRDefault="005708AC" w:rsidP="00E42075">
            <w:r>
              <w:rPr>
                <w:rFonts w:ascii="Times New Roman" w:eastAsia="Times New Roman" w:hAnsi="Times New Roman" w:cs="Times New Roman"/>
                <w:sz w:val="24"/>
                <w:szCs w:val="24"/>
              </w:rPr>
              <w:t xml:space="preserve">Marine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consultant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1E74A04"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10F56CA"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4816D55" w14:textId="77777777" w:rsidR="005708AC" w:rsidRDefault="005708AC" w:rsidP="00E42075">
            <w:pPr>
              <w:jc w:val="center"/>
            </w:pPr>
            <w:r>
              <w:rPr>
                <w:rFonts w:ascii="Times New Roman" w:eastAsia="Times New Roman" w:hAnsi="Times New Roman" w:cs="Times New Roman"/>
                <w:sz w:val="24"/>
                <w:szCs w:val="24"/>
              </w:rPr>
              <w:t>2</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4C2994" w14:textId="77777777" w:rsidR="005708AC" w:rsidRDefault="005708AC" w:rsidP="00E42075">
            <w:proofErr w:type="spellStart"/>
            <w:r>
              <w:rPr>
                <w:rFonts w:ascii="Times New Roman" w:eastAsia="Times New Roman" w:hAnsi="Times New Roman" w:cs="Times New Roman"/>
                <w:sz w:val="24"/>
                <w:szCs w:val="24"/>
              </w:rPr>
              <w:t>Assessed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measurements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infer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type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likely</w:t>
            </w:r>
            <w:proofErr w:type="spellEnd"/>
            <w:r>
              <w:rPr>
                <w:rFonts w:ascii="Times New Roman" w:eastAsia="Times New Roman" w:hAnsi="Times New Roman" w:cs="Times New Roman"/>
                <w:sz w:val="24"/>
                <w:szCs w:val="24"/>
              </w:rPr>
              <w:t xml:space="preserve"> target species of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nets </w:t>
            </w:r>
            <w:proofErr w:type="spellStart"/>
            <w:r>
              <w:rPr>
                <w:rFonts w:ascii="Times New Roman" w:eastAsia="Times New Roman" w:hAnsi="Times New Roman" w:cs="Times New Roman"/>
                <w:sz w:val="24"/>
                <w:szCs w:val="24"/>
              </w:rPr>
              <w:t>examined</w:t>
            </w:r>
            <w:proofErr w:type="spellEnd"/>
            <w:r>
              <w:rPr>
                <w:rFonts w:ascii="Times New Roman" w:eastAsia="Times New Roman" w:hAnsi="Times New Roman" w:cs="Times New Roman"/>
                <w:sz w:val="24"/>
                <w:szCs w:val="24"/>
              </w:rPr>
              <w:t xml:space="preserve">, but </w:t>
            </w:r>
            <w:proofErr w:type="spellStart"/>
            <w:r>
              <w:rPr>
                <w:rFonts w:ascii="Times New Roman" w:eastAsia="Times New Roman" w:hAnsi="Times New Roman" w:cs="Times New Roman"/>
                <w:sz w:val="24"/>
                <w:szCs w:val="24"/>
              </w:rPr>
              <w:t>could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determine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area of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or </w:t>
            </w:r>
            <w:proofErr w:type="spellStart"/>
            <w:r>
              <w:rPr>
                <w:rFonts w:ascii="Times New Roman" w:eastAsia="Times New Roman" w:hAnsi="Times New Roman" w:cs="Times New Roman"/>
                <w:sz w:val="24"/>
                <w:szCs w:val="24"/>
              </w:rPr>
              <w:t>fleet</w:t>
            </w:r>
            <w:proofErr w:type="spellEnd"/>
            <w:r>
              <w:rPr>
                <w:rFonts w:ascii="Times New Roman" w:eastAsia="Times New Roman" w:hAnsi="Times New Roman" w:cs="Times New Roman"/>
                <w:sz w:val="24"/>
                <w:szCs w:val="24"/>
              </w:rPr>
              <w:t>.</w:t>
            </w:r>
          </w:p>
        </w:tc>
      </w:tr>
      <w:tr w:rsidR="005708AC" w14:paraId="4FE47BCE" w14:textId="77777777" w:rsidTr="0028501A">
        <w:trPr>
          <w:trHeight w:val="133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49AF14E" w14:textId="77777777" w:rsidR="005708AC" w:rsidRDefault="005708AC" w:rsidP="00E42075">
            <w:proofErr w:type="spellStart"/>
            <w:r>
              <w:rPr>
                <w:rFonts w:ascii="Times New Roman" w:eastAsia="Times New Roman" w:hAnsi="Times New Roman" w:cs="Times New Roman"/>
                <w:sz w:val="24"/>
                <w:szCs w:val="24"/>
              </w:rPr>
              <w:t>Anonymous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expert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7283992" w14:textId="77777777" w:rsidR="005708AC" w:rsidRDefault="005708AC" w:rsidP="00E42075">
            <w:proofErr w:type="spellStart"/>
            <w:r>
              <w:rPr>
                <w:rFonts w:ascii="Times New Roman" w:eastAsia="Times New Roman" w:hAnsi="Times New Roman" w:cs="Times New Roman"/>
                <w:sz w:val="24"/>
                <w:szCs w:val="24"/>
              </w:rPr>
              <w:t>Confidential</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D354FA9" w14:textId="77777777" w:rsidR="005708AC" w:rsidRDefault="005708AC" w:rsidP="00E42075">
            <w:r>
              <w:rPr>
                <w:rFonts w:ascii="Times New Roman" w:eastAsia="Times New Roman" w:hAnsi="Times New Roman" w:cs="Times New Roman"/>
                <w:sz w:val="24"/>
                <w:szCs w:val="24"/>
              </w:rPr>
              <w:t>Vietnam</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13DD406"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FBA48D" w14:textId="77777777" w:rsidR="005708AC" w:rsidRDefault="005708AC" w:rsidP="00E42075">
            <w:r>
              <w:rPr>
                <w:rFonts w:ascii="Times New Roman" w:eastAsia="Times New Roman" w:hAnsi="Times New Roman" w:cs="Times New Roman"/>
                <w:sz w:val="24"/>
                <w:szCs w:val="24"/>
              </w:rPr>
              <w:t xml:space="preserve">Has </w:t>
            </w:r>
            <w:proofErr w:type="spellStart"/>
            <w:r>
              <w:rPr>
                <w:rFonts w:ascii="Times New Roman" w:eastAsia="Times New Roman" w:hAnsi="Times New Roman" w:cs="Times New Roman"/>
                <w:sz w:val="24"/>
                <w:szCs w:val="24"/>
              </w:rPr>
              <w:t>knowledge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used</w:t>
            </w:r>
            <w:proofErr w:type="spellEnd"/>
            <w:r>
              <w:rPr>
                <w:rFonts w:ascii="Times New Roman" w:eastAsia="Times New Roman" w:hAnsi="Times New Roman" w:cs="Times New Roman"/>
                <w:sz w:val="24"/>
                <w:szCs w:val="24"/>
              </w:rPr>
              <w:t xml:space="preserve"> in SE </w:t>
            </w:r>
            <w:proofErr w:type="spellStart"/>
            <w:r>
              <w:rPr>
                <w:rFonts w:ascii="Times New Roman" w:eastAsia="Times New Roman" w:hAnsi="Times New Roman" w:cs="Times New Roman"/>
                <w:sz w:val="24"/>
                <w:szCs w:val="24"/>
              </w:rPr>
              <w:t>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fleets</w:t>
            </w:r>
            <w:proofErr w:type="spellEnd"/>
            <w:r>
              <w:rPr>
                <w:rFonts w:ascii="Times New Roman" w:eastAsia="Times New Roman" w:hAnsi="Times New Roman" w:cs="Times New Roman"/>
                <w:sz w:val="24"/>
                <w:szCs w:val="24"/>
              </w:rPr>
              <w:t xml:space="preserve"> but had no </w:t>
            </w:r>
            <w:proofErr w:type="spellStart"/>
            <w:r>
              <w:rPr>
                <w:rFonts w:ascii="Times New Roman" w:eastAsia="Times New Roman" w:hAnsi="Times New Roman" w:cs="Times New Roman"/>
                <w:sz w:val="24"/>
                <w:szCs w:val="24"/>
              </w:rPr>
              <w:t>recognition</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nets. </w:t>
            </w:r>
            <w:proofErr w:type="spellStart"/>
            <w:r>
              <w:rPr>
                <w:rFonts w:ascii="Times New Roman" w:eastAsia="Times New Roman" w:hAnsi="Times New Roman" w:cs="Times New Roman"/>
                <w:sz w:val="24"/>
                <w:szCs w:val="24"/>
              </w:rPr>
              <w:t>Helps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eliminate</w:t>
            </w:r>
            <w:proofErr w:type="spellEnd"/>
            <w:r>
              <w:rPr>
                <w:rFonts w:ascii="Times New Roman" w:eastAsia="Times New Roman" w:hAnsi="Times New Roman" w:cs="Times New Roman"/>
                <w:sz w:val="24"/>
                <w:szCs w:val="24"/>
              </w:rPr>
              <w:t xml:space="preserve"> SE </w:t>
            </w:r>
            <w:proofErr w:type="spellStart"/>
            <w:r>
              <w:rPr>
                <w:rFonts w:ascii="Times New Roman" w:eastAsia="Times New Roman" w:hAnsi="Times New Roman" w:cs="Times New Roman"/>
                <w:sz w:val="24"/>
                <w:szCs w:val="24"/>
              </w:rPr>
              <w:t>Asian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artisanal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fleets</w:t>
            </w:r>
            <w:proofErr w:type="spellEnd"/>
            <w:r>
              <w:rPr>
                <w:rFonts w:ascii="Times New Roman" w:eastAsia="Times New Roman" w:hAnsi="Times New Roman" w:cs="Times New Roman"/>
                <w:sz w:val="24"/>
                <w:szCs w:val="24"/>
              </w:rPr>
              <w:t xml:space="preserve"> as a (major) </w:t>
            </w:r>
            <w:proofErr w:type="spellStart"/>
            <w:r>
              <w:rPr>
                <w:rFonts w:ascii="Times New Roman" w:eastAsia="Times New Roman" w:hAnsi="Times New Roman" w:cs="Times New Roman"/>
                <w:sz w:val="24"/>
                <w:szCs w:val="24"/>
              </w:rPr>
              <w:t>contributor</w:t>
            </w:r>
            <w:proofErr w:type="spellEnd"/>
            <w:r>
              <w:rPr>
                <w:rFonts w:ascii="Times New Roman" w:eastAsia="Times New Roman" w:hAnsi="Times New Roman" w:cs="Times New Roman"/>
                <w:sz w:val="24"/>
                <w:szCs w:val="24"/>
              </w:rPr>
              <w:t>.</w:t>
            </w:r>
          </w:p>
        </w:tc>
      </w:tr>
      <w:tr w:rsidR="005708AC" w14:paraId="30DD191D" w14:textId="77777777" w:rsidTr="0028501A">
        <w:trPr>
          <w:trHeight w:val="1034"/>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B6E6BBA" w14:textId="77777777" w:rsidR="005708AC" w:rsidRDefault="005708AC" w:rsidP="00E42075">
            <w:r>
              <w:rPr>
                <w:rFonts w:ascii="Times New Roman" w:eastAsia="Times New Roman" w:hAnsi="Times New Roman" w:cs="Times New Roman"/>
                <w:sz w:val="24"/>
                <w:szCs w:val="24"/>
              </w:rPr>
              <w:t>Gear consultant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627628A"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FC02CD" w14:textId="77777777" w:rsidR="005708AC" w:rsidRDefault="005708AC" w:rsidP="00E42075">
            <w:r>
              <w:rPr>
                <w:rFonts w:ascii="Times New Roman" w:eastAsia="Times New Roman" w:hAnsi="Times New Roman" w:cs="Times New Roman"/>
                <w:sz w:val="24"/>
                <w:szCs w:val="24"/>
              </w:rPr>
              <w:t>Taiwan</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20454EE"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B3AFBDD" w14:textId="77777777" w:rsidR="005708AC" w:rsidRDefault="005708AC" w:rsidP="00E42075">
            <w:proofErr w:type="spellStart"/>
            <w:r>
              <w:rPr>
                <w:rFonts w:ascii="Times New Roman" w:eastAsia="Times New Roman" w:hAnsi="Times New Roman" w:cs="Times New Roman"/>
                <w:sz w:val="24"/>
                <w:szCs w:val="24"/>
              </w:rPr>
              <w:t>Explained</w:t>
            </w:r>
            <w:proofErr w:type="spellEnd"/>
            <w:r>
              <w:rPr>
                <w:rFonts w:ascii="Times New Roman" w:eastAsia="Times New Roman" w:hAnsi="Times New Roman" w:cs="Times New Roman"/>
                <w:sz w:val="24"/>
                <w:szCs w:val="24"/>
              </w:rPr>
              <w:t xml:space="preserve"> high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global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sourcing</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Supports </w:t>
            </w:r>
            <w:proofErr w:type="spellStart"/>
            <w:r>
              <w:rPr>
                <w:rFonts w:ascii="Times New Roman" w:eastAsia="Times New Roman" w:hAnsi="Times New Roman" w:cs="Times New Roman"/>
                <w:sz w:val="24"/>
                <w:szCs w:val="24"/>
              </w:rPr>
              <w:t>distinction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between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w:t>
            </w:r>
          </w:p>
        </w:tc>
      </w:tr>
      <w:tr w:rsidR="005708AC" w14:paraId="0CAD7D7E" w14:textId="77777777" w:rsidTr="0028501A">
        <w:trPr>
          <w:trHeight w:val="104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D19407B" w14:textId="77777777" w:rsidR="005708AC" w:rsidRDefault="005708AC" w:rsidP="00E42075">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institute</w:t>
            </w:r>
            <w:proofErr w:type="spellEnd"/>
            <w:r>
              <w:rPr>
                <w:rFonts w:ascii="Times New Roman" w:eastAsia="Times New Roman" w:hAnsi="Times New Roman" w:cs="Times New Roman"/>
                <w:sz w:val="24"/>
                <w:szCs w:val="24"/>
              </w:rPr>
              <w:t xml:space="preserve"> expert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CCB8B72" w14:textId="77777777" w:rsidR="005708AC" w:rsidRDefault="005708AC" w:rsidP="00E42075">
            <w:r>
              <w:rPr>
                <w:rFonts w:ascii="Times New Roman" w:eastAsia="Times New Roman" w:hAnsi="Times New Roman" w:cs="Times New Roman"/>
                <w:sz w:val="24"/>
                <w:szCs w:val="24"/>
              </w:rPr>
              <w:t xml:space="preserve">Research </w:t>
            </w:r>
            <w:proofErr w:type="spellStart"/>
            <w:r>
              <w:rPr>
                <w:rFonts w:ascii="Times New Roman" w:eastAsia="Times New Roman" w:hAnsi="Times New Roman" w:cs="Times New Roman"/>
                <w:sz w:val="24"/>
                <w:szCs w:val="24"/>
              </w:rPr>
              <w:t>institute</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7B1694E" w14:textId="77777777" w:rsidR="005708AC" w:rsidRDefault="005708AC" w:rsidP="00E42075">
            <w:r>
              <w:rPr>
                <w:rFonts w:ascii="Times New Roman" w:eastAsia="Times New Roman" w:hAnsi="Times New Roman" w:cs="Times New Roman"/>
                <w:sz w:val="24"/>
                <w:szCs w:val="24"/>
              </w:rPr>
              <w:t xml:space="preserve">New </w:t>
            </w:r>
            <w:proofErr w:type="spellStart"/>
            <w:r>
              <w:rPr>
                <w:rFonts w:ascii="Times New Roman" w:eastAsia="Times New Roman" w:hAnsi="Times New Roman" w:cs="Times New Roman"/>
                <w:sz w:val="24"/>
                <w:szCs w:val="24"/>
              </w:rPr>
              <w:t>Zealand</w:t>
            </w:r>
            <w:proofErr w:type="spellEnd"/>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C21CDD3"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E1CE20" w14:textId="77777777" w:rsidR="005708AC" w:rsidRDefault="005708AC" w:rsidP="00E42075">
            <w:proofErr w:type="spellStart"/>
            <w:r>
              <w:rPr>
                <w:rFonts w:ascii="Times New Roman" w:eastAsia="Times New Roman" w:hAnsi="Times New Roman" w:cs="Times New Roman"/>
                <w:sz w:val="24"/>
                <w:szCs w:val="24"/>
              </w:rPr>
              <w:t>Noted</w:t>
            </w:r>
            <w:proofErr w:type="spellEnd"/>
            <w:r>
              <w:rPr>
                <w:rFonts w:ascii="Times New Roman" w:eastAsia="Times New Roman" w:hAnsi="Times New Roman" w:cs="Times New Roman"/>
                <w:sz w:val="24"/>
                <w:szCs w:val="24"/>
              </w:rPr>
              <w:t xml:space="preserve"> low </w:t>
            </w:r>
            <w:proofErr w:type="spellStart"/>
            <w:r>
              <w:rPr>
                <w:rFonts w:ascii="Times New Roman" w:eastAsia="Times New Roman" w:hAnsi="Times New Roman" w:cs="Times New Roman"/>
                <w:sz w:val="24"/>
                <w:szCs w:val="24"/>
              </w:rPr>
              <w:t>trawling</w:t>
            </w:r>
            <w:proofErr w:type="spellEnd"/>
            <w:r>
              <w:rPr>
                <w:rFonts w:ascii="Times New Roman" w:eastAsia="Times New Roman" w:hAnsi="Times New Roman" w:cs="Times New Roman"/>
                <w:sz w:val="24"/>
                <w:szCs w:val="24"/>
              </w:rPr>
              <w:t xml:space="preserve"> in Pacific </w:t>
            </w:r>
            <w:proofErr w:type="spellStart"/>
            <w:r>
              <w:rPr>
                <w:rFonts w:ascii="Times New Roman" w:eastAsia="Times New Roman" w:hAnsi="Times New Roman" w:cs="Times New Roman"/>
                <w:sz w:val="24"/>
                <w:szCs w:val="24"/>
              </w:rPr>
              <w:t>Islands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possible</w:t>
            </w:r>
            <w:proofErr w:type="spellEnd"/>
            <w:r>
              <w:rPr>
                <w:rFonts w:ascii="Times New Roman" w:eastAsia="Times New Roman" w:hAnsi="Times New Roman" w:cs="Times New Roman"/>
                <w:sz w:val="24"/>
                <w:szCs w:val="24"/>
              </w:rPr>
              <w:t xml:space="preserve"> FAD net </w:t>
            </w:r>
            <w:proofErr w:type="spellStart"/>
            <w:r>
              <w:rPr>
                <w:rFonts w:ascii="Times New Roman" w:eastAsia="Times New Roman" w:hAnsi="Times New Roman" w:cs="Times New Roman"/>
                <w:sz w:val="24"/>
                <w:szCs w:val="24"/>
              </w:rPr>
              <w:t>contributions</w:t>
            </w:r>
            <w:proofErr w:type="spellEnd"/>
            <w:r>
              <w:rPr>
                <w:rFonts w:ascii="Times New Roman" w:eastAsia="Times New Roman" w:hAnsi="Times New Roman" w:cs="Times New Roman"/>
                <w:sz w:val="24"/>
                <w:szCs w:val="24"/>
              </w:rPr>
              <w:t>.</w:t>
            </w:r>
          </w:p>
        </w:tc>
      </w:tr>
      <w:tr w:rsidR="005708AC" w14:paraId="3F5E74EE" w14:textId="77777777" w:rsidTr="0028501A">
        <w:trPr>
          <w:trHeight w:val="2812"/>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6B3F268" w14:textId="77777777" w:rsidR="005708AC" w:rsidRDefault="005708AC" w:rsidP="00E42075">
            <w:r>
              <w:rPr>
                <w:rFonts w:ascii="Times New Roman" w:eastAsia="Times New Roman" w:hAnsi="Times New Roman" w:cs="Times New Roman"/>
                <w:sz w:val="24"/>
                <w:szCs w:val="24"/>
              </w:rPr>
              <w:t>University researcher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067835A" w14:textId="77777777" w:rsidR="005708AC" w:rsidRDefault="005708AC" w:rsidP="00E42075">
            <w:r>
              <w:rPr>
                <w:rFonts w:ascii="Times New Roman" w:eastAsia="Times New Roman" w:hAnsi="Times New Roman" w:cs="Times New Roman"/>
                <w:sz w:val="24"/>
                <w:szCs w:val="24"/>
              </w:rPr>
              <w:t>University</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271266" w14:textId="77777777" w:rsidR="005708AC" w:rsidRDefault="005708AC" w:rsidP="00E42075">
            <w:r>
              <w:rPr>
                <w:rFonts w:ascii="Times New Roman" w:eastAsia="Times New Roman" w:hAnsi="Times New Roman" w:cs="Times New Roman"/>
                <w:sz w:val="24"/>
                <w:szCs w:val="24"/>
              </w:rPr>
              <w:t>Japan</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BF9B2E3" w14:textId="77777777" w:rsidR="005708AC" w:rsidRDefault="005708AC" w:rsidP="00E42075">
            <w:pPr>
              <w:jc w:val="center"/>
            </w:pPr>
            <w:r>
              <w:rPr>
                <w:rFonts w:ascii="Times New Roman" w:eastAsia="Times New Roman" w:hAnsi="Times New Roman" w:cs="Times New Roman"/>
                <w:sz w:val="24"/>
                <w:szCs w:val="24"/>
              </w:rPr>
              <w:t>2</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5509484" w14:textId="77777777" w:rsidR="005708AC" w:rsidRDefault="005708AC" w:rsidP="00E42075">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181 nets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108 had expert </w:t>
            </w:r>
            <w:proofErr w:type="spellStart"/>
            <w:r>
              <w:rPr>
                <w:rFonts w:ascii="Times New Roman" w:eastAsia="Times New Roman" w:hAnsi="Times New Roman" w:cs="Times New Roman"/>
                <w:sz w:val="24"/>
                <w:szCs w:val="24"/>
              </w:rPr>
              <w:t>comments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about</w:t>
            </w:r>
            <w:proofErr w:type="spellEnd"/>
            <w:r>
              <w:rPr>
                <w:rFonts w:ascii="Times New Roman" w:eastAsia="Times New Roman" w:hAnsi="Times New Roman" w:cs="Times New Roman"/>
                <w:sz w:val="24"/>
                <w:szCs w:val="24"/>
              </w:rPr>
              <w:t xml:space="preserve"> 32 (30%)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plausibly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attributed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Chinese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characteristic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materials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construction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6 (6%)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compatible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Japanese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other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a small </w:t>
            </w:r>
            <w:proofErr w:type="spellStart"/>
            <w:r>
              <w:rPr>
                <w:rFonts w:ascii="Times New Roman" w:eastAsia="Times New Roman" w:hAnsi="Times New Roman" w:cs="Times New Roman"/>
                <w:sz w:val="24"/>
                <w:szCs w:val="24"/>
              </w:rPr>
              <w:t>number</w:t>
            </w:r>
            <w:proofErr w:type="spellEnd"/>
            <w:r>
              <w:rPr>
                <w:rFonts w:ascii="Times New Roman" w:eastAsia="Times New Roman" w:hAnsi="Times New Roman" w:cs="Times New Roman"/>
                <w:sz w:val="24"/>
                <w:szCs w:val="24"/>
              </w:rPr>
              <w:t xml:space="preserve"> of nets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non-</w:t>
            </w:r>
            <w:proofErr w:type="spellStart"/>
            <w:r>
              <w:rPr>
                <w:rFonts w:ascii="Times New Roman" w:eastAsia="Times New Roman" w:hAnsi="Times New Roman" w:cs="Times New Roman"/>
                <w:sz w:val="24"/>
                <w:szCs w:val="24"/>
              </w:rPr>
              <w:t>fishing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aquaculture.</w:t>
            </w:r>
          </w:p>
        </w:tc>
      </w:tr>
      <w:tr w:rsidR="005708AC" w14:paraId="53968845" w14:textId="77777777" w:rsidTr="0028501A">
        <w:trPr>
          <w:trHeight w:val="2812"/>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5B8944C" w14:textId="77777777" w:rsidR="005708AC" w:rsidRDefault="005708AC" w:rsidP="00E42075">
            <w:proofErr w:type="spellStart"/>
            <w:r>
              <w:rPr>
                <w:rFonts w:ascii="Times New Roman" w:eastAsia="Times New Roman" w:hAnsi="Times New Roman" w:cs="Times New Roman"/>
                <w:sz w:val="24"/>
                <w:szCs w:val="24"/>
              </w:rPr>
              <w:lastRenderedPageBreak/>
              <w:t>Anonymous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technicians</w:t>
            </w:r>
            <w:proofErr w:type="spellEnd"/>
            <w:r>
              <w:rPr>
                <w:rFonts w:ascii="Times New Roman" w:eastAsia="Times New Roman" w:hAnsi="Times New Roman" w:cs="Times New Roman"/>
                <w:sz w:val="24"/>
                <w:szCs w:val="24"/>
              </w:rPr>
              <w:t xml:space="preserve"> (×2)</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51DE62D"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7141986" w14:textId="77777777" w:rsidR="005708AC" w:rsidRDefault="005708AC" w:rsidP="00E42075">
            <w:r>
              <w:rPr>
                <w:rFonts w:ascii="Times New Roman" w:eastAsia="Times New Roman" w:hAnsi="Times New Roman" w:cs="Times New Roman"/>
                <w:sz w:val="24"/>
                <w:szCs w:val="24"/>
              </w:rPr>
              <w:t>Japan</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92406F7"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62C110A" w14:textId="77777777" w:rsidR="005708AC" w:rsidRDefault="005708AC" w:rsidP="00E42075">
            <w:r>
              <w:rPr>
                <w:rFonts w:ascii="Times New Roman" w:eastAsia="Times New Roman" w:hAnsi="Times New Roman" w:cs="Times New Roman"/>
                <w:sz w:val="24"/>
                <w:szCs w:val="24"/>
              </w:rPr>
              <w:t xml:space="preserve">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181 nets </w:t>
            </w:r>
            <w:proofErr w:type="spellStart"/>
            <w:r>
              <w:rPr>
                <w:rFonts w:ascii="Times New Roman" w:eastAsia="Times New Roman" w:hAnsi="Times New Roman" w:cs="Times New Roman"/>
                <w:sz w:val="24"/>
                <w:szCs w:val="24"/>
              </w:rPr>
              <w:t>analysed</w:t>
            </w:r>
            <w:proofErr w:type="spellEnd"/>
            <w:r>
              <w:rPr>
                <w:rFonts w:ascii="Times New Roman" w:eastAsia="Times New Roman" w:hAnsi="Times New Roman" w:cs="Times New Roman"/>
                <w:sz w:val="24"/>
                <w:szCs w:val="24"/>
              </w:rPr>
              <w:t xml:space="preserve">, 108 had expert </w:t>
            </w:r>
            <w:proofErr w:type="spellStart"/>
            <w:r>
              <w:rPr>
                <w:rFonts w:ascii="Times New Roman" w:eastAsia="Times New Roman" w:hAnsi="Times New Roman" w:cs="Times New Roman"/>
                <w:sz w:val="24"/>
                <w:szCs w:val="24"/>
              </w:rPr>
              <w:t>comments</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which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about</w:t>
            </w:r>
            <w:proofErr w:type="spellEnd"/>
            <w:r>
              <w:rPr>
                <w:rFonts w:ascii="Times New Roman" w:eastAsia="Times New Roman" w:hAnsi="Times New Roman" w:cs="Times New Roman"/>
                <w:sz w:val="24"/>
                <w:szCs w:val="24"/>
              </w:rPr>
              <w:t xml:space="preserve"> 32 (30%)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plausibly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attributed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Chinese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based</w:t>
            </w:r>
            <w:proofErr w:type="spellEnd"/>
            <w:r>
              <w:rPr>
                <w:rFonts w:ascii="Times New Roman" w:eastAsia="Times New Roman" w:hAnsi="Times New Roman" w:cs="Times New Roman"/>
                <w:sz w:val="24"/>
                <w:szCs w:val="24"/>
              </w:rPr>
              <w:t xml:space="preserve"> on </w:t>
            </w:r>
            <w:proofErr w:type="spellStart"/>
            <w:r>
              <w:rPr>
                <w:rFonts w:ascii="Times New Roman" w:eastAsia="Times New Roman" w:hAnsi="Times New Roman" w:cs="Times New Roman"/>
                <w:sz w:val="24"/>
                <w:szCs w:val="24"/>
              </w:rPr>
              <w:t>characteristic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materials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construction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while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only</w:t>
            </w:r>
            <w:proofErr w:type="spellEnd"/>
            <w:r>
              <w:rPr>
                <w:rFonts w:ascii="Times New Roman" w:eastAsia="Times New Roman" w:hAnsi="Times New Roman" w:cs="Times New Roman"/>
                <w:sz w:val="24"/>
                <w:szCs w:val="24"/>
              </w:rPr>
              <w:t xml:space="preserve"> 6 (6%)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compatible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Japanese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no </w:t>
            </w:r>
            <w:proofErr w:type="spellStart"/>
            <w:r>
              <w:rPr>
                <w:rFonts w:ascii="Times New Roman" w:eastAsia="Times New Roman" w:hAnsi="Times New Roman" w:cs="Times New Roman"/>
                <w:sz w:val="24"/>
                <w:szCs w:val="24"/>
              </w:rPr>
              <w:t>other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identified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a small </w:t>
            </w:r>
            <w:proofErr w:type="spellStart"/>
            <w:r>
              <w:rPr>
                <w:rFonts w:ascii="Times New Roman" w:eastAsia="Times New Roman" w:hAnsi="Times New Roman" w:cs="Times New Roman"/>
                <w:sz w:val="24"/>
                <w:szCs w:val="24"/>
              </w:rPr>
              <w:t>number</w:t>
            </w:r>
            <w:proofErr w:type="spellEnd"/>
            <w:r>
              <w:rPr>
                <w:rFonts w:ascii="Times New Roman" w:eastAsia="Times New Roman" w:hAnsi="Times New Roman" w:cs="Times New Roman"/>
                <w:sz w:val="24"/>
                <w:szCs w:val="24"/>
              </w:rPr>
              <w:t xml:space="preserve"> of nets </w:t>
            </w:r>
            <w:proofErr w:type="spellStart"/>
            <w:r>
              <w:rPr>
                <w:rFonts w:ascii="Times New Roman" w:eastAsia="Times New Roman" w:hAnsi="Times New Roman" w:cs="Times New Roman"/>
                <w:sz w:val="24"/>
                <w:szCs w:val="24"/>
              </w:rPr>
              <w:t>may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originate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non-</w:t>
            </w:r>
            <w:proofErr w:type="spellStart"/>
            <w:r>
              <w:rPr>
                <w:rFonts w:ascii="Times New Roman" w:eastAsia="Times New Roman" w:hAnsi="Times New Roman" w:cs="Times New Roman"/>
                <w:sz w:val="24"/>
                <w:szCs w:val="24"/>
              </w:rPr>
              <w:t>fishing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with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potentially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linked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aquaculture.</w:t>
            </w:r>
          </w:p>
        </w:tc>
      </w:tr>
      <w:tr w:rsidR="005708AC" w14:paraId="75977DC4" w14:textId="77777777" w:rsidTr="0028501A">
        <w:trPr>
          <w:trHeight w:val="104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50F69E86" w14:textId="77777777" w:rsidR="005708AC" w:rsidRDefault="005708AC" w:rsidP="00E42075">
            <w:proofErr w:type="spellStart"/>
            <w:r>
              <w:rPr>
                <w:rFonts w:ascii="Times New Roman" w:eastAsia="Times New Roman" w:hAnsi="Times New Roman" w:cs="Times New Roman"/>
                <w:sz w:val="24"/>
                <w:szCs w:val="24"/>
              </w:rPr>
              <w:t>Fishery</w:t>
            </w:r>
            <w:proofErr w:type="spellEnd"/>
            <w:r>
              <w:rPr>
                <w:rFonts w:ascii="Times New Roman" w:eastAsia="Times New Roman" w:hAnsi="Times New Roman" w:cs="Times New Roman"/>
                <w:sz w:val="24"/>
                <w:szCs w:val="24"/>
              </w:rPr>
              <w:t xml:space="preserve"> sector expert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202C6442" w14:textId="77777777" w:rsidR="005708AC" w:rsidRDefault="005708AC" w:rsidP="00E42075">
            <w:r>
              <w:rPr>
                <w:rFonts w:ascii="Times New Roman" w:eastAsia="Times New Roman" w:hAnsi="Times New Roman" w:cs="Times New Roman"/>
                <w:sz w:val="24"/>
                <w:szCs w:val="24"/>
              </w:rPr>
              <w:t xml:space="preserve">Research </w:t>
            </w:r>
            <w:proofErr w:type="spellStart"/>
            <w:proofErr w:type="gramStart"/>
            <w:r>
              <w:rPr>
                <w:rFonts w:ascii="Times New Roman" w:eastAsia="Times New Roman" w:hAnsi="Times New Roman" w:cs="Times New Roman"/>
                <w:sz w:val="24"/>
                <w:szCs w:val="24"/>
              </w:rPr>
              <w:t>institute</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NGO</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620EE8D4"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106F756"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34B94C8" w14:textId="77777777" w:rsidR="005708AC" w:rsidRDefault="005708AC" w:rsidP="00E42075">
            <w:proofErr w:type="spellStart"/>
            <w:r>
              <w:rPr>
                <w:rFonts w:ascii="Times New Roman" w:eastAsia="Times New Roman" w:hAnsi="Times New Roman" w:cs="Times New Roman"/>
                <w:sz w:val="24"/>
                <w:szCs w:val="24"/>
              </w:rPr>
              <w:t>Suggested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likelihood</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banana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prawn</w:t>
            </w:r>
            <w:proofErr w:type="spellEnd"/>
            <w:r>
              <w:rPr>
                <w:rFonts w:ascii="Times New Roman" w:eastAsia="Times New Roman" w:hAnsi="Times New Roman" w:cs="Times New Roman"/>
                <w:sz w:val="24"/>
                <w:szCs w:val="24"/>
              </w:rPr>
              <w:t xml:space="preserve"> trawl </w:t>
            </w:r>
            <w:proofErr w:type="spellStart"/>
            <w:r>
              <w:rPr>
                <w:rFonts w:ascii="Times New Roman" w:eastAsia="Times New Roman" w:hAnsi="Times New Roman" w:cs="Times New Roman"/>
                <w:sz w:val="24"/>
                <w:szCs w:val="24"/>
              </w:rPr>
              <w:t>origin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This</w:t>
            </w:r>
            <w:proofErr w:type="spellEnd"/>
            <w:r>
              <w:rPr>
                <w:rFonts w:ascii="Times New Roman" w:eastAsia="Times New Roman" w:hAnsi="Times New Roman" w:cs="Times New Roman"/>
                <w:sz w:val="24"/>
                <w:szCs w:val="24"/>
              </w:rPr>
              <w:t xml:space="preserve"> was </w:t>
            </w:r>
            <w:proofErr w:type="spellStart"/>
            <w:r>
              <w:rPr>
                <w:rFonts w:ascii="Times New Roman" w:eastAsia="Times New Roman" w:hAnsi="Times New Roman" w:cs="Times New Roman"/>
                <w:sz w:val="24"/>
                <w:szCs w:val="24"/>
              </w:rPr>
              <w:t>considered</w:t>
            </w:r>
            <w:proofErr w:type="spellEnd"/>
            <w:r>
              <w:rPr>
                <w:rFonts w:ascii="Times New Roman" w:eastAsia="Times New Roman" w:hAnsi="Times New Roman" w:cs="Times New Roman"/>
                <w:sz w:val="24"/>
                <w:szCs w:val="24"/>
              </w:rPr>
              <w:t xml:space="preserve"> but </w:t>
            </w:r>
            <w:proofErr w:type="spellStart"/>
            <w:r>
              <w:rPr>
                <w:rFonts w:ascii="Times New Roman" w:eastAsia="Times New Roman" w:hAnsi="Times New Roman" w:cs="Times New Roman"/>
                <w:sz w:val="24"/>
                <w:szCs w:val="24"/>
              </w:rPr>
              <w:t>weighed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against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broader</w:t>
            </w:r>
            <w:proofErr w:type="spellEnd"/>
            <w:r>
              <w:rPr>
                <w:rFonts w:ascii="Times New Roman" w:eastAsia="Times New Roman" w:hAnsi="Times New Roman" w:cs="Times New Roman"/>
                <w:sz w:val="24"/>
                <w:szCs w:val="24"/>
              </w:rPr>
              <w:t xml:space="preserve"> expert consensus.</w:t>
            </w:r>
          </w:p>
        </w:tc>
      </w:tr>
      <w:tr w:rsidR="005708AC" w14:paraId="0D2337AE" w14:textId="77777777" w:rsidTr="0028501A">
        <w:trPr>
          <w:trHeight w:val="1336"/>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FC0C27C" w14:textId="77777777" w:rsidR="005708AC" w:rsidRDefault="005708AC" w:rsidP="00E42075">
            <w:r>
              <w:rPr>
                <w:rFonts w:ascii="Times New Roman" w:eastAsia="Times New Roman" w:hAnsi="Times New Roman" w:cs="Times New Roman"/>
                <w:sz w:val="24"/>
                <w:szCs w:val="24"/>
              </w:rPr>
              <w:t xml:space="preserve">Independent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consultant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30F1F9AC" w14:textId="77777777" w:rsidR="005708AC" w:rsidRDefault="005708AC" w:rsidP="00E42075">
            <w:r>
              <w:rPr>
                <w:rFonts w:ascii="Times New Roman" w:eastAsia="Times New Roman" w:hAnsi="Times New Roman" w:cs="Times New Roman"/>
                <w:sz w:val="24"/>
                <w:szCs w:val="24"/>
              </w:rPr>
              <w:t xml:space="preserve">Independent </w:t>
            </w:r>
            <w:proofErr w:type="spellStart"/>
            <w:r>
              <w:rPr>
                <w:rFonts w:ascii="Times New Roman" w:eastAsia="Times New Roman" w:hAnsi="Times New Roman" w:cs="Times New Roman"/>
                <w:sz w:val="24"/>
                <w:szCs w:val="24"/>
              </w:rPr>
              <w:t>fisheries</w:t>
            </w:r>
            <w:proofErr w:type="spellEnd"/>
            <w:r>
              <w:rPr>
                <w:rFonts w:ascii="Times New Roman" w:eastAsia="Times New Roman" w:hAnsi="Times New Roman" w:cs="Times New Roman"/>
                <w:sz w:val="24"/>
                <w:szCs w:val="24"/>
              </w:rPr>
              <w:t xml:space="preserve"> consultant</w:t>
            </w:r>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E04012B"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0AADA59E"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2B74D74" w14:textId="77777777" w:rsidR="005708AC" w:rsidRDefault="005708AC" w:rsidP="00E42075">
            <w:proofErr w:type="spellStart"/>
            <w:r>
              <w:rPr>
                <w:rFonts w:ascii="Times New Roman" w:eastAsia="Times New Roman" w:hAnsi="Times New Roman" w:cs="Times New Roman"/>
                <w:sz w:val="24"/>
                <w:szCs w:val="24"/>
              </w:rPr>
              <w:t>Physically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nets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2021 sample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examine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sides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nets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hypothesize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ending</w:t>
            </w:r>
            <w:proofErr w:type="spellEnd"/>
            <w:r>
              <w:rPr>
                <w:rFonts w:ascii="Times New Roman" w:eastAsia="Times New Roman" w:hAnsi="Times New Roman" w:cs="Times New Roman"/>
                <w:sz w:val="24"/>
                <w:szCs w:val="24"/>
              </w:rPr>
              <w:t xml:space="preserve"> up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marine environment.</w:t>
            </w:r>
          </w:p>
        </w:tc>
      </w:tr>
      <w:tr w:rsidR="005708AC" w14:paraId="68A40A30" w14:textId="77777777" w:rsidTr="0028501A">
        <w:trPr>
          <w:trHeight w:val="1034"/>
        </w:trPr>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B1BCE34" w14:textId="77777777" w:rsidR="005708AC" w:rsidRDefault="005708AC" w:rsidP="00E42075">
            <w:r>
              <w:rPr>
                <w:rFonts w:ascii="Times New Roman" w:eastAsia="Times New Roman" w:hAnsi="Times New Roman" w:cs="Times New Roman"/>
                <w:sz w:val="24"/>
                <w:szCs w:val="24"/>
              </w:rPr>
              <w:t xml:space="preserve">Fishing </w:t>
            </w:r>
            <w:proofErr w:type="spellStart"/>
            <w:r>
              <w:rPr>
                <w:rFonts w:ascii="Times New Roman" w:eastAsia="Times New Roman" w:hAnsi="Times New Roman" w:cs="Times New Roman"/>
                <w:sz w:val="24"/>
                <w:szCs w:val="24"/>
              </w:rPr>
              <w:t>gear</w:t>
            </w:r>
            <w:proofErr w:type="spellEnd"/>
            <w:r>
              <w:rPr>
                <w:rFonts w:ascii="Times New Roman" w:eastAsia="Times New Roman" w:hAnsi="Times New Roman" w:cs="Times New Roman"/>
                <w:sz w:val="24"/>
                <w:szCs w:val="24"/>
              </w:rPr>
              <w:t xml:space="preserve"> expert</w:t>
            </w:r>
          </w:p>
        </w:tc>
        <w:tc>
          <w:tcPr>
            <w:tcW w:w="1467"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4C25904" w14:textId="77777777" w:rsidR="005708AC" w:rsidRDefault="005708AC" w:rsidP="00E42075">
            <w:r>
              <w:rPr>
                <w:rFonts w:ascii="Times New Roman" w:eastAsia="Times New Roman" w:hAnsi="Times New Roman" w:cs="Times New Roman"/>
                <w:sz w:val="24"/>
                <w:szCs w:val="24"/>
              </w:rPr>
              <w:t xml:space="preserve">Gear </w:t>
            </w:r>
            <w:proofErr w:type="spellStart"/>
            <w:r>
              <w:rPr>
                <w:rFonts w:ascii="Times New Roman" w:eastAsia="Times New Roman" w:hAnsi="Times New Roman" w:cs="Times New Roman"/>
                <w:sz w:val="24"/>
                <w:szCs w:val="24"/>
              </w:rPr>
              <w:t>manufacturer</w:t>
            </w:r>
            <w:proofErr w:type="spellEnd"/>
          </w:p>
        </w:tc>
        <w:tc>
          <w:tcPr>
            <w:tcW w:w="1354"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7EDDA3CC" w14:textId="77777777" w:rsidR="005708AC" w:rsidRDefault="005708AC" w:rsidP="00E42075">
            <w:r>
              <w:rPr>
                <w:rFonts w:ascii="Times New Roman" w:eastAsia="Times New Roman" w:hAnsi="Times New Roman" w:cs="Times New Roman"/>
                <w:sz w:val="24"/>
                <w:szCs w:val="24"/>
              </w:rPr>
              <w:t>Netherlands</w:t>
            </w:r>
          </w:p>
        </w:tc>
        <w:tc>
          <w:tcPr>
            <w:tcW w:w="1610"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17E1D5E7" w14:textId="77777777" w:rsidR="005708AC" w:rsidRDefault="005708AC" w:rsidP="00E42075">
            <w:pPr>
              <w:jc w:val="center"/>
            </w:pPr>
            <w:r>
              <w:rPr>
                <w:rFonts w:ascii="Times New Roman" w:eastAsia="Times New Roman" w:hAnsi="Times New Roman" w:cs="Times New Roman"/>
                <w:sz w:val="24"/>
                <w:szCs w:val="24"/>
              </w:rPr>
              <w:t>1</w:t>
            </w:r>
          </w:p>
        </w:tc>
        <w:tc>
          <w:tcPr>
            <w:tcW w:w="4325" w:type="dxa"/>
            <w:tcBorders>
              <w:top w:val="single" w:sz="4" w:space="0" w:color="000000"/>
              <w:left w:val="single" w:sz="4" w:space="0" w:color="000000"/>
              <w:bottom w:val="single" w:sz="4" w:space="0" w:color="000000"/>
              <w:right w:val="single" w:sz="4" w:space="0" w:color="000000"/>
            </w:tcBorders>
            <w:tcMar>
              <w:top w:w="80" w:type="dxa"/>
              <w:left w:w="100" w:type="dxa"/>
              <w:bottom w:w="80" w:type="dxa"/>
              <w:right w:w="100" w:type="dxa"/>
            </w:tcMar>
          </w:tcPr>
          <w:p w14:paraId="4DD7BE15" w14:textId="77777777" w:rsidR="005708AC" w:rsidRDefault="005708AC" w:rsidP="00E42075">
            <w:proofErr w:type="spellStart"/>
            <w:r>
              <w:rPr>
                <w:rFonts w:ascii="Times New Roman" w:eastAsia="Times New Roman" w:hAnsi="Times New Roman" w:cs="Times New Roman"/>
                <w:sz w:val="24"/>
                <w:szCs w:val="24"/>
              </w:rPr>
              <w:t>Physically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examined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 xml:space="preserve"> nets of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2023 sample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hypothesize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cause</w:t>
            </w:r>
            <w:proofErr w:type="spell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ending</w:t>
            </w:r>
            <w:proofErr w:type="spellEnd"/>
            <w:r>
              <w:rPr>
                <w:rFonts w:ascii="Times New Roman" w:eastAsia="Times New Roman" w:hAnsi="Times New Roman" w:cs="Times New Roman"/>
                <w:sz w:val="24"/>
                <w:szCs w:val="24"/>
              </w:rPr>
              <w:t xml:space="preserve"> up in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marine environment.</w:t>
            </w:r>
          </w:p>
        </w:tc>
      </w:tr>
    </w:tbl>
    <w:p w14:paraId="5B44BFB0" w14:textId="77777777" w:rsidR="005708AC" w:rsidRDefault="005708AC" w:rsidP="00432CD1">
      <w:pPr>
        <w:jc w:val="both"/>
        <w:rPr>
          <w:rFonts w:ascii="Times New Roman" w:hAnsi="Times New Roman" w:cs="Times New Roman"/>
          <w:b/>
          <w:bCs/>
          <w:color w:val="000000" w:themeColor="text1"/>
          <w:sz w:val="24"/>
          <w:szCs w:val="24"/>
          <w:lang w:val="en-US"/>
        </w:rPr>
      </w:pPr>
    </w:p>
    <w:p w14:paraId="732B1D05" w14:textId="2755C434" w:rsidR="003510AF" w:rsidRPr="00D0668C" w:rsidRDefault="00EB62E3" w:rsidP="00432CD1">
      <w:pPr>
        <w:jc w:val="both"/>
        <w:rPr>
          <w:rFonts w:ascii="Times New Roman" w:hAnsi="Times New Roman" w:cs="Times New Roman"/>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14:anchorId="2054B9B6" wp14:editId="51DEDB62">
            <wp:extent cx="5731510" cy="3739515"/>
            <wp:effectExtent l="0" t="0" r="0" b="0"/>
            <wp:docPr id="75117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9784" name="Picture 751179784"/>
                    <pic:cNvPicPr/>
                  </pic:nvPicPr>
                  <pic:blipFill>
                    <a:blip r:embed="rId8">
                      <a:extLst>
                        <a:ext uri="{28A0092B-C50C-407E-A947-70E740481C1C}">
                          <a14:useLocalDpi xmlns:a14="http://schemas.microsoft.com/office/drawing/2010/main" val="0"/>
                        </a:ext>
                      </a:extLst>
                    </a:blip>
                    <a:stretch>
                      <a:fillRect/>
                    </a:stretch>
                  </pic:blipFill>
                  <pic:spPr>
                    <a:xfrm>
                      <a:off x="0" y="0"/>
                      <a:ext cx="5731510" cy="3739515"/>
                    </a:xfrm>
                    <a:prstGeom prst="rect">
                      <a:avLst/>
                    </a:prstGeom>
                  </pic:spPr>
                </pic:pic>
              </a:graphicData>
            </a:graphic>
          </wp:inline>
        </w:drawing>
      </w:r>
    </w:p>
    <w:p w14:paraId="5DA3C7A7" w14:textId="5CB4C3C7" w:rsidR="009E5D41" w:rsidRPr="00D0668C" w:rsidRDefault="009E5D41" w:rsidP="009E5D41">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 xml:space="preserve">Figure S1. </w:t>
      </w:r>
      <w:r w:rsidRPr="00D0668C">
        <w:rPr>
          <w:rFonts w:ascii="Times New Roman" w:hAnsi="Times New Roman" w:cs="Times New Roman"/>
          <w:color w:val="000000" w:themeColor="text1"/>
          <w:sz w:val="24"/>
          <w:szCs w:val="24"/>
          <w:lang w:val="en-US"/>
        </w:rPr>
        <w:t xml:space="preserve">Stacked bar plot showing the total count of the most common debris items with identifiable clues of origin and/or dates collected from the </w:t>
      </w:r>
      <w:r w:rsidR="00A647AF" w:rsidRPr="00D0668C">
        <w:rPr>
          <w:rFonts w:ascii="Times New Roman" w:hAnsi="Times New Roman" w:cs="Times New Roman"/>
          <w:sz w:val="24"/>
          <w:szCs w:val="24"/>
          <w:lang w:val="en-GB"/>
        </w:rPr>
        <w:t>Papahānaumokuākea National Marine Sanctuary (PNMS)</w:t>
      </w:r>
      <w:r w:rsidRPr="00D0668C">
        <w:rPr>
          <w:rFonts w:ascii="Times New Roman" w:hAnsi="Times New Roman" w:cs="Times New Roman"/>
          <w:color w:val="000000" w:themeColor="text1"/>
          <w:sz w:val="24"/>
          <w:szCs w:val="24"/>
          <w:lang w:val="en-US"/>
        </w:rPr>
        <w:t>, the Main Hawaiian Islands (MHI), and the North Pacific Garbage Patch (NPGP). The bars display the absolute number of items recorded for each object category, including floats/buoys, drink bottles and containers, caps/lids, cleaner bottles, jerry cans, crates, engine-oil containers, buckets, footwear, fragments (5–50 cm), and other frequently observed items. Categories with fewer than n = 10 items are not represented in the stacked bars but are provided in the Supplementary Information. An inset pie chart summarizes the overall relative proportions of these object categories across all three regions combined.</w:t>
      </w:r>
    </w:p>
    <w:p w14:paraId="051C0728" w14:textId="77777777" w:rsidR="006F18CC" w:rsidRPr="00D0668C" w:rsidRDefault="006F18CC" w:rsidP="006F18CC">
      <w:pPr>
        <w:jc w:val="both"/>
        <w:rPr>
          <w:rFonts w:ascii="Times New Roman" w:hAnsi="Times New Roman" w:cs="Times New Roman"/>
          <w:color w:val="000000" w:themeColor="text1"/>
          <w:sz w:val="24"/>
          <w:szCs w:val="24"/>
          <w:lang w:val="en-US"/>
        </w:rPr>
      </w:pPr>
      <w:r w:rsidRPr="00D0668C">
        <w:rPr>
          <w:rFonts w:ascii="Times New Roman" w:hAnsi="Times New Roman" w:cs="Times New Roman"/>
          <w:noProof/>
          <w:color w:val="000000" w:themeColor="text1"/>
          <w:sz w:val="24"/>
          <w:szCs w:val="24"/>
        </w:rPr>
        <w:lastRenderedPageBreak/>
        <w:drawing>
          <wp:inline distT="0" distB="0" distL="0" distR="0" wp14:anchorId="25CEF79F" wp14:editId="0FFE641C">
            <wp:extent cx="4521200" cy="7200900"/>
            <wp:effectExtent l="0" t="0" r="0" b="0"/>
            <wp:docPr id="171387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78135" name="Picture 1713878135"/>
                    <pic:cNvPicPr/>
                  </pic:nvPicPr>
                  <pic:blipFill>
                    <a:blip r:embed="rId9">
                      <a:extLst>
                        <a:ext uri="{28A0092B-C50C-407E-A947-70E740481C1C}">
                          <a14:useLocalDpi xmlns:a14="http://schemas.microsoft.com/office/drawing/2010/main" val="0"/>
                        </a:ext>
                      </a:extLst>
                    </a:blip>
                    <a:stretch>
                      <a:fillRect/>
                    </a:stretch>
                  </pic:blipFill>
                  <pic:spPr>
                    <a:xfrm>
                      <a:off x="0" y="0"/>
                      <a:ext cx="4521200" cy="7200900"/>
                    </a:xfrm>
                    <a:prstGeom prst="rect">
                      <a:avLst/>
                    </a:prstGeom>
                  </pic:spPr>
                </pic:pic>
              </a:graphicData>
            </a:graphic>
          </wp:inline>
        </w:drawing>
      </w:r>
    </w:p>
    <w:p w14:paraId="425560B3" w14:textId="6C338E59" w:rsidR="00612646" w:rsidRPr="00D0668C" w:rsidRDefault="006F18CC" w:rsidP="006F18CC">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Figure S2:</w:t>
      </w:r>
      <w:r w:rsidRPr="00D0668C">
        <w:rPr>
          <w:rFonts w:ascii="Times New Roman" w:hAnsi="Times New Roman" w:cs="Times New Roman"/>
          <w:color w:val="000000" w:themeColor="text1"/>
          <w:sz w:val="24"/>
          <w:szCs w:val="24"/>
          <w:lang w:val="en-US"/>
        </w:rPr>
        <w:t xml:space="preserve"> Oldest debris items with identifiable production dates and inferred origins collected from the North Pacific. Items include (A) a white </w:t>
      </w:r>
      <w:proofErr w:type="spellStart"/>
      <w:r w:rsidRPr="00D0668C">
        <w:rPr>
          <w:rFonts w:ascii="Times New Roman" w:hAnsi="Times New Roman" w:cs="Times New Roman"/>
          <w:color w:val="000000" w:themeColor="text1"/>
          <w:sz w:val="24"/>
          <w:szCs w:val="24"/>
          <w:lang w:val="en-US"/>
        </w:rPr>
        <w:t>Plastech</w:t>
      </w:r>
      <w:proofErr w:type="spellEnd"/>
      <w:r w:rsidRPr="00D0668C">
        <w:rPr>
          <w:rFonts w:ascii="Times New Roman" w:hAnsi="Times New Roman" w:cs="Times New Roman"/>
          <w:color w:val="000000" w:themeColor="text1"/>
          <w:sz w:val="24"/>
          <w:szCs w:val="24"/>
          <w:lang w:val="en-US"/>
        </w:rPr>
        <w:t xml:space="preserve"> float (500 g) produced in 1960 in Taiwan, collected in the Main Hawaiian Islands (MHI), </w:t>
      </w:r>
      <w:proofErr w:type="spellStart"/>
      <w:r w:rsidRPr="00D0668C">
        <w:rPr>
          <w:rFonts w:ascii="Times New Roman" w:hAnsi="Times New Roman" w:cs="Times New Roman"/>
          <w:color w:val="000000" w:themeColor="text1"/>
          <w:sz w:val="24"/>
          <w:szCs w:val="24"/>
          <w:lang w:val="en-US"/>
        </w:rPr>
        <w:t>Molokaʻi</w:t>
      </w:r>
      <w:proofErr w:type="spellEnd"/>
      <w:r w:rsidRPr="00D0668C">
        <w:rPr>
          <w:rFonts w:ascii="Times New Roman" w:hAnsi="Times New Roman" w:cs="Times New Roman"/>
          <w:color w:val="000000" w:themeColor="text1"/>
          <w:sz w:val="24"/>
          <w:szCs w:val="24"/>
          <w:lang w:val="en-US"/>
        </w:rPr>
        <w:t xml:space="preserve"> (September 2025); (B) a U.S. Navy sonobuoy float (4900 g) with an exact production date of 1960-04-09, collected in the MHI, </w:t>
      </w:r>
      <w:proofErr w:type="spellStart"/>
      <w:r w:rsidRPr="00D0668C">
        <w:rPr>
          <w:rFonts w:ascii="Times New Roman" w:hAnsi="Times New Roman" w:cs="Times New Roman"/>
          <w:color w:val="000000" w:themeColor="text1"/>
          <w:sz w:val="24"/>
          <w:szCs w:val="24"/>
          <w:lang w:val="en-US"/>
        </w:rPr>
        <w:t>Oʻahu</w:t>
      </w:r>
      <w:proofErr w:type="spellEnd"/>
      <w:r w:rsidRPr="00D0668C">
        <w:rPr>
          <w:rFonts w:ascii="Times New Roman" w:hAnsi="Times New Roman" w:cs="Times New Roman"/>
          <w:color w:val="000000" w:themeColor="text1"/>
          <w:sz w:val="24"/>
          <w:szCs w:val="24"/>
          <w:lang w:val="en-US"/>
        </w:rPr>
        <w:t xml:space="preserve"> (Kahuku Beach; June 2025); (C) an orange jerry can (840 g) produced in 1961 in Japan, collected in the North Pacific Garbage Patch (NPGP; July 2025); and (D) a white bucket (1026 g) with unknown origin with an exact production date of 1963-10-24, collected in the NPGP (March 2024).</w:t>
      </w:r>
    </w:p>
    <w:p w14:paraId="6410E49B" w14:textId="77777777" w:rsidR="00364132" w:rsidRPr="00D0668C" w:rsidRDefault="00364132" w:rsidP="00364132">
      <w:pPr>
        <w:jc w:val="both"/>
        <w:rPr>
          <w:rFonts w:ascii="Times New Roman" w:hAnsi="Times New Roman" w:cs="Times New Roman"/>
          <w:color w:val="000000" w:themeColor="text1"/>
          <w:sz w:val="24"/>
          <w:szCs w:val="24"/>
          <w:lang w:val="en-US"/>
        </w:rPr>
      </w:pPr>
    </w:p>
    <w:p w14:paraId="771EEC0A" w14:textId="1DC79797" w:rsidR="00364132" w:rsidRPr="00D0668C" w:rsidRDefault="00E260BD" w:rsidP="00364132">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3ECAB91" wp14:editId="62328CE6">
            <wp:extent cx="5731510" cy="3592830"/>
            <wp:effectExtent l="0" t="0" r="0" b="1270"/>
            <wp:docPr id="11011965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96520" name="Picture 1101196520"/>
                    <pic:cNvPicPr/>
                  </pic:nvPicPr>
                  <pic:blipFill>
                    <a:blip r:embed="rId10">
                      <a:extLst>
                        <a:ext uri="{28A0092B-C50C-407E-A947-70E740481C1C}">
                          <a14:useLocalDpi xmlns:a14="http://schemas.microsoft.com/office/drawing/2010/main" val="0"/>
                        </a:ext>
                      </a:extLst>
                    </a:blip>
                    <a:stretch>
                      <a:fillRect/>
                    </a:stretch>
                  </pic:blipFill>
                  <pic:spPr>
                    <a:xfrm>
                      <a:off x="0" y="0"/>
                      <a:ext cx="5731510" cy="3592830"/>
                    </a:xfrm>
                    <a:prstGeom prst="rect">
                      <a:avLst/>
                    </a:prstGeom>
                  </pic:spPr>
                </pic:pic>
              </a:graphicData>
            </a:graphic>
          </wp:inline>
        </w:drawing>
      </w:r>
    </w:p>
    <w:p w14:paraId="785244C0" w14:textId="7AECE29E" w:rsidR="00364132" w:rsidRPr="00D0668C" w:rsidRDefault="00364132" w:rsidP="00364132">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Figure S3:</w:t>
      </w:r>
      <w:r w:rsidRPr="00D0668C">
        <w:rPr>
          <w:rFonts w:ascii="Times New Roman" w:hAnsi="Times New Roman" w:cs="Times New Roman"/>
          <w:color w:val="000000" w:themeColor="text1"/>
          <w:sz w:val="24"/>
          <w:szCs w:val="24"/>
          <w:lang w:val="en-US"/>
        </w:rPr>
        <w:t xml:space="preserve"> Polymer composition of debris collected from the </w:t>
      </w:r>
      <w:r w:rsidR="00CA056C" w:rsidRPr="00D0668C">
        <w:rPr>
          <w:rFonts w:ascii="Times New Roman" w:hAnsi="Times New Roman" w:cs="Times New Roman"/>
          <w:sz w:val="24"/>
          <w:szCs w:val="24"/>
          <w:lang w:val="en-GB"/>
        </w:rPr>
        <w:t>Papahānaumokuākea National Marine Sanctuary (PNMS)</w:t>
      </w:r>
      <w:r w:rsidRPr="00D0668C">
        <w:rPr>
          <w:rFonts w:ascii="Times New Roman" w:hAnsi="Times New Roman" w:cs="Times New Roman"/>
          <w:color w:val="000000" w:themeColor="text1"/>
          <w:sz w:val="24"/>
          <w:szCs w:val="24"/>
          <w:lang w:val="en-US"/>
        </w:rPr>
        <w:t>, the Main Hawaiian Islands (MHI), and the North Pacific Garbage Patch (NPGP). A total of 4,</w:t>
      </w:r>
      <w:r w:rsidR="001A4480" w:rsidRPr="00D0668C">
        <w:rPr>
          <w:rFonts w:ascii="Times New Roman" w:hAnsi="Times New Roman" w:cs="Times New Roman"/>
          <w:color w:val="000000" w:themeColor="text1"/>
          <w:sz w:val="24"/>
          <w:szCs w:val="24"/>
          <w:lang w:val="en-US"/>
        </w:rPr>
        <w:t>925</w:t>
      </w:r>
      <w:r w:rsidRPr="00D0668C">
        <w:rPr>
          <w:rFonts w:ascii="Times New Roman" w:hAnsi="Times New Roman" w:cs="Times New Roman"/>
          <w:color w:val="000000" w:themeColor="text1"/>
          <w:sz w:val="24"/>
          <w:szCs w:val="24"/>
          <w:lang w:val="en-US"/>
        </w:rPr>
        <w:t xml:space="preserve"> items with identifiable polymer types were analyzed, and the figure presents the total count of the primary polymer categories: polyethylene terephthalate (PET; #1), high-density polyethylene (HDPE; #2), polyvinylchloride (PVC; #3), low-density polyethylene (LDPE; #4), polypropylene (PP; #5), polystyrene (PS; #6), Other polymers (#7), and polylactic acid (PLA).</w:t>
      </w:r>
    </w:p>
    <w:p w14:paraId="07246307" w14:textId="77777777" w:rsidR="00364132" w:rsidRPr="00D0668C" w:rsidRDefault="00364132" w:rsidP="00364132">
      <w:pPr>
        <w:jc w:val="both"/>
        <w:rPr>
          <w:rFonts w:ascii="Times New Roman" w:hAnsi="Times New Roman" w:cs="Times New Roman"/>
          <w:color w:val="000000" w:themeColor="text1"/>
          <w:sz w:val="24"/>
          <w:szCs w:val="24"/>
          <w:lang w:val="en-US"/>
        </w:rPr>
      </w:pPr>
      <w:r w:rsidRPr="00D0668C">
        <w:rPr>
          <w:rFonts w:ascii="Times New Roman" w:hAnsi="Times New Roman" w:cs="Times New Roman"/>
          <w:color w:val="000000" w:themeColor="text1"/>
          <w:sz w:val="24"/>
          <w:szCs w:val="24"/>
          <w:lang w:val="en-US"/>
        </w:rPr>
        <w:br w:type="page"/>
      </w:r>
    </w:p>
    <w:p w14:paraId="19F7BEF7" w14:textId="77777777" w:rsidR="00364132" w:rsidRPr="00D0668C" w:rsidRDefault="00364132" w:rsidP="00364132">
      <w:pPr>
        <w:jc w:val="both"/>
        <w:rPr>
          <w:rFonts w:ascii="Times New Roman" w:hAnsi="Times New Roman" w:cs="Times New Roman"/>
          <w:b/>
          <w:bCs/>
          <w:color w:val="000000" w:themeColor="text1"/>
          <w:sz w:val="24"/>
          <w:szCs w:val="24"/>
        </w:rPr>
      </w:pPr>
      <w:r w:rsidRPr="00D0668C">
        <w:rPr>
          <w:rFonts w:ascii="Times New Roman" w:hAnsi="Times New Roman" w:cs="Times New Roman"/>
          <w:b/>
          <w:bCs/>
          <w:noProof/>
          <w:color w:val="000000" w:themeColor="text1"/>
          <w:sz w:val="24"/>
          <w:szCs w:val="24"/>
        </w:rPr>
        <w:lastRenderedPageBreak/>
        <w:drawing>
          <wp:inline distT="0" distB="0" distL="0" distR="0" wp14:anchorId="17ECE9E5" wp14:editId="76D5C4B7">
            <wp:extent cx="5664200" cy="5143500"/>
            <wp:effectExtent l="0" t="0" r="0" b="0"/>
            <wp:docPr id="2052118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18591" name="Picture 2052118591"/>
                    <pic:cNvPicPr/>
                  </pic:nvPicPr>
                  <pic:blipFill>
                    <a:blip r:embed="rId11">
                      <a:extLst>
                        <a:ext uri="{28A0092B-C50C-407E-A947-70E740481C1C}">
                          <a14:useLocalDpi xmlns:a14="http://schemas.microsoft.com/office/drawing/2010/main" val="0"/>
                        </a:ext>
                      </a:extLst>
                    </a:blip>
                    <a:stretch>
                      <a:fillRect/>
                    </a:stretch>
                  </pic:blipFill>
                  <pic:spPr>
                    <a:xfrm>
                      <a:off x="0" y="0"/>
                      <a:ext cx="5664200" cy="5143500"/>
                    </a:xfrm>
                    <a:prstGeom prst="rect">
                      <a:avLst/>
                    </a:prstGeom>
                  </pic:spPr>
                </pic:pic>
              </a:graphicData>
            </a:graphic>
          </wp:inline>
        </w:drawing>
      </w:r>
    </w:p>
    <w:p w14:paraId="5065BEC7" w14:textId="6B86ACF0" w:rsidR="00364132" w:rsidRPr="00D0668C" w:rsidRDefault="00364132" w:rsidP="00364132">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Figure S4.</w:t>
      </w:r>
      <w:r w:rsidRPr="00D0668C">
        <w:rPr>
          <w:rFonts w:ascii="Times New Roman" w:hAnsi="Times New Roman" w:cs="Times New Roman"/>
          <w:color w:val="000000" w:themeColor="text1"/>
          <w:sz w:val="24"/>
          <w:szCs w:val="24"/>
          <w:lang w:val="en-US"/>
        </w:rPr>
        <w:t xml:space="preserve"> </w:t>
      </w:r>
      <w:proofErr w:type="spellStart"/>
      <w:r w:rsidRPr="00D0668C">
        <w:rPr>
          <w:rFonts w:ascii="Times New Roman" w:hAnsi="Times New Roman" w:cs="Times New Roman"/>
          <w:color w:val="000000" w:themeColor="text1"/>
          <w:sz w:val="24"/>
          <w:szCs w:val="24"/>
          <w:lang w:val="en-US"/>
        </w:rPr>
        <w:t>Colo</w:t>
      </w:r>
      <w:r w:rsidR="00E1145E" w:rsidRPr="00D0668C">
        <w:rPr>
          <w:rFonts w:ascii="Times New Roman" w:hAnsi="Times New Roman" w:cs="Times New Roman"/>
          <w:color w:val="000000" w:themeColor="text1"/>
          <w:sz w:val="24"/>
          <w:szCs w:val="24"/>
          <w:lang w:val="en-US"/>
        </w:rPr>
        <w:t>u</w:t>
      </w:r>
      <w:r w:rsidRPr="00D0668C">
        <w:rPr>
          <w:rFonts w:ascii="Times New Roman" w:hAnsi="Times New Roman" w:cs="Times New Roman"/>
          <w:color w:val="000000" w:themeColor="text1"/>
          <w:sz w:val="24"/>
          <w:szCs w:val="24"/>
          <w:lang w:val="en-US"/>
        </w:rPr>
        <w:t>r</w:t>
      </w:r>
      <w:proofErr w:type="spellEnd"/>
      <w:r w:rsidRPr="00D0668C">
        <w:rPr>
          <w:rFonts w:ascii="Times New Roman" w:hAnsi="Times New Roman" w:cs="Times New Roman"/>
          <w:color w:val="000000" w:themeColor="text1"/>
          <w:sz w:val="24"/>
          <w:szCs w:val="24"/>
          <w:lang w:val="en-US"/>
        </w:rPr>
        <w:t xml:space="preserve"> distribution of plastic debris collected from all study regions combined (A), the North Pacific Garbage Patch (NPGP; B), the Main Hawaiian Islands (MHI; C), and the </w:t>
      </w:r>
      <w:r w:rsidR="00CA056C" w:rsidRPr="00D0668C">
        <w:rPr>
          <w:rFonts w:ascii="Times New Roman" w:hAnsi="Times New Roman" w:cs="Times New Roman"/>
          <w:sz w:val="24"/>
          <w:szCs w:val="24"/>
          <w:lang w:val="en-GB"/>
        </w:rPr>
        <w:t>Papahānaumokuākea National Marine Sanctuary (PNMS</w:t>
      </w:r>
      <w:r w:rsidRPr="00D0668C">
        <w:rPr>
          <w:rFonts w:ascii="Times New Roman" w:hAnsi="Times New Roman" w:cs="Times New Roman"/>
          <w:color w:val="000000" w:themeColor="text1"/>
          <w:sz w:val="24"/>
          <w:szCs w:val="24"/>
          <w:lang w:val="en-US"/>
        </w:rPr>
        <w:t xml:space="preserve">; D). A total of </w:t>
      </w:r>
      <w:r w:rsidR="009F69C0" w:rsidRPr="00D0668C">
        <w:rPr>
          <w:rFonts w:ascii="Times New Roman" w:hAnsi="Times New Roman" w:cs="Times New Roman"/>
          <w:color w:val="000000" w:themeColor="text1"/>
          <w:sz w:val="24"/>
          <w:szCs w:val="24"/>
          <w:lang w:val="en-US"/>
        </w:rPr>
        <w:t>19</w:t>
      </w:r>
      <w:r w:rsidRPr="00D0668C">
        <w:rPr>
          <w:rFonts w:ascii="Times New Roman" w:hAnsi="Times New Roman" w:cs="Times New Roman"/>
          <w:color w:val="000000" w:themeColor="text1"/>
          <w:sz w:val="24"/>
          <w:szCs w:val="24"/>
          <w:lang w:val="en-US"/>
        </w:rPr>
        <w:t>,</w:t>
      </w:r>
      <w:r w:rsidR="009F69C0" w:rsidRPr="00D0668C">
        <w:rPr>
          <w:rFonts w:ascii="Times New Roman" w:hAnsi="Times New Roman" w:cs="Times New Roman"/>
          <w:color w:val="000000" w:themeColor="text1"/>
          <w:sz w:val="24"/>
          <w:szCs w:val="24"/>
          <w:lang w:val="en-US"/>
        </w:rPr>
        <w:t>064</w:t>
      </w:r>
      <w:r w:rsidRPr="00D0668C">
        <w:rPr>
          <w:rFonts w:ascii="Times New Roman" w:hAnsi="Times New Roman" w:cs="Times New Roman"/>
          <w:color w:val="000000" w:themeColor="text1"/>
          <w:sz w:val="24"/>
          <w:szCs w:val="24"/>
          <w:lang w:val="en-US"/>
        </w:rPr>
        <w:t xml:space="preserve"> items were analyzed, and each pie chart shows the relative proportions of the ten most common debris </w:t>
      </w:r>
      <w:proofErr w:type="spellStart"/>
      <w:r w:rsidRPr="00D0668C">
        <w:rPr>
          <w:rFonts w:ascii="Times New Roman" w:hAnsi="Times New Roman" w:cs="Times New Roman"/>
          <w:color w:val="000000" w:themeColor="text1"/>
          <w:sz w:val="24"/>
          <w:szCs w:val="24"/>
          <w:lang w:val="en-US"/>
        </w:rPr>
        <w:t>colo</w:t>
      </w:r>
      <w:r w:rsidR="00E1145E" w:rsidRPr="00D0668C">
        <w:rPr>
          <w:rFonts w:ascii="Times New Roman" w:hAnsi="Times New Roman" w:cs="Times New Roman"/>
          <w:color w:val="000000" w:themeColor="text1"/>
          <w:sz w:val="24"/>
          <w:szCs w:val="24"/>
          <w:lang w:val="en-US"/>
        </w:rPr>
        <w:t>u</w:t>
      </w:r>
      <w:r w:rsidRPr="00D0668C">
        <w:rPr>
          <w:rFonts w:ascii="Times New Roman" w:hAnsi="Times New Roman" w:cs="Times New Roman"/>
          <w:color w:val="000000" w:themeColor="text1"/>
          <w:sz w:val="24"/>
          <w:szCs w:val="24"/>
          <w:lang w:val="en-US"/>
        </w:rPr>
        <w:t>rs</w:t>
      </w:r>
      <w:proofErr w:type="spellEnd"/>
      <w:r w:rsidRPr="00D0668C">
        <w:rPr>
          <w:rFonts w:ascii="Times New Roman" w:hAnsi="Times New Roman" w:cs="Times New Roman"/>
          <w:color w:val="000000" w:themeColor="text1"/>
          <w:sz w:val="24"/>
          <w:szCs w:val="24"/>
          <w:lang w:val="en-US"/>
        </w:rPr>
        <w:t xml:space="preserve">, including blue, black, white, clear, yellow, orange, green, grey, red, and beige. </w:t>
      </w:r>
      <w:proofErr w:type="spellStart"/>
      <w:r w:rsidRPr="00D0668C">
        <w:rPr>
          <w:rFonts w:ascii="Times New Roman" w:hAnsi="Times New Roman" w:cs="Times New Roman"/>
          <w:color w:val="000000" w:themeColor="text1"/>
          <w:sz w:val="24"/>
          <w:szCs w:val="24"/>
          <w:lang w:val="en-US"/>
        </w:rPr>
        <w:t>Colo</w:t>
      </w:r>
      <w:r w:rsidR="00E1145E" w:rsidRPr="00D0668C">
        <w:rPr>
          <w:rFonts w:ascii="Times New Roman" w:hAnsi="Times New Roman" w:cs="Times New Roman"/>
          <w:color w:val="000000" w:themeColor="text1"/>
          <w:sz w:val="24"/>
          <w:szCs w:val="24"/>
          <w:lang w:val="en-US"/>
        </w:rPr>
        <w:t>u</w:t>
      </w:r>
      <w:r w:rsidRPr="00D0668C">
        <w:rPr>
          <w:rFonts w:ascii="Times New Roman" w:hAnsi="Times New Roman" w:cs="Times New Roman"/>
          <w:color w:val="000000" w:themeColor="text1"/>
          <w:sz w:val="24"/>
          <w:szCs w:val="24"/>
          <w:lang w:val="en-US"/>
        </w:rPr>
        <w:t>r</w:t>
      </w:r>
      <w:proofErr w:type="spellEnd"/>
      <w:r w:rsidRPr="00D0668C">
        <w:rPr>
          <w:rFonts w:ascii="Times New Roman" w:hAnsi="Times New Roman" w:cs="Times New Roman"/>
          <w:color w:val="000000" w:themeColor="text1"/>
          <w:sz w:val="24"/>
          <w:szCs w:val="24"/>
          <w:lang w:val="en-US"/>
        </w:rPr>
        <w:t xml:space="preserve"> categories not shown in the charts but are provided in the Supplementary Information (SI).</w:t>
      </w:r>
    </w:p>
    <w:p w14:paraId="12E24ADF" w14:textId="77777777" w:rsidR="007415E2" w:rsidRPr="00D0668C" w:rsidRDefault="007415E2" w:rsidP="00364132">
      <w:pPr>
        <w:jc w:val="both"/>
        <w:rPr>
          <w:rFonts w:ascii="Times New Roman" w:hAnsi="Times New Roman" w:cs="Times New Roman"/>
          <w:color w:val="000000" w:themeColor="text1"/>
          <w:sz w:val="24"/>
          <w:szCs w:val="24"/>
          <w:lang w:val="en-US"/>
        </w:rPr>
      </w:pPr>
    </w:p>
    <w:p w14:paraId="2D2E2683" w14:textId="28A560CF" w:rsidR="007415E2" w:rsidRPr="00D0668C" w:rsidRDefault="00D0130B" w:rsidP="007415E2">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14:anchorId="2BAA46B1" wp14:editId="4FB5E9BD">
            <wp:extent cx="5731510" cy="5756910"/>
            <wp:effectExtent l="0" t="0" r="0" b="0"/>
            <wp:docPr id="1525978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8805" name="Picture 1525978805"/>
                    <pic:cNvPicPr/>
                  </pic:nvPicPr>
                  <pic:blipFill>
                    <a:blip r:embed="rId12">
                      <a:extLst>
                        <a:ext uri="{28A0092B-C50C-407E-A947-70E740481C1C}">
                          <a14:useLocalDpi xmlns:a14="http://schemas.microsoft.com/office/drawing/2010/main" val="0"/>
                        </a:ext>
                      </a:extLst>
                    </a:blip>
                    <a:stretch>
                      <a:fillRect/>
                    </a:stretch>
                  </pic:blipFill>
                  <pic:spPr>
                    <a:xfrm>
                      <a:off x="0" y="0"/>
                      <a:ext cx="5731510" cy="5756910"/>
                    </a:xfrm>
                    <a:prstGeom prst="rect">
                      <a:avLst/>
                    </a:prstGeom>
                  </pic:spPr>
                </pic:pic>
              </a:graphicData>
            </a:graphic>
          </wp:inline>
        </w:drawing>
      </w:r>
    </w:p>
    <w:p w14:paraId="5E8841A3" w14:textId="6B535428" w:rsidR="007415E2" w:rsidRPr="00D0668C" w:rsidRDefault="007415E2" w:rsidP="007415E2">
      <w:pPr>
        <w:pStyle w:val="NormalWeb"/>
        <w:jc w:val="both"/>
        <w:rPr>
          <w:color w:val="000000" w:themeColor="text1"/>
        </w:rPr>
      </w:pPr>
      <w:r w:rsidRPr="00D0668C">
        <w:rPr>
          <w:b/>
          <w:bCs/>
          <w:color w:val="000000" w:themeColor="text1"/>
        </w:rPr>
        <w:t>Figure S5.</w:t>
      </w:r>
      <w:r w:rsidRPr="00D0668C">
        <w:rPr>
          <w:color w:val="000000" w:themeColor="text1"/>
        </w:rPr>
        <w:t xml:space="preserve"> ONE APUS container-spill debris collected across three study regions: the North Pacific Garbage Patch (NPGP), the Main Hawaiian Islands (MHI), and the </w:t>
      </w:r>
      <w:r w:rsidR="00CA056C" w:rsidRPr="00D0668C">
        <w:t>Papahānaumokuākea National Marine Sanctuary (PNMS)</w:t>
      </w:r>
      <w:r w:rsidRPr="00D0668C">
        <w:rPr>
          <w:color w:val="000000" w:themeColor="text1"/>
        </w:rPr>
        <w:t xml:space="preserve">. A total of 1,622 items were </w:t>
      </w:r>
      <w:proofErr w:type="spellStart"/>
      <w:r w:rsidRPr="00D0668C">
        <w:rPr>
          <w:color w:val="000000" w:themeColor="text1"/>
        </w:rPr>
        <w:t>analyzed</w:t>
      </w:r>
      <w:proofErr w:type="spellEnd"/>
      <w:r w:rsidRPr="00D0668C">
        <w:rPr>
          <w:color w:val="000000" w:themeColor="text1"/>
        </w:rPr>
        <w:t>. (A) Percentage of ONE APUS debris mass relative to the total mass of hard plastic debris collected for each sampling event across regions and locations. (B) Distribution (item counts) of debris types originating from the ONE APUS spill, recovered annually across the three regions. (C) Time series of ONE APUS debris collected during monthly cleanups at James Campbell National Wildlife Refuge on Oʻahu, expressed as a percentage of total weight per cleanup. (D) Total counts for each item category across the three regions.</w:t>
      </w:r>
      <w:r w:rsidRPr="00D0668C">
        <w:rPr>
          <w:color w:val="000000" w:themeColor="text1"/>
        </w:rPr>
        <w:br/>
        <w:t>(E) Top 15 brands identified across all regions; additional brands are provided in the Supplementary Information (SI). (F) Distribution of sandals, shoes, and soles by right versus left orientation across the three regions.</w:t>
      </w:r>
    </w:p>
    <w:p w14:paraId="26247DF9" w14:textId="77777777" w:rsidR="00B313EB" w:rsidRPr="00D0668C" w:rsidRDefault="00B313EB" w:rsidP="007415E2">
      <w:pPr>
        <w:pStyle w:val="NormalWeb"/>
        <w:jc w:val="both"/>
        <w:rPr>
          <w:color w:val="000000" w:themeColor="text1"/>
        </w:rPr>
      </w:pPr>
    </w:p>
    <w:p w14:paraId="436A0C65" w14:textId="77777777" w:rsidR="000B51AF" w:rsidRPr="00D0668C" w:rsidRDefault="000B51AF" w:rsidP="00DB6B97">
      <w:pPr>
        <w:jc w:val="both"/>
        <w:rPr>
          <w:rFonts w:ascii="Times New Roman" w:hAnsi="Times New Roman" w:cs="Times New Roman"/>
          <w:b/>
          <w:bCs/>
          <w:color w:val="000000" w:themeColor="text1"/>
          <w:sz w:val="24"/>
          <w:szCs w:val="24"/>
          <w:lang w:val="en-US"/>
        </w:rPr>
      </w:pPr>
      <w:r w:rsidRPr="00D0668C">
        <w:rPr>
          <w:rFonts w:ascii="Times New Roman" w:hAnsi="Times New Roman" w:cs="Times New Roman"/>
          <w:b/>
          <w:bCs/>
          <w:noProof/>
          <w:color w:val="000000" w:themeColor="text1"/>
          <w:sz w:val="24"/>
          <w:szCs w:val="24"/>
          <w:lang w:val="en-US"/>
        </w:rPr>
        <w:lastRenderedPageBreak/>
        <w:drawing>
          <wp:inline distT="0" distB="0" distL="0" distR="0" wp14:anchorId="5B5CBA2A" wp14:editId="28E53523">
            <wp:extent cx="5113655" cy="8863330"/>
            <wp:effectExtent l="0" t="0" r="4445" b="1270"/>
            <wp:docPr id="18178483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48369" name="Picture 1817848369"/>
                    <pic:cNvPicPr/>
                  </pic:nvPicPr>
                  <pic:blipFill>
                    <a:blip r:embed="rId13">
                      <a:extLst>
                        <a:ext uri="{28A0092B-C50C-407E-A947-70E740481C1C}">
                          <a14:useLocalDpi xmlns:a14="http://schemas.microsoft.com/office/drawing/2010/main" val="0"/>
                        </a:ext>
                      </a:extLst>
                    </a:blip>
                    <a:stretch>
                      <a:fillRect/>
                    </a:stretch>
                  </pic:blipFill>
                  <pic:spPr>
                    <a:xfrm>
                      <a:off x="0" y="0"/>
                      <a:ext cx="5113655" cy="8863330"/>
                    </a:xfrm>
                    <a:prstGeom prst="rect">
                      <a:avLst/>
                    </a:prstGeom>
                  </pic:spPr>
                </pic:pic>
              </a:graphicData>
            </a:graphic>
          </wp:inline>
        </w:drawing>
      </w:r>
    </w:p>
    <w:p w14:paraId="6BCA906F" w14:textId="347F0F0C" w:rsidR="00DB6B97" w:rsidRPr="0028501A" w:rsidRDefault="00DB6B97" w:rsidP="00CA2BCA">
      <w:pPr>
        <w:jc w:val="both"/>
        <w:rPr>
          <w:rFonts w:ascii="Times New Roman" w:hAnsi="Times New Roman" w:cs="Times New Roman"/>
          <w:color w:val="000000" w:themeColor="text1"/>
          <w:sz w:val="24"/>
          <w:szCs w:val="24"/>
        </w:rPr>
      </w:pPr>
      <w:r w:rsidRPr="00D0668C">
        <w:rPr>
          <w:rFonts w:ascii="Times New Roman" w:hAnsi="Times New Roman" w:cs="Times New Roman"/>
          <w:b/>
          <w:bCs/>
          <w:color w:val="000000" w:themeColor="text1"/>
          <w:sz w:val="24"/>
          <w:szCs w:val="24"/>
          <w:lang w:val="en-US"/>
        </w:rPr>
        <w:lastRenderedPageBreak/>
        <w:t xml:space="preserve">Figure S6: </w:t>
      </w:r>
      <w:r w:rsidR="00CA2BCA" w:rsidRPr="00D0668C">
        <w:rPr>
          <w:rFonts w:ascii="Times New Roman" w:hAnsi="Times New Roman" w:cs="Times New Roman"/>
          <w:color w:val="000000" w:themeColor="text1"/>
          <w:sz w:val="24"/>
          <w:szCs w:val="24"/>
          <w:lang w:val="en-US"/>
        </w:rPr>
        <w:t xml:space="preserve">Photographic inventory of debris items attributed to the ONE APUS container spill (November 2020), recovered across the North Pacific Garbage Patch (NPGP), the Main Hawaiian Islands (MHI), and the </w:t>
      </w:r>
      <w:r w:rsidR="00FE751C" w:rsidRPr="00D0668C">
        <w:rPr>
          <w:rFonts w:ascii="Times New Roman" w:hAnsi="Times New Roman" w:cs="Times New Roman"/>
          <w:color w:val="000000" w:themeColor="text1"/>
          <w:sz w:val="24"/>
          <w:szCs w:val="24"/>
          <w:lang w:val="en-US"/>
        </w:rPr>
        <w:t>Papahānaumokuākea National Marine Sanctuary (PNMS)</w:t>
      </w:r>
      <w:r w:rsidR="00CA2BCA" w:rsidRPr="00D0668C">
        <w:rPr>
          <w:rFonts w:ascii="Times New Roman" w:hAnsi="Times New Roman" w:cs="Times New Roman"/>
          <w:color w:val="000000" w:themeColor="text1"/>
          <w:sz w:val="24"/>
          <w:szCs w:val="24"/>
          <w:lang w:val="en-US"/>
        </w:rPr>
        <w:t>. Photographs depict items collected at the PNM</w:t>
      </w:r>
      <w:r w:rsidR="00BD1809" w:rsidRPr="00D0668C">
        <w:rPr>
          <w:rFonts w:ascii="Times New Roman" w:hAnsi="Times New Roman" w:cs="Times New Roman"/>
          <w:color w:val="000000" w:themeColor="text1"/>
          <w:sz w:val="24"/>
          <w:szCs w:val="24"/>
          <w:lang w:val="en-US"/>
        </w:rPr>
        <w:t>S</w:t>
      </w:r>
      <w:r w:rsidR="00CA2BCA" w:rsidRPr="00D0668C">
        <w:rPr>
          <w:rFonts w:ascii="Times New Roman" w:hAnsi="Times New Roman" w:cs="Times New Roman"/>
          <w:color w:val="000000" w:themeColor="text1"/>
          <w:sz w:val="24"/>
          <w:szCs w:val="24"/>
          <w:lang w:val="en-US"/>
        </w:rPr>
        <w:t xml:space="preserve"> in 2024, which yielded the largest single-site recovery of ONE APUS-attributed debris in this study; equivalent item types were identified across all three collection sites. (A) Complete inventory of ONE APUS-attributed items recovered at the </w:t>
      </w:r>
      <w:r w:rsidR="00BD1809" w:rsidRPr="00D0668C">
        <w:rPr>
          <w:rFonts w:ascii="Times New Roman" w:hAnsi="Times New Roman" w:cs="Times New Roman"/>
          <w:color w:val="000000" w:themeColor="text1"/>
          <w:sz w:val="24"/>
          <w:szCs w:val="24"/>
          <w:lang w:val="en-US"/>
        </w:rPr>
        <w:t xml:space="preserve">PNMS </w:t>
      </w:r>
      <w:r w:rsidR="00CA2BCA" w:rsidRPr="00D0668C">
        <w:rPr>
          <w:rFonts w:ascii="Times New Roman" w:hAnsi="Times New Roman" w:cs="Times New Roman"/>
          <w:color w:val="000000" w:themeColor="text1"/>
          <w:sz w:val="24"/>
          <w:szCs w:val="24"/>
          <w:lang w:val="en-US"/>
        </w:rPr>
        <w:t>in 2024, arranged by category at the sorting facility. (B) Athletic footwear. (C) Flip-flops. (D–E) Clog-style sandals (Crocs), the most numerically abundant item type across all sites. (F) Soles of athletic footwear. (G) Wilson-branded volleyball balls. (H) Tennis balls. (I) Protective padding for skating and skateboarding. (J) Bicycle helmets and other recreational helmet types.</w:t>
      </w:r>
    </w:p>
    <w:p w14:paraId="49A9CA29" w14:textId="77777777" w:rsidR="009801E9" w:rsidRPr="00D0668C" w:rsidRDefault="009801E9" w:rsidP="009801E9">
      <w:pPr>
        <w:jc w:val="both"/>
        <w:rPr>
          <w:rFonts w:ascii="Times New Roman" w:hAnsi="Times New Roman" w:cs="Times New Roman"/>
          <w:b/>
          <w:bCs/>
          <w:color w:val="000000" w:themeColor="text1"/>
          <w:sz w:val="24"/>
          <w:szCs w:val="24"/>
        </w:rPr>
      </w:pPr>
      <w:r w:rsidRPr="00D0668C">
        <w:rPr>
          <w:rFonts w:ascii="Times New Roman" w:hAnsi="Times New Roman" w:cs="Times New Roman"/>
          <w:b/>
          <w:bCs/>
          <w:noProof/>
          <w:color w:val="000000" w:themeColor="text1"/>
          <w:sz w:val="24"/>
          <w:szCs w:val="24"/>
        </w:rPr>
        <w:drawing>
          <wp:inline distT="0" distB="0" distL="0" distR="0" wp14:anchorId="298DF9F6" wp14:editId="46BB1F18">
            <wp:extent cx="5196469" cy="4134417"/>
            <wp:effectExtent l="0" t="0" r="0" b="6350"/>
            <wp:docPr id="57203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6192" name="Picture 572036192"/>
                    <pic:cNvPicPr/>
                  </pic:nvPicPr>
                  <pic:blipFill>
                    <a:blip r:embed="rId14">
                      <a:extLst>
                        <a:ext uri="{28A0092B-C50C-407E-A947-70E740481C1C}">
                          <a14:useLocalDpi xmlns:a14="http://schemas.microsoft.com/office/drawing/2010/main" val="0"/>
                        </a:ext>
                      </a:extLst>
                    </a:blip>
                    <a:stretch>
                      <a:fillRect/>
                    </a:stretch>
                  </pic:blipFill>
                  <pic:spPr>
                    <a:xfrm>
                      <a:off x="0" y="0"/>
                      <a:ext cx="5215616" cy="4149651"/>
                    </a:xfrm>
                    <a:prstGeom prst="rect">
                      <a:avLst/>
                    </a:prstGeom>
                  </pic:spPr>
                </pic:pic>
              </a:graphicData>
            </a:graphic>
          </wp:inline>
        </w:drawing>
      </w:r>
    </w:p>
    <w:p w14:paraId="11BD630F" w14:textId="76D06C07" w:rsidR="009801E9" w:rsidRPr="00D0668C" w:rsidRDefault="009801E9" w:rsidP="009801E9">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Figure S</w:t>
      </w:r>
      <w:r w:rsidR="00DB6B97" w:rsidRPr="00D0668C">
        <w:rPr>
          <w:rFonts w:ascii="Times New Roman" w:hAnsi="Times New Roman" w:cs="Times New Roman"/>
          <w:b/>
          <w:bCs/>
          <w:color w:val="000000" w:themeColor="text1"/>
          <w:sz w:val="24"/>
          <w:szCs w:val="24"/>
          <w:lang w:val="en-US"/>
        </w:rPr>
        <w:t>7</w:t>
      </w:r>
      <w:r w:rsidRPr="00D0668C">
        <w:rPr>
          <w:rFonts w:ascii="Times New Roman" w:hAnsi="Times New Roman" w:cs="Times New Roman"/>
          <w:b/>
          <w:bCs/>
          <w:color w:val="000000" w:themeColor="text1"/>
          <w:sz w:val="24"/>
          <w:szCs w:val="24"/>
          <w:lang w:val="en-US"/>
        </w:rPr>
        <w:t xml:space="preserve">: </w:t>
      </w:r>
      <w:r w:rsidRPr="00D0668C">
        <w:rPr>
          <w:rFonts w:ascii="Times New Roman" w:hAnsi="Times New Roman" w:cs="Times New Roman"/>
          <w:color w:val="000000" w:themeColor="text1"/>
          <w:sz w:val="24"/>
          <w:szCs w:val="24"/>
          <w:lang w:val="en-US"/>
        </w:rPr>
        <w:t xml:space="preserve">Exemplary picture of a green (A) and blue (B) untangled and stretched-out nets from the NPGP, along with their respective 10 X 10 cm cut-out piece of a larger net piece used for further analysis. </w:t>
      </w:r>
    </w:p>
    <w:p w14:paraId="20AA8B2C" w14:textId="77777777" w:rsidR="009801E9" w:rsidRPr="00D0668C" w:rsidRDefault="009801E9" w:rsidP="007415E2">
      <w:pPr>
        <w:pStyle w:val="NormalWeb"/>
        <w:jc w:val="both"/>
        <w:rPr>
          <w:color w:val="000000" w:themeColor="text1"/>
        </w:rPr>
      </w:pPr>
    </w:p>
    <w:p w14:paraId="7DCE07DF" w14:textId="38069BB5" w:rsidR="00364132" w:rsidRPr="00D0668C" w:rsidRDefault="00A40B1F" w:rsidP="006F18CC">
      <w:pPr>
        <w:jc w:val="both"/>
        <w:rPr>
          <w:rFonts w:ascii="Times New Roman" w:hAnsi="Times New Roman" w:cs="Times New Roman"/>
          <w:color w:val="000000" w:themeColor="text1"/>
          <w:sz w:val="24"/>
          <w:szCs w:val="24"/>
          <w:lang w:val="en-US"/>
        </w:rPr>
      </w:pPr>
      <w:r w:rsidRPr="00D0668C">
        <w:rPr>
          <w:rFonts w:ascii="Times New Roman" w:hAnsi="Times New Roman" w:cs="Times New Roman"/>
          <w:noProof/>
          <w:color w:val="000000" w:themeColor="text1"/>
          <w:sz w:val="24"/>
          <w:szCs w:val="24"/>
          <w:lang w:val="en-US"/>
        </w:rPr>
        <w:lastRenderedPageBreak/>
        <w:drawing>
          <wp:inline distT="0" distB="0" distL="0" distR="0" wp14:anchorId="11CB7AD7" wp14:editId="082B131D">
            <wp:extent cx="5731510" cy="2957830"/>
            <wp:effectExtent l="0" t="0" r="0" b="1270"/>
            <wp:docPr id="817691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91314" name="Picture 8176913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957830"/>
                    </a:xfrm>
                    <a:prstGeom prst="rect">
                      <a:avLst/>
                    </a:prstGeom>
                  </pic:spPr>
                </pic:pic>
              </a:graphicData>
            </a:graphic>
          </wp:inline>
        </w:drawing>
      </w:r>
    </w:p>
    <w:p w14:paraId="11300A0C" w14:textId="71F86011" w:rsidR="003938A7" w:rsidRPr="00D0668C" w:rsidRDefault="003C7A6F" w:rsidP="0028501A">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 xml:space="preserve">Figure </w:t>
      </w:r>
      <w:r w:rsidR="009B2A34" w:rsidRPr="00D0668C">
        <w:rPr>
          <w:rFonts w:ascii="Times New Roman" w:hAnsi="Times New Roman" w:cs="Times New Roman"/>
          <w:b/>
          <w:bCs/>
          <w:color w:val="000000" w:themeColor="text1"/>
          <w:sz w:val="24"/>
          <w:szCs w:val="24"/>
          <w:lang w:val="en-US"/>
        </w:rPr>
        <w:t>S</w:t>
      </w:r>
      <w:r w:rsidR="00DB6B97" w:rsidRPr="00D0668C">
        <w:rPr>
          <w:rFonts w:ascii="Times New Roman" w:hAnsi="Times New Roman" w:cs="Times New Roman"/>
          <w:b/>
          <w:bCs/>
          <w:color w:val="000000" w:themeColor="text1"/>
          <w:sz w:val="24"/>
          <w:szCs w:val="24"/>
          <w:lang w:val="en-US"/>
        </w:rPr>
        <w:t>8</w:t>
      </w:r>
      <w:r w:rsidRPr="00D0668C">
        <w:rPr>
          <w:rFonts w:ascii="Times New Roman" w:hAnsi="Times New Roman" w:cs="Times New Roman"/>
          <w:b/>
          <w:bCs/>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w:t>
      </w:r>
      <w:r w:rsidR="0015691C" w:rsidRPr="00D0668C">
        <w:rPr>
          <w:rFonts w:ascii="Times New Roman" w:hAnsi="Times New Roman" w:cs="Times New Roman"/>
          <w:color w:val="000000" w:themeColor="text1"/>
          <w:sz w:val="24"/>
          <w:szCs w:val="24"/>
          <w:lang w:val="en-US"/>
        </w:rPr>
        <w:t xml:space="preserve">A. </w:t>
      </w:r>
      <w:r w:rsidRPr="00D0668C">
        <w:rPr>
          <w:rFonts w:ascii="Times New Roman" w:hAnsi="Times New Roman" w:cs="Times New Roman"/>
          <w:color w:val="000000" w:themeColor="text1"/>
          <w:sz w:val="24"/>
          <w:szCs w:val="24"/>
          <w:lang w:val="en-US"/>
        </w:rPr>
        <w:t>Workflow diagram illustrating the processing and analysis steps applied to the collected catch. Debris is first separated into rigid plastics</w:t>
      </w:r>
      <w:r w:rsidR="003938A7"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nets</w:t>
      </w:r>
      <w:r w:rsidR="003938A7" w:rsidRPr="00D0668C">
        <w:rPr>
          <w:rFonts w:ascii="Times New Roman" w:hAnsi="Times New Roman" w:cs="Times New Roman"/>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w:t>
      </w:r>
      <w:r w:rsidR="00662A6E" w:rsidRPr="00D0668C">
        <w:rPr>
          <w:rFonts w:ascii="Times New Roman" w:hAnsi="Times New Roman" w:cs="Times New Roman"/>
          <w:color w:val="000000" w:themeColor="text1"/>
          <w:sz w:val="24"/>
          <w:szCs w:val="24"/>
          <w:lang w:val="en-US"/>
        </w:rPr>
        <w:t>and</w:t>
      </w:r>
      <w:r w:rsidRPr="00D0668C">
        <w:rPr>
          <w:rFonts w:ascii="Times New Roman" w:hAnsi="Times New Roman" w:cs="Times New Roman"/>
          <w:color w:val="000000" w:themeColor="text1"/>
          <w:sz w:val="24"/>
          <w:szCs w:val="24"/>
          <w:lang w:val="en-US"/>
        </w:rPr>
        <w:t xml:space="preserve"> ropes</w:t>
      </w:r>
      <w:r w:rsidR="003938A7" w:rsidRPr="00D0668C">
        <w:rPr>
          <w:rFonts w:ascii="Times New Roman" w:hAnsi="Times New Roman" w:cs="Times New Roman"/>
          <w:color w:val="000000" w:themeColor="text1"/>
          <w:sz w:val="24"/>
          <w:szCs w:val="24"/>
          <w:lang w:val="en-US"/>
        </w:rPr>
        <w:t>. Rigid plastics are divided by size: items smaller than 5 cm undergo sieve-tower analysis to determine weight across four size fractions (0.5–1.5 mm, 1.5–5 mm, 0.5–1.5 cm, and 1.5–5 cm); all rigid items larger than 5 cm (n = 272,638) are subjected to full compositional analysis</w:t>
      </w:r>
      <w:r w:rsidR="009A45FB" w:rsidRPr="00D0668C">
        <w:rPr>
          <w:rFonts w:ascii="Times New Roman" w:hAnsi="Times New Roman" w:cs="Times New Roman"/>
          <w:color w:val="000000" w:themeColor="text1"/>
          <w:sz w:val="24"/>
          <w:szCs w:val="24"/>
          <w:lang w:val="en-US"/>
        </w:rPr>
        <w:t>,</w:t>
      </w:r>
      <w:r w:rsidR="003938A7" w:rsidRPr="00D0668C">
        <w:rPr>
          <w:rFonts w:ascii="Times New Roman" w:hAnsi="Times New Roman" w:cs="Times New Roman"/>
          <w:color w:val="000000" w:themeColor="text1"/>
          <w:sz w:val="24"/>
          <w:szCs w:val="24"/>
          <w:lang w:val="en-US"/>
        </w:rPr>
        <w:t xml:space="preserve"> including object </w:t>
      </w:r>
      <w:proofErr w:type="spellStart"/>
      <w:r w:rsidR="003938A7" w:rsidRPr="00D0668C">
        <w:rPr>
          <w:rFonts w:ascii="Times New Roman" w:hAnsi="Times New Roman" w:cs="Times New Roman"/>
          <w:color w:val="000000" w:themeColor="text1"/>
          <w:sz w:val="24"/>
          <w:szCs w:val="24"/>
          <w:lang w:val="en-US"/>
        </w:rPr>
        <w:t>categorisation</w:t>
      </w:r>
      <w:proofErr w:type="spellEnd"/>
      <w:r w:rsidR="003938A7" w:rsidRPr="00D0668C">
        <w:rPr>
          <w:rFonts w:ascii="Times New Roman" w:hAnsi="Times New Roman" w:cs="Times New Roman"/>
          <w:color w:val="000000" w:themeColor="text1"/>
          <w:sz w:val="24"/>
          <w:szCs w:val="24"/>
          <w:lang w:val="en-US"/>
        </w:rPr>
        <w:t>, counts, and weights. Of these, items bearing identifiable provenance-related indicators (n = 19,768) were individually examined for written language, production country, brand identity, polymer type, and production and expiration dates.</w:t>
      </w:r>
      <w:r w:rsidR="009A45FB" w:rsidRPr="00D0668C">
        <w:rPr>
          <w:rFonts w:ascii="Times New Roman" w:hAnsi="Times New Roman" w:cs="Times New Roman"/>
          <w:color w:val="000000" w:themeColor="text1"/>
          <w:sz w:val="24"/>
          <w:szCs w:val="24"/>
          <w:lang w:val="en-US"/>
        </w:rPr>
        <w:t xml:space="preserve"> Nets and ropes are weighed by category across all recovered fragments; a sampled subset of fragments greater than 50 cm (n = 181) was additionally subjected to detailed physical and morphological assessment, including construction type, edge damage pattern, condition, and estimated time at sea, likely discard pathway, and expert consultation on gear origin.</w:t>
      </w:r>
    </w:p>
    <w:p w14:paraId="06D53A76" w14:textId="087885E2" w:rsidR="00B26296" w:rsidRPr="00D0668C" w:rsidRDefault="00CA4308" w:rsidP="00432CD1">
      <w:pPr>
        <w:jc w:val="both"/>
        <w:rPr>
          <w:rFonts w:ascii="Times New Roman" w:hAnsi="Times New Roman" w:cs="Times New Roman"/>
          <w:color w:val="000000" w:themeColor="text1"/>
          <w:sz w:val="24"/>
          <w:szCs w:val="24"/>
        </w:rPr>
      </w:pPr>
      <w:r w:rsidRPr="00D0668C">
        <w:rPr>
          <w:rFonts w:ascii="Times New Roman" w:hAnsi="Times New Roman" w:cs="Times New Roman"/>
          <w:noProof/>
          <w:color w:val="000000" w:themeColor="text1"/>
          <w:sz w:val="24"/>
          <w:szCs w:val="24"/>
        </w:rPr>
        <w:lastRenderedPageBreak/>
        <w:drawing>
          <wp:inline distT="0" distB="0" distL="0" distR="0" wp14:anchorId="12B4DCD0" wp14:editId="4B136C3E">
            <wp:extent cx="4094405" cy="6475141"/>
            <wp:effectExtent l="0" t="0" r="0" b="1905"/>
            <wp:docPr id="986196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96096" name="Picture 986196096"/>
                    <pic:cNvPicPr/>
                  </pic:nvPicPr>
                  <pic:blipFill>
                    <a:blip r:embed="rId16">
                      <a:extLst>
                        <a:ext uri="{28A0092B-C50C-407E-A947-70E740481C1C}">
                          <a14:useLocalDpi xmlns:a14="http://schemas.microsoft.com/office/drawing/2010/main" val="0"/>
                        </a:ext>
                      </a:extLst>
                    </a:blip>
                    <a:stretch>
                      <a:fillRect/>
                    </a:stretch>
                  </pic:blipFill>
                  <pic:spPr>
                    <a:xfrm>
                      <a:off x="0" y="0"/>
                      <a:ext cx="4096436" cy="6478353"/>
                    </a:xfrm>
                    <a:prstGeom prst="rect">
                      <a:avLst/>
                    </a:prstGeom>
                  </pic:spPr>
                </pic:pic>
              </a:graphicData>
            </a:graphic>
          </wp:inline>
        </w:drawing>
      </w:r>
    </w:p>
    <w:p w14:paraId="7213BF84" w14:textId="370340A1" w:rsidR="00E67063" w:rsidRPr="00D0668C" w:rsidRDefault="00B26296" w:rsidP="00432CD1">
      <w:pPr>
        <w:jc w:val="both"/>
        <w:rPr>
          <w:rFonts w:ascii="Times New Roman" w:hAnsi="Times New Roman" w:cs="Times New Roman"/>
          <w:color w:val="000000" w:themeColor="text1"/>
          <w:sz w:val="24"/>
          <w:szCs w:val="24"/>
          <w:lang w:val="en-US"/>
        </w:rPr>
      </w:pPr>
      <w:r w:rsidRPr="00D0668C">
        <w:rPr>
          <w:rFonts w:ascii="Times New Roman" w:hAnsi="Times New Roman" w:cs="Times New Roman"/>
          <w:b/>
          <w:bCs/>
          <w:color w:val="000000" w:themeColor="text1"/>
          <w:sz w:val="24"/>
          <w:szCs w:val="24"/>
          <w:lang w:val="en-US"/>
        </w:rPr>
        <w:t>Figure S</w:t>
      </w:r>
      <w:r w:rsidR="00DB6B97" w:rsidRPr="00D0668C">
        <w:rPr>
          <w:rFonts w:ascii="Times New Roman" w:hAnsi="Times New Roman" w:cs="Times New Roman"/>
          <w:b/>
          <w:bCs/>
          <w:color w:val="000000" w:themeColor="text1"/>
          <w:sz w:val="24"/>
          <w:szCs w:val="24"/>
          <w:lang w:val="en-US"/>
        </w:rPr>
        <w:t>9</w:t>
      </w:r>
      <w:r w:rsidRPr="00D0668C">
        <w:rPr>
          <w:rFonts w:ascii="Times New Roman" w:hAnsi="Times New Roman" w:cs="Times New Roman"/>
          <w:b/>
          <w:bCs/>
          <w:color w:val="000000" w:themeColor="text1"/>
          <w:sz w:val="24"/>
          <w:szCs w:val="24"/>
          <w:lang w:val="en-US"/>
        </w:rPr>
        <w:t>:</w:t>
      </w:r>
      <w:r w:rsidRPr="00D0668C">
        <w:rPr>
          <w:rFonts w:ascii="Times New Roman" w:hAnsi="Times New Roman" w:cs="Times New Roman"/>
          <w:color w:val="000000" w:themeColor="text1"/>
          <w:sz w:val="24"/>
          <w:szCs w:val="24"/>
          <w:lang w:val="en-US"/>
        </w:rPr>
        <w:t xml:space="preserve"> </w:t>
      </w:r>
      <w:r w:rsidR="0057448F" w:rsidRPr="00D0668C">
        <w:rPr>
          <w:rFonts w:ascii="Times New Roman" w:hAnsi="Times New Roman" w:cs="Times New Roman"/>
          <w:color w:val="000000" w:themeColor="text1"/>
          <w:sz w:val="24"/>
          <w:szCs w:val="24"/>
          <w:lang w:val="en-US"/>
        </w:rPr>
        <w:t xml:space="preserve">Representative debris items </w:t>
      </w:r>
      <w:r w:rsidR="00D41457" w:rsidRPr="0028501A">
        <w:rPr>
          <w:rFonts w:ascii="Times New Roman" w:hAnsi="Times New Roman" w:cs="Times New Roman"/>
          <w:color w:val="000000" w:themeColor="text1"/>
          <w:sz w:val="24"/>
          <w:szCs w:val="24"/>
          <w:lang w:val="en-US"/>
        </w:rPr>
        <w:t xml:space="preserve">bearing identifiable provenance-related </w:t>
      </w:r>
      <w:r w:rsidR="0057448F" w:rsidRPr="00D0668C">
        <w:rPr>
          <w:rFonts w:ascii="Times New Roman" w:hAnsi="Times New Roman" w:cs="Times New Roman"/>
          <w:color w:val="000000" w:themeColor="text1"/>
          <w:sz w:val="24"/>
          <w:szCs w:val="24"/>
          <w:lang w:val="en-US"/>
        </w:rPr>
        <w:t xml:space="preserve">markers collected from the </w:t>
      </w:r>
      <w:r w:rsidR="00B45B83" w:rsidRPr="00D0668C">
        <w:rPr>
          <w:rFonts w:ascii="Times New Roman" w:hAnsi="Times New Roman" w:cs="Times New Roman"/>
          <w:sz w:val="24"/>
          <w:szCs w:val="24"/>
          <w:lang w:val="en-GB"/>
        </w:rPr>
        <w:t>Papahānaumokuākea National Marine Sanctuary (PNMS)</w:t>
      </w:r>
      <w:r w:rsidR="0057448F" w:rsidRPr="00D0668C">
        <w:rPr>
          <w:rFonts w:ascii="Times New Roman" w:hAnsi="Times New Roman" w:cs="Times New Roman"/>
          <w:color w:val="000000" w:themeColor="text1"/>
          <w:sz w:val="24"/>
          <w:szCs w:val="24"/>
          <w:lang w:val="en-US"/>
        </w:rPr>
        <w:t xml:space="preserve">, the Main Hawaiian Islands (MHI), and the North Pacific Garbage Patch (NPGP). Items include (A–C) buoys and floats bearing manufacturer markings: (A) Inaba Kasen (Japan), (B) Sanshin Kako (Japan), and (C) </w:t>
      </w:r>
      <w:proofErr w:type="spellStart"/>
      <w:r w:rsidR="0057448F" w:rsidRPr="00D0668C">
        <w:rPr>
          <w:rFonts w:ascii="Times New Roman" w:hAnsi="Times New Roman" w:cs="Times New Roman"/>
          <w:color w:val="000000" w:themeColor="text1"/>
          <w:sz w:val="24"/>
          <w:szCs w:val="24"/>
          <w:lang w:val="en-US"/>
        </w:rPr>
        <w:t>Yufa</w:t>
      </w:r>
      <w:proofErr w:type="spellEnd"/>
      <w:r w:rsidR="0057448F" w:rsidRPr="00D0668C">
        <w:rPr>
          <w:rFonts w:ascii="Times New Roman" w:hAnsi="Times New Roman" w:cs="Times New Roman"/>
          <w:color w:val="000000" w:themeColor="text1"/>
          <w:sz w:val="24"/>
          <w:szCs w:val="24"/>
          <w:lang w:val="en-US"/>
        </w:rPr>
        <w:t xml:space="preserve"> and Sun-brand buoys (China); (D–F) crates and containers: (D) Sanko crate (Japan), (E) Coca-Cola crate, and (F) Hansol chemical H₂O₂ container; (G–I) aquaculture and fishing gear: (G) eel trap cylinder, (H) eel trap entrance, and (I) oyster spacers; (J–L) cleaner and beverage bottles: (J) </w:t>
      </w:r>
      <w:proofErr w:type="spellStart"/>
      <w:r w:rsidR="0057448F" w:rsidRPr="00D0668C">
        <w:rPr>
          <w:rFonts w:ascii="Times New Roman" w:hAnsi="Times New Roman" w:cs="Times New Roman"/>
          <w:color w:val="000000" w:themeColor="text1"/>
          <w:sz w:val="24"/>
          <w:szCs w:val="24"/>
          <w:lang w:val="en-US"/>
        </w:rPr>
        <w:t>Wahaha</w:t>
      </w:r>
      <w:proofErr w:type="spellEnd"/>
      <w:r w:rsidR="0057448F" w:rsidRPr="00D0668C">
        <w:rPr>
          <w:rFonts w:ascii="Times New Roman" w:hAnsi="Times New Roman" w:cs="Times New Roman"/>
          <w:color w:val="000000" w:themeColor="text1"/>
          <w:sz w:val="24"/>
          <w:szCs w:val="24"/>
          <w:lang w:val="en-US"/>
        </w:rPr>
        <w:t xml:space="preserve"> bottle (China), (K) Kao bleach bottle (Japan), and (L) Sinon Corporation bottle (China); and (</w:t>
      </w:r>
      <w:r w:rsidR="00966871" w:rsidRPr="00D0668C">
        <w:rPr>
          <w:rFonts w:ascii="Times New Roman" w:hAnsi="Times New Roman" w:cs="Times New Roman"/>
          <w:color w:val="000000" w:themeColor="text1"/>
          <w:sz w:val="24"/>
          <w:szCs w:val="24"/>
          <w:lang w:val="en-US"/>
        </w:rPr>
        <w:t>M-O</w:t>
      </w:r>
      <w:r w:rsidR="0057448F" w:rsidRPr="00D0668C">
        <w:rPr>
          <w:rFonts w:ascii="Times New Roman" w:hAnsi="Times New Roman" w:cs="Times New Roman"/>
          <w:color w:val="000000" w:themeColor="text1"/>
          <w:sz w:val="24"/>
          <w:szCs w:val="24"/>
          <w:lang w:val="en-US"/>
        </w:rPr>
        <w:t>) caps and lids: (</w:t>
      </w:r>
      <w:r w:rsidR="00966871" w:rsidRPr="00D0668C">
        <w:rPr>
          <w:rFonts w:ascii="Times New Roman" w:hAnsi="Times New Roman" w:cs="Times New Roman"/>
          <w:color w:val="000000" w:themeColor="text1"/>
          <w:sz w:val="24"/>
          <w:szCs w:val="24"/>
          <w:lang w:val="en-US"/>
        </w:rPr>
        <w:t>M</w:t>
      </w:r>
      <w:r w:rsidR="0057448F" w:rsidRPr="00D0668C">
        <w:rPr>
          <w:rFonts w:ascii="Times New Roman" w:hAnsi="Times New Roman" w:cs="Times New Roman"/>
          <w:color w:val="000000" w:themeColor="text1"/>
          <w:sz w:val="24"/>
          <w:szCs w:val="24"/>
          <w:lang w:val="en-US"/>
        </w:rPr>
        <w:t>) Nestlé lid (multinational), (</w:t>
      </w:r>
      <w:r w:rsidR="00966871" w:rsidRPr="00D0668C">
        <w:rPr>
          <w:rFonts w:ascii="Times New Roman" w:hAnsi="Times New Roman" w:cs="Times New Roman"/>
          <w:color w:val="000000" w:themeColor="text1"/>
          <w:sz w:val="24"/>
          <w:szCs w:val="24"/>
          <w:lang w:val="en-US"/>
        </w:rPr>
        <w:t>N</w:t>
      </w:r>
      <w:r w:rsidR="0057448F" w:rsidRPr="00D0668C">
        <w:rPr>
          <w:rFonts w:ascii="Times New Roman" w:hAnsi="Times New Roman" w:cs="Times New Roman"/>
          <w:color w:val="000000" w:themeColor="text1"/>
          <w:sz w:val="24"/>
          <w:szCs w:val="24"/>
          <w:lang w:val="en-US"/>
        </w:rPr>
        <w:t>) Master Kong PET bottle cap (China), and (</w:t>
      </w:r>
      <w:r w:rsidR="00966871" w:rsidRPr="00D0668C">
        <w:rPr>
          <w:rFonts w:ascii="Times New Roman" w:hAnsi="Times New Roman" w:cs="Times New Roman"/>
          <w:color w:val="000000" w:themeColor="text1"/>
          <w:sz w:val="24"/>
          <w:szCs w:val="24"/>
          <w:lang w:val="en-US"/>
        </w:rPr>
        <w:t>O</w:t>
      </w:r>
      <w:r w:rsidR="0057448F" w:rsidRPr="00D0668C">
        <w:rPr>
          <w:rFonts w:ascii="Times New Roman" w:hAnsi="Times New Roman" w:cs="Times New Roman"/>
          <w:color w:val="000000" w:themeColor="text1"/>
          <w:sz w:val="24"/>
          <w:szCs w:val="24"/>
          <w:lang w:val="en-US"/>
        </w:rPr>
        <w:t xml:space="preserve">) </w:t>
      </w:r>
      <w:proofErr w:type="spellStart"/>
      <w:r w:rsidR="0057448F" w:rsidRPr="00D0668C">
        <w:rPr>
          <w:rFonts w:ascii="Times New Roman" w:hAnsi="Times New Roman" w:cs="Times New Roman"/>
          <w:color w:val="000000" w:themeColor="text1"/>
          <w:sz w:val="24"/>
          <w:szCs w:val="24"/>
          <w:lang w:val="en-US"/>
        </w:rPr>
        <w:t>Wahaha</w:t>
      </w:r>
      <w:proofErr w:type="spellEnd"/>
      <w:r w:rsidR="0057448F" w:rsidRPr="00D0668C">
        <w:rPr>
          <w:rFonts w:ascii="Times New Roman" w:hAnsi="Times New Roman" w:cs="Times New Roman"/>
          <w:color w:val="000000" w:themeColor="text1"/>
          <w:sz w:val="24"/>
          <w:szCs w:val="24"/>
          <w:lang w:val="en-US"/>
        </w:rPr>
        <w:t xml:space="preserve"> PET bottle cap (China). </w:t>
      </w:r>
    </w:p>
    <w:p w14:paraId="74450779" w14:textId="4E831670" w:rsidR="00D279CD" w:rsidRPr="00D0668C" w:rsidRDefault="00D279CD" w:rsidP="00432CD1">
      <w:pPr>
        <w:jc w:val="both"/>
        <w:rPr>
          <w:rFonts w:ascii="Times New Roman" w:hAnsi="Times New Roman" w:cs="Times New Roman"/>
          <w:b/>
          <w:bCs/>
          <w:color w:val="000000" w:themeColor="text1"/>
          <w:sz w:val="24"/>
          <w:szCs w:val="24"/>
          <w:lang w:val="en-US"/>
        </w:rPr>
      </w:pPr>
    </w:p>
    <w:sectPr w:rsidR="00D279CD" w:rsidRPr="00D0668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947C6E"/>
    <w:multiLevelType w:val="multilevel"/>
    <w:tmpl w:val="D2885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4C4159"/>
    <w:multiLevelType w:val="hybridMultilevel"/>
    <w:tmpl w:val="886C168E"/>
    <w:lvl w:ilvl="0" w:tplc="6142B95C">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42B0086"/>
    <w:multiLevelType w:val="hybridMultilevel"/>
    <w:tmpl w:val="8E0A96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EEF1225"/>
    <w:multiLevelType w:val="multilevel"/>
    <w:tmpl w:val="940064F4"/>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5734307F"/>
    <w:multiLevelType w:val="multilevel"/>
    <w:tmpl w:val="6512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42967163">
    <w:abstractNumId w:val="2"/>
  </w:num>
  <w:num w:numId="2" w16cid:durableId="1523200220">
    <w:abstractNumId w:val="1"/>
  </w:num>
  <w:num w:numId="3" w16cid:durableId="2032487215">
    <w:abstractNumId w:val="4"/>
  </w:num>
  <w:num w:numId="4" w16cid:durableId="1731923619">
    <w:abstractNumId w:val="0"/>
  </w:num>
  <w:num w:numId="5" w16cid:durableId="8419678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1A2"/>
    <w:rsid w:val="00010AA6"/>
    <w:rsid w:val="00015592"/>
    <w:rsid w:val="00017156"/>
    <w:rsid w:val="00022ACF"/>
    <w:rsid w:val="00031AFB"/>
    <w:rsid w:val="0003243F"/>
    <w:rsid w:val="000433F1"/>
    <w:rsid w:val="00065E70"/>
    <w:rsid w:val="000853F5"/>
    <w:rsid w:val="00085D9D"/>
    <w:rsid w:val="000911B1"/>
    <w:rsid w:val="00092628"/>
    <w:rsid w:val="00093000"/>
    <w:rsid w:val="00094BC2"/>
    <w:rsid w:val="000A1632"/>
    <w:rsid w:val="000A1E48"/>
    <w:rsid w:val="000A2CB6"/>
    <w:rsid w:val="000B34BF"/>
    <w:rsid w:val="000B51AF"/>
    <w:rsid w:val="000F235C"/>
    <w:rsid w:val="00114D28"/>
    <w:rsid w:val="00115CA1"/>
    <w:rsid w:val="00116D98"/>
    <w:rsid w:val="00123E7E"/>
    <w:rsid w:val="00124C63"/>
    <w:rsid w:val="0013337E"/>
    <w:rsid w:val="00133A37"/>
    <w:rsid w:val="0014481F"/>
    <w:rsid w:val="0015013F"/>
    <w:rsid w:val="00151B40"/>
    <w:rsid w:val="00152B42"/>
    <w:rsid w:val="0015691C"/>
    <w:rsid w:val="001577D7"/>
    <w:rsid w:val="00177A1A"/>
    <w:rsid w:val="00180AFF"/>
    <w:rsid w:val="0018130A"/>
    <w:rsid w:val="00182919"/>
    <w:rsid w:val="001857B7"/>
    <w:rsid w:val="001A0E5A"/>
    <w:rsid w:val="001A4480"/>
    <w:rsid w:val="001B35C5"/>
    <w:rsid w:val="001C1940"/>
    <w:rsid w:val="001C5A61"/>
    <w:rsid w:val="001D12FB"/>
    <w:rsid w:val="001D2400"/>
    <w:rsid w:val="001D3858"/>
    <w:rsid w:val="001E1539"/>
    <w:rsid w:val="001E399B"/>
    <w:rsid w:val="001E6EFF"/>
    <w:rsid w:val="001F7E1D"/>
    <w:rsid w:val="00200484"/>
    <w:rsid w:val="00205374"/>
    <w:rsid w:val="00220EE0"/>
    <w:rsid w:val="00223A35"/>
    <w:rsid w:val="00240213"/>
    <w:rsid w:val="00246794"/>
    <w:rsid w:val="002521A2"/>
    <w:rsid w:val="0025751C"/>
    <w:rsid w:val="00267EF0"/>
    <w:rsid w:val="0027259F"/>
    <w:rsid w:val="00280CF7"/>
    <w:rsid w:val="002812E0"/>
    <w:rsid w:val="0028501A"/>
    <w:rsid w:val="0029093F"/>
    <w:rsid w:val="00293BF8"/>
    <w:rsid w:val="002950D2"/>
    <w:rsid w:val="002B6403"/>
    <w:rsid w:val="002B67C9"/>
    <w:rsid w:val="002C0B98"/>
    <w:rsid w:val="002C0BFB"/>
    <w:rsid w:val="002C2B05"/>
    <w:rsid w:val="002C36A0"/>
    <w:rsid w:val="002D1EDD"/>
    <w:rsid w:val="002F4518"/>
    <w:rsid w:val="003120B4"/>
    <w:rsid w:val="00314A65"/>
    <w:rsid w:val="00317A1D"/>
    <w:rsid w:val="00325CDF"/>
    <w:rsid w:val="00325D62"/>
    <w:rsid w:val="003359C5"/>
    <w:rsid w:val="00337086"/>
    <w:rsid w:val="003412B3"/>
    <w:rsid w:val="00345950"/>
    <w:rsid w:val="0035083C"/>
    <w:rsid w:val="003510AF"/>
    <w:rsid w:val="00352219"/>
    <w:rsid w:val="00364132"/>
    <w:rsid w:val="00367806"/>
    <w:rsid w:val="00385E76"/>
    <w:rsid w:val="00392550"/>
    <w:rsid w:val="003938A7"/>
    <w:rsid w:val="003A0CFD"/>
    <w:rsid w:val="003A4197"/>
    <w:rsid w:val="003C03ED"/>
    <w:rsid w:val="003C7A6F"/>
    <w:rsid w:val="003D0ADF"/>
    <w:rsid w:val="003D3A6C"/>
    <w:rsid w:val="003D3E04"/>
    <w:rsid w:val="003D4903"/>
    <w:rsid w:val="003E3B08"/>
    <w:rsid w:val="003E47B0"/>
    <w:rsid w:val="003E5317"/>
    <w:rsid w:val="003E781B"/>
    <w:rsid w:val="003F4C90"/>
    <w:rsid w:val="00401FF5"/>
    <w:rsid w:val="00410292"/>
    <w:rsid w:val="00410557"/>
    <w:rsid w:val="0041463F"/>
    <w:rsid w:val="004248C3"/>
    <w:rsid w:val="004259EB"/>
    <w:rsid w:val="00432CD1"/>
    <w:rsid w:val="00436A3E"/>
    <w:rsid w:val="00437094"/>
    <w:rsid w:val="00445208"/>
    <w:rsid w:val="004603EC"/>
    <w:rsid w:val="0046042C"/>
    <w:rsid w:val="00463CCC"/>
    <w:rsid w:val="004644D9"/>
    <w:rsid w:val="00471886"/>
    <w:rsid w:val="00476BDB"/>
    <w:rsid w:val="00491D27"/>
    <w:rsid w:val="0049517F"/>
    <w:rsid w:val="004A1889"/>
    <w:rsid w:val="004B6940"/>
    <w:rsid w:val="004B7FE5"/>
    <w:rsid w:val="004C76A8"/>
    <w:rsid w:val="004C7DF7"/>
    <w:rsid w:val="004D2BA9"/>
    <w:rsid w:val="004D3E2E"/>
    <w:rsid w:val="004D73DC"/>
    <w:rsid w:val="004F10E5"/>
    <w:rsid w:val="004F153D"/>
    <w:rsid w:val="004F2C82"/>
    <w:rsid w:val="00503BB4"/>
    <w:rsid w:val="00520F25"/>
    <w:rsid w:val="0052189E"/>
    <w:rsid w:val="00530EED"/>
    <w:rsid w:val="0053796F"/>
    <w:rsid w:val="00541A57"/>
    <w:rsid w:val="0054227C"/>
    <w:rsid w:val="00554379"/>
    <w:rsid w:val="00556889"/>
    <w:rsid w:val="00557D0B"/>
    <w:rsid w:val="00563586"/>
    <w:rsid w:val="0056525B"/>
    <w:rsid w:val="005708AC"/>
    <w:rsid w:val="00571969"/>
    <w:rsid w:val="0057448F"/>
    <w:rsid w:val="00581A1B"/>
    <w:rsid w:val="0058300E"/>
    <w:rsid w:val="00583047"/>
    <w:rsid w:val="00590B12"/>
    <w:rsid w:val="005967DA"/>
    <w:rsid w:val="005978C4"/>
    <w:rsid w:val="005A3989"/>
    <w:rsid w:val="005A4F6D"/>
    <w:rsid w:val="005A5949"/>
    <w:rsid w:val="005B1989"/>
    <w:rsid w:val="005B7E01"/>
    <w:rsid w:val="005C1FA4"/>
    <w:rsid w:val="005D0AE0"/>
    <w:rsid w:val="005D2742"/>
    <w:rsid w:val="005E58AF"/>
    <w:rsid w:val="005E64D2"/>
    <w:rsid w:val="005E6708"/>
    <w:rsid w:val="0060691E"/>
    <w:rsid w:val="006124C5"/>
    <w:rsid w:val="00612646"/>
    <w:rsid w:val="00612C72"/>
    <w:rsid w:val="006262D8"/>
    <w:rsid w:val="006452B1"/>
    <w:rsid w:val="00646795"/>
    <w:rsid w:val="0064720B"/>
    <w:rsid w:val="006538AE"/>
    <w:rsid w:val="00655FB0"/>
    <w:rsid w:val="00657BB7"/>
    <w:rsid w:val="0066189C"/>
    <w:rsid w:val="00662A6E"/>
    <w:rsid w:val="0066303B"/>
    <w:rsid w:val="006704FF"/>
    <w:rsid w:val="00680959"/>
    <w:rsid w:val="006824AF"/>
    <w:rsid w:val="006832AD"/>
    <w:rsid w:val="0068449C"/>
    <w:rsid w:val="00687906"/>
    <w:rsid w:val="00695912"/>
    <w:rsid w:val="006A68CC"/>
    <w:rsid w:val="006B5F0B"/>
    <w:rsid w:val="006C6A22"/>
    <w:rsid w:val="006E1219"/>
    <w:rsid w:val="006E1C7C"/>
    <w:rsid w:val="006E25F9"/>
    <w:rsid w:val="006E4711"/>
    <w:rsid w:val="006E4BD7"/>
    <w:rsid w:val="006F18CC"/>
    <w:rsid w:val="006F2476"/>
    <w:rsid w:val="006F5ACE"/>
    <w:rsid w:val="006F6360"/>
    <w:rsid w:val="0070184D"/>
    <w:rsid w:val="007366C9"/>
    <w:rsid w:val="007415E2"/>
    <w:rsid w:val="00744E40"/>
    <w:rsid w:val="00745B01"/>
    <w:rsid w:val="00763C63"/>
    <w:rsid w:val="007716CC"/>
    <w:rsid w:val="00776DB4"/>
    <w:rsid w:val="007863AF"/>
    <w:rsid w:val="00786712"/>
    <w:rsid w:val="0079562B"/>
    <w:rsid w:val="007A66E9"/>
    <w:rsid w:val="007A750B"/>
    <w:rsid w:val="007B1C75"/>
    <w:rsid w:val="007B411F"/>
    <w:rsid w:val="007B73BC"/>
    <w:rsid w:val="007C142F"/>
    <w:rsid w:val="007D6613"/>
    <w:rsid w:val="007D72D4"/>
    <w:rsid w:val="007D7448"/>
    <w:rsid w:val="007E3876"/>
    <w:rsid w:val="007E3F32"/>
    <w:rsid w:val="007E68C6"/>
    <w:rsid w:val="007F09F6"/>
    <w:rsid w:val="008010E8"/>
    <w:rsid w:val="00804750"/>
    <w:rsid w:val="00805697"/>
    <w:rsid w:val="00811CEB"/>
    <w:rsid w:val="008172F2"/>
    <w:rsid w:val="00821CC5"/>
    <w:rsid w:val="00822DB7"/>
    <w:rsid w:val="00826EBA"/>
    <w:rsid w:val="008309C1"/>
    <w:rsid w:val="00843F02"/>
    <w:rsid w:val="00845700"/>
    <w:rsid w:val="008457F2"/>
    <w:rsid w:val="00845AF6"/>
    <w:rsid w:val="00846E07"/>
    <w:rsid w:val="0085035A"/>
    <w:rsid w:val="008519B6"/>
    <w:rsid w:val="00855622"/>
    <w:rsid w:val="00866352"/>
    <w:rsid w:val="008668F3"/>
    <w:rsid w:val="00874E6D"/>
    <w:rsid w:val="00875270"/>
    <w:rsid w:val="00884823"/>
    <w:rsid w:val="00886B80"/>
    <w:rsid w:val="00887976"/>
    <w:rsid w:val="0089198B"/>
    <w:rsid w:val="00892948"/>
    <w:rsid w:val="00893F24"/>
    <w:rsid w:val="008A4168"/>
    <w:rsid w:val="008B6F1A"/>
    <w:rsid w:val="008C3300"/>
    <w:rsid w:val="008C6998"/>
    <w:rsid w:val="008C7ECB"/>
    <w:rsid w:val="008E06F4"/>
    <w:rsid w:val="008E3635"/>
    <w:rsid w:val="008E3EB1"/>
    <w:rsid w:val="008E6721"/>
    <w:rsid w:val="008E7C9D"/>
    <w:rsid w:val="008F5CCA"/>
    <w:rsid w:val="00912A66"/>
    <w:rsid w:val="00917B3F"/>
    <w:rsid w:val="009242CB"/>
    <w:rsid w:val="00925AEE"/>
    <w:rsid w:val="009268E8"/>
    <w:rsid w:val="00940B96"/>
    <w:rsid w:val="00942CB0"/>
    <w:rsid w:val="00946599"/>
    <w:rsid w:val="00964B01"/>
    <w:rsid w:val="00966871"/>
    <w:rsid w:val="00966A26"/>
    <w:rsid w:val="00966F45"/>
    <w:rsid w:val="0097017B"/>
    <w:rsid w:val="009801E9"/>
    <w:rsid w:val="009863BA"/>
    <w:rsid w:val="009912A2"/>
    <w:rsid w:val="0099683B"/>
    <w:rsid w:val="009A2641"/>
    <w:rsid w:val="009A45FB"/>
    <w:rsid w:val="009A59C2"/>
    <w:rsid w:val="009B0546"/>
    <w:rsid w:val="009B1F14"/>
    <w:rsid w:val="009B2A34"/>
    <w:rsid w:val="009B2A65"/>
    <w:rsid w:val="009B4E1F"/>
    <w:rsid w:val="009B60D5"/>
    <w:rsid w:val="009C0A9A"/>
    <w:rsid w:val="009C1D5A"/>
    <w:rsid w:val="009C3097"/>
    <w:rsid w:val="009C4211"/>
    <w:rsid w:val="009C6828"/>
    <w:rsid w:val="009D6C6E"/>
    <w:rsid w:val="009D6F80"/>
    <w:rsid w:val="009E4AC2"/>
    <w:rsid w:val="009E5D41"/>
    <w:rsid w:val="009F69C0"/>
    <w:rsid w:val="00A045DD"/>
    <w:rsid w:val="00A128F0"/>
    <w:rsid w:val="00A32332"/>
    <w:rsid w:val="00A36263"/>
    <w:rsid w:val="00A37983"/>
    <w:rsid w:val="00A40B1F"/>
    <w:rsid w:val="00A51F5D"/>
    <w:rsid w:val="00A57FE8"/>
    <w:rsid w:val="00A647AF"/>
    <w:rsid w:val="00A67DD6"/>
    <w:rsid w:val="00A96F2C"/>
    <w:rsid w:val="00A97CB2"/>
    <w:rsid w:val="00AA1ADA"/>
    <w:rsid w:val="00AA71FD"/>
    <w:rsid w:val="00AB32E9"/>
    <w:rsid w:val="00AC117A"/>
    <w:rsid w:val="00AC3BB0"/>
    <w:rsid w:val="00AC4943"/>
    <w:rsid w:val="00AC4C9F"/>
    <w:rsid w:val="00AC5A71"/>
    <w:rsid w:val="00AC75C6"/>
    <w:rsid w:val="00AF476C"/>
    <w:rsid w:val="00B05531"/>
    <w:rsid w:val="00B125AF"/>
    <w:rsid w:val="00B17B74"/>
    <w:rsid w:val="00B2205A"/>
    <w:rsid w:val="00B22A96"/>
    <w:rsid w:val="00B26296"/>
    <w:rsid w:val="00B313EB"/>
    <w:rsid w:val="00B45B83"/>
    <w:rsid w:val="00B56224"/>
    <w:rsid w:val="00B61EA8"/>
    <w:rsid w:val="00B632F4"/>
    <w:rsid w:val="00B6440B"/>
    <w:rsid w:val="00B72809"/>
    <w:rsid w:val="00B73AAB"/>
    <w:rsid w:val="00B817E9"/>
    <w:rsid w:val="00B82081"/>
    <w:rsid w:val="00B86641"/>
    <w:rsid w:val="00B9286A"/>
    <w:rsid w:val="00B94B01"/>
    <w:rsid w:val="00B9739D"/>
    <w:rsid w:val="00BC1761"/>
    <w:rsid w:val="00BC306F"/>
    <w:rsid w:val="00BC4654"/>
    <w:rsid w:val="00BC6FE5"/>
    <w:rsid w:val="00BC7DA9"/>
    <w:rsid w:val="00BD1809"/>
    <w:rsid w:val="00BD26DD"/>
    <w:rsid w:val="00BD4A86"/>
    <w:rsid w:val="00BD5956"/>
    <w:rsid w:val="00BD631D"/>
    <w:rsid w:val="00BE25F1"/>
    <w:rsid w:val="00BE26F8"/>
    <w:rsid w:val="00BF7E2B"/>
    <w:rsid w:val="00C20A78"/>
    <w:rsid w:val="00C26232"/>
    <w:rsid w:val="00C35FCA"/>
    <w:rsid w:val="00C4706A"/>
    <w:rsid w:val="00C50E5E"/>
    <w:rsid w:val="00C542F2"/>
    <w:rsid w:val="00C56515"/>
    <w:rsid w:val="00C61497"/>
    <w:rsid w:val="00C633F7"/>
    <w:rsid w:val="00C66372"/>
    <w:rsid w:val="00C96461"/>
    <w:rsid w:val="00CA036B"/>
    <w:rsid w:val="00CA056C"/>
    <w:rsid w:val="00CA2BCA"/>
    <w:rsid w:val="00CA4308"/>
    <w:rsid w:val="00CA4812"/>
    <w:rsid w:val="00CB4402"/>
    <w:rsid w:val="00CB6812"/>
    <w:rsid w:val="00CB7948"/>
    <w:rsid w:val="00CB7C39"/>
    <w:rsid w:val="00CB7CCA"/>
    <w:rsid w:val="00CC51AD"/>
    <w:rsid w:val="00CD060F"/>
    <w:rsid w:val="00CD369C"/>
    <w:rsid w:val="00CD4908"/>
    <w:rsid w:val="00CD5B90"/>
    <w:rsid w:val="00D0130B"/>
    <w:rsid w:val="00D016F8"/>
    <w:rsid w:val="00D0668C"/>
    <w:rsid w:val="00D072E6"/>
    <w:rsid w:val="00D125E4"/>
    <w:rsid w:val="00D279CD"/>
    <w:rsid w:val="00D37647"/>
    <w:rsid w:val="00D41457"/>
    <w:rsid w:val="00D41CF6"/>
    <w:rsid w:val="00D44175"/>
    <w:rsid w:val="00D46019"/>
    <w:rsid w:val="00D6039F"/>
    <w:rsid w:val="00D749FC"/>
    <w:rsid w:val="00D83C25"/>
    <w:rsid w:val="00D857BC"/>
    <w:rsid w:val="00D8761C"/>
    <w:rsid w:val="00DA0937"/>
    <w:rsid w:val="00DB0E25"/>
    <w:rsid w:val="00DB259E"/>
    <w:rsid w:val="00DB405A"/>
    <w:rsid w:val="00DB6B97"/>
    <w:rsid w:val="00DC1E06"/>
    <w:rsid w:val="00DC2A26"/>
    <w:rsid w:val="00DC5382"/>
    <w:rsid w:val="00DC6195"/>
    <w:rsid w:val="00DC742F"/>
    <w:rsid w:val="00DD147B"/>
    <w:rsid w:val="00DE25AD"/>
    <w:rsid w:val="00DE6048"/>
    <w:rsid w:val="00E01394"/>
    <w:rsid w:val="00E02D05"/>
    <w:rsid w:val="00E04F26"/>
    <w:rsid w:val="00E070E6"/>
    <w:rsid w:val="00E1145E"/>
    <w:rsid w:val="00E166D3"/>
    <w:rsid w:val="00E21650"/>
    <w:rsid w:val="00E24593"/>
    <w:rsid w:val="00E2578B"/>
    <w:rsid w:val="00E260BD"/>
    <w:rsid w:val="00E327B9"/>
    <w:rsid w:val="00E32ACB"/>
    <w:rsid w:val="00E37D60"/>
    <w:rsid w:val="00E62AA2"/>
    <w:rsid w:val="00E641A7"/>
    <w:rsid w:val="00E64F33"/>
    <w:rsid w:val="00E67063"/>
    <w:rsid w:val="00E678EE"/>
    <w:rsid w:val="00E775AA"/>
    <w:rsid w:val="00E96A03"/>
    <w:rsid w:val="00EA1D3C"/>
    <w:rsid w:val="00EB51DF"/>
    <w:rsid w:val="00EB62E3"/>
    <w:rsid w:val="00EC4A03"/>
    <w:rsid w:val="00EC51F9"/>
    <w:rsid w:val="00ED6D1A"/>
    <w:rsid w:val="00EE28E7"/>
    <w:rsid w:val="00EE3431"/>
    <w:rsid w:val="00EE7C15"/>
    <w:rsid w:val="00EF154A"/>
    <w:rsid w:val="00EF4668"/>
    <w:rsid w:val="00F00D24"/>
    <w:rsid w:val="00F031DD"/>
    <w:rsid w:val="00F106A5"/>
    <w:rsid w:val="00F1274B"/>
    <w:rsid w:val="00F27873"/>
    <w:rsid w:val="00F3191E"/>
    <w:rsid w:val="00F330A9"/>
    <w:rsid w:val="00F44126"/>
    <w:rsid w:val="00F44CEA"/>
    <w:rsid w:val="00F46134"/>
    <w:rsid w:val="00F51073"/>
    <w:rsid w:val="00F6100A"/>
    <w:rsid w:val="00F65161"/>
    <w:rsid w:val="00F6729F"/>
    <w:rsid w:val="00F74E9D"/>
    <w:rsid w:val="00F86E71"/>
    <w:rsid w:val="00F919B5"/>
    <w:rsid w:val="00F93896"/>
    <w:rsid w:val="00F943C2"/>
    <w:rsid w:val="00FA273E"/>
    <w:rsid w:val="00FC37CD"/>
    <w:rsid w:val="00FC3B28"/>
    <w:rsid w:val="00FC3DC5"/>
    <w:rsid w:val="00FC3F53"/>
    <w:rsid w:val="00FC6785"/>
    <w:rsid w:val="00FD68B5"/>
    <w:rsid w:val="00FD6B00"/>
    <w:rsid w:val="00FE751C"/>
    <w:rsid w:val="00FE7A7D"/>
    <w:rsid w:val="00FF08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04D28"/>
  <w15:chartTrackingRefBased/>
  <w15:docId w15:val="{D5963D05-AD65-4F24-8A30-FA09FA404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21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21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21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21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21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21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21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21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21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1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21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21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21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21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21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21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21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21A2"/>
    <w:rPr>
      <w:rFonts w:eastAsiaTheme="majorEastAsia" w:cstheme="majorBidi"/>
      <w:color w:val="272727" w:themeColor="text1" w:themeTint="D8"/>
    </w:rPr>
  </w:style>
  <w:style w:type="paragraph" w:styleId="Title">
    <w:name w:val="Title"/>
    <w:basedOn w:val="Normal"/>
    <w:next w:val="Normal"/>
    <w:link w:val="TitleChar"/>
    <w:uiPriority w:val="10"/>
    <w:qFormat/>
    <w:rsid w:val="002521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21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21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21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21A2"/>
    <w:pPr>
      <w:spacing w:before="160"/>
      <w:jc w:val="center"/>
    </w:pPr>
    <w:rPr>
      <w:i/>
      <w:iCs/>
      <w:color w:val="404040" w:themeColor="text1" w:themeTint="BF"/>
    </w:rPr>
  </w:style>
  <w:style w:type="character" w:customStyle="1" w:styleId="QuoteChar">
    <w:name w:val="Quote Char"/>
    <w:basedOn w:val="DefaultParagraphFont"/>
    <w:link w:val="Quote"/>
    <w:uiPriority w:val="29"/>
    <w:rsid w:val="002521A2"/>
    <w:rPr>
      <w:i/>
      <w:iCs/>
      <w:color w:val="404040" w:themeColor="text1" w:themeTint="BF"/>
    </w:rPr>
  </w:style>
  <w:style w:type="paragraph" w:styleId="ListParagraph">
    <w:name w:val="List Paragraph"/>
    <w:basedOn w:val="Normal"/>
    <w:uiPriority w:val="34"/>
    <w:qFormat/>
    <w:rsid w:val="002521A2"/>
    <w:pPr>
      <w:ind w:left="720"/>
      <w:contextualSpacing/>
    </w:pPr>
  </w:style>
  <w:style w:type="character" w:styleId="IntenseEmphasis">
    <w:name w:val="Intense Emphasis"/>
    <w:basedOn w:val="DefaultParagraphFont"/>
    <w:uiPriority w:val="21"/>
    <w:qFormat/>
    <w:rsid w:val="002521A2"/>
    <w:rPr>
      <w:i/>
      <w:iCs/>
      <w:color w:val="0F4761" w:themeColor="accent1" w:themeShade="BF"/>
    </w:rPr>
  </w:style>
  <w:style w:type="paragraph" w:styleId="IntenseQuote">
    <w:name w:val="Intense Quote"/>
    <w:basedOn w:val="Normal"/>
    <w:next w:val="Normal"/>
    <w:link w:val="IntenseQuoteChar"/>
    <w:uiPriority w:val="30"/>
    <w:qFormat/>
    <w:rsid w:val="002521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21A2"/>
    <w:rPr>
      <w:i/>
      <w:iCs/>
      <w:color w:val="0F4761" w:themeColor="accent1" w:themeShade="BF"/>
    </w:rPr>
  </w:style>
  <w:style w:type="character" w:styleId="IntenseReference">
    <w:name w:val="Intense Reference"/>
    <w:basedOn w:val="DefaultParagraphFont"/>
    <w:uiPriority w:val="32"/>
    <w:qFormat/>
    <w:rsid w:val="002521A2"/>
    <w:rPr>
      <w:b/>
      <w:bCs/>
      <w:smallCaps/>
      <w:color w:val="0F4761" w:themeColor="accent1" w:themeShade="BF"/>
      <w:spacing w:val="5"/>
    </w:rPr>
  </w:style>
  <w:style w:type="character" w:customStyle="1" w:styleId="apple-converted-space">
    <w:name w:val="apple-converted-space"/>
    <w:basedOn w:val="DefaultParagraphFont"/>
    <w:rsid w:val="002B6403"/>
  </w:style>
  <w:style w:type="character" w:styleId="Hyperlink">
    <w:name w:val="Hyperlink"/>
    <w:basedOn w:val="DefaultParagraphFont"/>
    <w:uiPriority w:val="99"/>
    <w:unhideWhenUsed/>
    <w:rsid w:val="002B6403"/>
    <w:rPr>
      <w:color w:val="0000FF"/>
      <w:u w:val="single"/>
    </w:rPr>
  </w:style>
  <w:style w:type="character" w:styleId="Strong">
    <w:name w:val="Strong"/>
    <w:basedOn w:val="DefaultParagraphFont"/>
    <w:uiPriority w:val="22"/>
    <w:qFormat/>
    <w:rsid w:val="00EF154A"/>
    <w:rPr>
      <w:b/>
      <w:bCs/>
    </w:rPr>
  </w:style>
  <w:style w:type="character" w:styleId="CommentReference">
    <w:name w:val="annotation reference"/>
    <w:basedOn w:val="DefaultParagraphFont"/>
    <w:uiPriority w:val="99"/>
    <w:semiHidden/>
    <w:unhideWhenUsed/>
    <w:rsid w:val="00B17B74"/>
    <w:rPr>
      <w:sz w:val="16"/>
      <w:szCs w:val="16"/>
    </w:rPr>
  </w:style>
  <w:style w:type="paragraph" w:styleId="CommentText">
    <w:name w:val="annotation text"/>
    <w:basedOn w:val="Normal"/>
    <w:link w:val="CommentTextChar"/>
    <w:uiPriority w:val="99"/>
    <w:unhideWhenUsed/>
    <w:rsid w:val="00B17B74"/>
    <w:pPr>
      <w:spacing w:line="240" w:lineRule="auto"/>
    </w:pPr>
    <w:rPr>
      <w:sz w:val="20"/>
      <w:szCs w:val="20"/>
    </w:rPr>
  </w:style>
  <w:style w:type="character" w:customStyle="1" w:styleId="CommentTextChar">
    <w:name w:val="Comment Text Char"/>
    <w:basedOn w:val="DefaultParagraphFont"/>
    <w:link w:val="CommentText"/>
    <w:uiPriority w:val="99"/>
    <w:rsid w:val="00B17B74"/>
    <w:rPr>
      <w:sz w:val="20"/>
      <w:szCs w:val="20"/>
    </w:rPr>
  </w:style>
  <w:style w:type="paragraph" w:styleId="CommentSubject">
    <w:name w:val="annotation subject"/>
    <w:basedOn w:val="CommentText"/>
    <w:next w:val="CommentText"/>
    <w:link w:val="CommentSubjectChar"/>
    <w:uiPriority w:val="99"/>
    <w:semiHidden/>
    <w:unhideWhenUsed/>
    <w:rsid w:val="00B17B74"/>
    <w:rPr>
      <w:b/>
      <w:bCs/>
    </w:rPr>
  </w:style>
  <w:style w:type="character" w:customStyle="1" w:styleId="CommentSubjectChar">
    <w:name w:val="Comment Subject Char"/>
    <w:basedOn w:val="CommentTextChar"/>
    <w:link w:val="CommentSubject"/>
    <w:uiPriority w:val="99"/>
    <w:semiHidden/>
    <w:rsid w:val="00B17B74"/>
    <w:rPr>
      <w:b/>
      <w:bCs/>
      <w:sz w:val="20"/>
      <w:szCs w:val="20"/>
    </w:rPr>
  </w:style>
  <w:style w:type="paragraph" w:styleId="Revision">
    <w:name w:val="Revision"/>
    <w:hidden/>
    <w:uiPriority w:val="99"/>
    <w:semiHidden/>
    <w:rsid w:val="008309C1"/>
    <w:pPr>
      <w:spacing w:after="0" w:line="240" w:lineRule="auto"/>
    </w:pPr>
  </w:style>
  <w:style w:type="paragraph" w:styleId="NormalWeb">
    <w:name w:val="Normal (Web)"/>
    <w:basedOn w:val="Normal"/>
    <w:uiPriority w:val="99"/>
    <w:semiHidden/>
    <w:unhideWhenUsed/>
    <w:rsid w:val="00554379"/>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styleId="UnresolvedMention">
    <w:name w:val="Unresolved Mention"/>
    <w:basedOn w:val="DefaultParagraphFont"/>
    <w:uiPriority w:val="99"/>
    <w:semiHidden/>
    <w:unhideWhenUsed/>
    <w:rsid w:val="009B4E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668472">
      <w:bodyDiv w:val="1"/>
      <w:marLeft w:val="0"/>
      <w:marRight w:val="0"/>
      <w:marTop w:val="0"/>
      <w:marBottom w:val="0"/>
      <w:divBdr>
        <w:top w:val="none" w:sz="0" w:space="0" w:color="auto"/>
        <w:left w:val="none" w:sz="0" w:space="0" w:color="auto"/>
        <w:bottom w:val="none" w:sz="0" w:space="0" w:color="auto"/>
        <w:right w:val="none" w:sz="0" w:space="0" w:color="auto"/>
      </w:divBdr>
      <w:divsChild>
        <w:div w:id="870873667">
          <w:marLeft w:val="0"/>
          <w:marRight w:val="0"/>
          <w:marTop w:val="0"/>
          <w:marBottom w:val="0"/>
          <w:divBdr>
            <w:top w:val="none" w:sz="0" w:space="0" w:color="auto"/>
            <w:left w:val="none" w:sz="0" w:space="0" w:color="auto"/>
            <w:bottom w:val="none" w:sz="0" w:space="0" w:color="auto"/>
            <w:right w:val="none" w:sz="0" w:space="0" w:color="auto"/>
          </w:divBdr>
        </w:div>
      </w:divsChild>
    </w:div>
    <w:div w:id="361443885">
      <w:bodyDiv w:val="1"/>
      <w:marLeft w:val="0"/>
      <w:marRight w:val="0"/>
      <w:marTop w:val="0"/>
      <w:marBottom w:val="0"/>
      <w:divBdr>
        <w:top w:val="none" w:sz="0" w:space="0" w:color="auto"/>
        <w:left w:val="none" w:sz="0" w:space="0" w:color="auto"/>
        <w:bottom w:val="none" w:sz="0" w:space="0" w:color="auto"/>
        <w:right w:val="none" w:sz="0" w:space="0" w:color="auto"/>
      </w:divBdr>
    </w:div>
    <w:div w:id="645357845">
      <w:bodyDiv w:val="1"/>
      <w:marLeft w:val="0"/>
      <w:marRight w:val="0"/>
      <w:marTop w:val="0"/>
      <w:marBottom w:val="0"/>
      <w:divBdr>
        <w:top w:val="none" w:sz="0" w:space="0" w:color="auto"/>
        <w:left w:val="none" w:sz="0" w:space="0" w:color="auto"/>
        <w:bottom w:val="none" w:sz="0" w:space="0" w:color="auto"/>
        <w:right w:val="none" w:sz="0" w:space="0" w:color="auto"/>
      </w:divBdr>
    </w:div>
    <w:div w:id="695080291">
      <w:bodyDiv w:val="1"/>
      <w:marLeft w:val="0"/>
      <w:marRight w:val="0"/>
      <w:marTop w:val="0"/>
      <w:marBottom w:val="0"/>
      <w:divBdr>
        <w:top w:val="none" w:sz="0" w:space="0" w:color="auto"/>
        <w:left w:val="none" w:sz="0" w:space="0" w:color="auto"/>
        <w:bottom w:val="none" w:sz="0" w:space="0" w:color="auto"/>
        <w:right w:val="none" w:sz="0" w:space="0" w:color="auto"/>
      </w:divBdr>
    </w:div>
    <w:div w:id="795756656">
      <w:bodyDiv w:val="1"/>
      <w:marLeft w:val="0"/>
      <w:marRight w:val="0"/>
      <w:marTop w:val="0"/>
      <w:marBottom w:val="0"/>
      <w:divBdr>
        <w:top w:val="none" w:sz="0" w:space="0" w:color="auto"/>
        <w:left w:val="none" w:sz="0" w:space="0" w:color="auto"/>
        <w:bottom w:val="none" w:sz="0" w:space="0" w:color="auto"/>
        <w:right w:val="none" w:sz="0" w:space="0" w:color="auto"/>
      </w:divBdr>
    </w:div>
    <w:div w:id="842203984">
      <w:bodyDiv w:val="1"/>
      <w:marLeft w:val="0"/>
      <w:marRight w:val="0"/>
      <w:marTop w:val="0"/>
      <w:marBottom w:val="0"/>
      <w:divBdr>
        <w:top w:val="none" w:sz="0" w:space="0" w:color="auto"/>
        <w:left w:val="none" w:sz="0" w:space="0" w:color="auto"/>
        <w:bottom w:val="none" w:sz="0" w:space="0" w:color="auto"/>
        <w:right w:val="none" w:sz="0" w:space="0" w:color="auto"/>
      </w:divBdr>
    </w:div>
    <w:div w:id="909121393">
      <w:bodyDiv w:val="1"/>
      <w:marLeft w:val="0"/>
      <w:marRight w:val="0"/>
      <w:marTop w:val="0"/>
      <w:marBottom w:val="0"/>
      <w:divBdr>
        <w:top w:val="none" w:sz="0" w:space="0" w:color="auto"/>
        <w:left w:val="none" w:sz="0" w:space="0" w:color="auto"/>
        <w:bottom w:val="none" w:sz="0" w:space="0" w:color="auto"/>
        <w:right w:val="none" w:sz="0" w:space="0" w:color="auto"/>
      </w:divBdr>
    </w:div>
    <w:div w:id="980889154">
      <w:bodyDiv w:val="1"/>
      <w:marLeft w:val="0"/>
      <w:marRight w:val="0"/>
      <w:marTop w:val="0"/>
      <w:marBottom w:val="0"/>
      <w:divBdr>
        <w:top w:val="none" w:sz="0" w:space="0" w:color="auto"/>
        <w:left w:val="none" w:sz="0" w:space="0" w:color="auto"/>
        <w:bottom w:val="none" w:sz="0" w:space="0" w:color="auto"/>
        <w:right w:val="none" w:sz="0" w:space="0" w:color="auto"/>
      </w:divBdr>
    </w:div>
    <w:div w:id="1358114279">
      <w:bodyDiv w:val="1"/>
      <w:marLeft w:val="0"/>
      <w:marRight w:val="0"/>
      <w:marTop w:val="0"/>
      <w:marBottom w:val="0"/>
      <w:divBdr>
        <w:top w:val="none" w:sz="0" w:space="0" w:color="auto"/>
        <w:left w:val="none" w:sz="0" w:space="0" w:color="auto"/>
        <w:bottom w:val="none" w:sz="0" w:space="0" w:color="auto"/>
        <w:right w:val="none" w:sz="0" w:space="0" w:color="auto"/>
      </w:divBdr>
    </w:div>
    <w:div w:id="1383097779">
      <w:bodyDiv w:val="1"/>
      <w:marLeft w:val="0"/>
      <w:marRight w:val="0"/>
      <w:marTop w:val="0"/>
      <w:marBottom w:val="0"/>
      <w:divBdr>
        <w:top w:val="none" w:sz="0" w:space="0" w:color="auto"/>
        <w:left w:val="none" w:sz="0" w:space="0" w:color="auto"/>
        <w:bottom w:val="none" w:sz="0" w:space="0" w:color="auto"/>
        <w:right w:val="none" w:sz="0" w:space="0" w:color="auto"/>
      </w:divBdr>
    </w:div>
    <w:div w:id="1555585031">
      <w:bodyDiv w:val="1"/>
      <w:marLeft w:val="0"/>
      <w:marRight w:val="0"/>
      <w:marTop w:val="0"/>
      <w:marBottom w:val="0"/>
      <w:divBdr>
        <w:top w:val="none" w:sz="0" w:space="0" w:color="auto"/>
        <w:left w:val="none" w:sz="0" w:space="0" w:color="auto"/>
        <w:bottom w:val="none" w:sz="0" w:space="0" w:color="auto"/>
        <w:right w:val="none" w:sz="0" w:space="0" w:color="auto"/>
      </w:divBdr>
    </w:div>
    <w:div w:id="1589146828">
      <w:bodyDiv w:val="1"/>
      <w:marLeft w:val="0"/>
      <w:marRight w:val="0"/>
      <w:marTop w:val="0"/>
      <w:marBottom w:val="0"/>
      <w:divBdr>
        <w:top w:val="none" w:sz="0" w:space="0" w:color="auto"/>
        <w:left w:val="none" w:sz="0" w:space="0" w:color="auto"/>
        <w:bottom w:val="none" w:sz="0" w:space="0" w:color="auto"/>
        <w:right w:val="none" w:sz="0" w:space="0" w:color="auto"/>
      </w:divBdr>
    </w:div>
    <w:div w:id="1721247880">
      <w:bodyDiv w:val="1"/>
      <w:marLeft w:val="0"/>
      <w:marRight w:val="0"/>
      <w:marTop w:val="0"/>
      <w:marBottom w:val="0"/>
      <w:divBdr>
        <w:top w:val="none" w:sz="0" w:space="0" w:color="auto"/>
        <w:left w:val="none" w:sz="0" w:space="0" w:color="auto"/>
        <w:bottom w:val="none" w:sz="0" w:space="0" w:color="auto"/>
        <w:right w:val="none" w:sz="0" w:space="0" w:color="auto"/>
      </w:divBdr>
    </w:div>
    <w:div w:id="1905332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CA84D-FC95-444C-8CE1-C61C02FB0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26</Pages>
  <Words>12737</Words>
  <Characters>72605</Characters>
  <Application>Microsoft Office Word</Application>
  <DocSecurity>0</DocSecurity>
  <Lines>605</Lines>
  <Paragraphs>170</Paragraphs>
  <ScaleCrop>false</ScaleCrop>
  <HeadingPairs>
    <vt:vector size="2" baseType="variant">
      <vt:variant>
        <vt:lpstr>Titel</vt:lpstr>
      </vt:variant>
      <vt:variant>
        <vt:i4>1</vt:i4>
      </vt:variant>
    </vt:vector>
  </HeadingPairs>
  <TitlesOfParts>
    <vt:vector size="1" baseType="lpstr">
      <vt:lpstr/>
    </vt:vector>
  </TitlesOfParts>
  <Company>Wageningen University and Research</Company>
  <LinksUpToDate>false</LinksUpToDate>
  <CharactersWithSpaces>85172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Strietman, Wouter Jan</dc:creator>
  <cp:keywords/>
  <dc:description/>
  <cp:lastModifiedBy>Sarah-Jeanne Royer | The Ocean Cleanup</cp:lastModifiedBy>
  <cp:revision>98</cp:revision>
  <dcterms:created xsi:type="dcterms:W3CDTF">2026-05-28T22:07:00Z</dcterms:created>
  <dcterms:modified xsi:type="dcterms:W3CDTF">2026-06-11T11:33:00Z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dfc4debb-1f6b-3719-964a-b0b43bc3c0c8</vt:lpwstr>
  </property>
  <property fmtid="{D5CDD505-2E9C-101B-9397-08002B2CF9AE}" pid="4" name="Mendeley Citation Style_1">
    <vt:lpwstr>http://www.zotero.org/styles/marine-pollution-bulletin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http://www.zotero.org/styles/ices-journal-of-marine-science</vt:lpwstr>
  </property>
  <property fmtid="{D5CDD505-2E9C-101B-9397-08002B2CF9AE}" pid="16" name="Mendeley Recent Style Name 5_1">
    <vt:lpwstr>ICES Journal of Marine Science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http://www.zotero.org/styles/marine-pollution-bulletin</vt:lpwstr>
  </property>
  <property fmtid="{D5CDD505-2E9C-101B-9397-08002B2CF9AE}" pid="20" name="Mendeley Recent Style Name 7_1">
    <vt:lpwstr>Marine Pollution Bulletin</vt:lpwstr>
  </property>
  <property fmtid="{D5CDD505-2E9C-101B-9397-08002B2CF9AE}" pid="21" name="Mendeley Recent Style Id 8_1">
    <vt:lpwstr>http://www.zotero.org/styles/plos-one</vt:lpwstr>
  </property>
  <property fmtid="{D5CDD505-2E9C-101B-9397-08002B2CF9AE}" pid="22" name="Mendeley Recent Style Name 8_1">
    <vt:lpwstr>PLOS ONE</vt:lpwstr>
  </property>
  <property fmtid="{D5CDD505-2E9C-101B-9397-08002B2CF9AE}" pid="23" name="Mendeley Recent Style Id 9_1">
    <vt:lpwstr>http://www.zotero.org/styles/science-advances</vt:lpwstr>
  </property>
  <property fmtid="{D5CDD505-2E9C-101B-9397-08002B2CF9AE}" pid="24" name="Mendeley Recent Style Name 9_1">
    <vt:lpwstr>Science Advances</vt:lpwstr>
  </property>
</Properties>
</file>