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25059" w14:textId="77777777" w:rsidR="00B17D28" w:rsidRPr="007A293D" w:rsidRDefault="00B17D28" w:rsidP="00B17D28">
      <w:pPr>
        <w:spacing w:before="100" w:beforeAutospacing="1" w:after="100" w:afterAutospacing="1" w:line="240" w:lineRule="auto"/>
        <w:rPr>
          <w:rFonts w:eastAsia="Times New Roman" w:cs="Times New Roman"/>
          <w:kern w:val="0"/>
          <w14:ligatures w14:val="none"/>
        </w:rPr>
      </w:pPr>
      <w:r w:rsidRPr="007A293D">
        <w:rPr>
          <w:rFonts w:eastAsia="Times New Roman" w:cs="Times New Roman"/>
          <w:kern w:val="0"/>
          <w14:ligatures w14:val="none"/>
        </w:rPr>
        <w:t>Appendices</w:t>
      </w:r>
    </w:p>
    <w:p w14:paraId="29612E57" w14:textId="77777777" w:rsidR="00B17D28" w:rsidRPr="007A293D" w:rsidRDefault="00B17D28" w:rsidP="00B17D28">
      <w:pPr>
        <w:spacing w:before="100" w:beforeAutospacing="1" w:after="100" w:afterAutospacing="1" w:line="240" w:lineRule="auto"/>
        <w:rPr>
          <w:rFonts w:eastAsia="Times New Roman" w:cs="Times New Roman"/>
          <w:kern w:val="0"/>
          <w:sz w:val="22"/>
          <w:szCs w:val="22"/>
          <w14:ligatures w14:val="none"/>
        </w:rPr>
      </w:pPr>
      <w:r w:rsidRPr="007A293D">
        <w:rPr>
          <w:rFonts w:eastAsia="Times New Roman" w:cs="Times New Roman"/>
          <w:kern w:val="0"/>
          <w:sz w:val="22"/>
          <w:szCs w:val="22"/>
          <w14:ligatures w14:val="none"/>
        </w:rPr>
        <w:t xml:space="preserve">Appendix A. Append Demographic profile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3510"/>
      </w:tblGrid>
      <w:tr w:rsidR="00B17D28" w14:paraId="02874C35" w14:textId="77777777" w:rsidTr="00B34980">
        <w:tc>
          <w:tcPr>
            <w:tcW w:w="4225" w:type="dxa"/>
            <w:tcBorders>
              <w:top w:val="single" w:sz="4" w:space="0" w:color="auto"/>
              <w:bottom w:val="single" w:sz="4" w:space="0" w:color="auto"/>
            </w:tcBorders>
          </w:tcPr>
          <w:p w14:paraId="103B8870"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Category </w:t>
            </w:r>
          </w:p>
        </w:tc>
        <w:tc>
          <w:tcPr>
            <w:tcW w:w="3510" w:type="dxa"/>
            <w:tcBorders>
              <w:top w:val="single" w:sz="4" w:space="0" w:color="auto"/>
              <w:bottom w:val="single" w:sz="4" w:space="0" w:color="auto"/>
            </w:tcBorders>
          </w:tcPr>
          <w:p w14:paraId="56EDF971"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Subcategory </w:t>
            </w:r>
          </w:p>
        </w:tc>
      </w:tr>
      <w:tr w:rsidR="00B17D28" w14:paraId="34077EC9" w14:textId="77777777" w:rsidTr="00B34980">
        <w:trPr>
          <w:trHeight w:val="215"/>
        </w:trPr>
        <w:tc>
          <w:tcPr>
            <w:tcW w:w="4225" w:type="dxa"/>
            <w:tcBorders>
              <w:top w:val="single" w:sz="4" w:space="0" w:color="auto"/>
            </w:tcBorders>
          </w:tcPr>
          <w:p w14:paraId="1B832CCD"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Gender</w:t>
            </w:r>
          </w:p>
        </w:tc>
        <w:tc>
          <w:tcPr>
            <w:tcW w:w="3510" w:type="dxa"/>
            <w:tcBorders>
              <w:top w:val="single" w:sz="4" w:space="0" w:color="auto"/>
            </w:tcBorders>
          </w:tcPr>
          <w:p w14:paraId="125A7A03"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Female </w:t>
            </w:r>
          </w:p>
        </w:tc>
      </w:tr>
      <w:tr w:rsidR="00B17D28" w14:paraId="6DC4DF42" w14:textId="77777777" w:rsidTr="00B34980">
        <w:tc>
          <w:tcPr>
            <w:tcW w:w="4225" w:type="dxa"/>
          </w:tcPr>
          <w:p w14:paraId="1E97B99E"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3DB898A6"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Male</w:t>
            </w:r>
          </w:p>
        </w:tc>
      </w:tr>
      <w:tr w:rsidR="00B17D28" w14:paraId="6998AAF7" w14:textId="77777777" w:rsidTr="00B34980">
        <w:tc>
          <w:tcPr>
            <w:tcW w:w="4225" w:type="dxa"/>
          </w:tcPr>
          <w:p w14:paraId="34B5E7B4"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Age group </w:t>
            </w:r>
          </w:p>
        </w:tc>
        <w:tc>
          <w:tcPr>
            <w:tcW w:w="3510" w:type="dxa"/>
          </w:tcPr>
          <w:p w14:paraId="4186C0A1"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18 – 25 years</w:t>
            </w:r>
          </w:p>
        </w:tc>
      </w:tr>
      <w:tr w:rsidR="00B17D28" w14:paraId="16DA45AD" w14:textId="77777777" w:rsidTr="00B34980">
        <w:tc>
          <w:tcPr>
            <w:tcW w:w="4225" w:type="dxa"/>
          </w:tcPr>
          <w:p w14:paraId="20E3B4B4"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5A98113D"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26–49 years</w:t>
            </w:r>
          </w:p>
        </w:tc>
      </w:tr>
      <w:tr w:rsidR="00B17D28" w14:paraId="41279AC9" w14:textId="77777777" w:rsidTr="00B34980">
        <w:tc>
          <w:tcPr>
            <w:tcW w:w="4225" w:type="dxa"/>
          </w:tcPr>
          <w:p w14:paraId="4EAFC2A2"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47CA90F3"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50 years or older</w:t>
            </w:r>
          </w:p>
        </w:tc>
      </w:tr>
      <w:tr w:rsidR="00B17D28" w14:paraId="29EC723C" w14:textId="77777777" w:rsidTr="00B34980">
        <w:tc>
          <w:tcPr>
            <w:tcW w:w="4225" w:type="dxa"/>
          </w:tcPr>
          <w:p w14:paraId="2769E910"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Education background</w:t>
            </w:r>
          </w:p>
        </w:tc>
        <w:tc>
          <w:tcPr>
            <w:tcW w:w="3510" w:type="dxa"/>
          </w:tcPr>
          <w:p w14:paraId="251ECEB3"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High school or similar</w:t>
            </w:r>
          </w:p>
        </w:tc>
      </w:tr>
      <w:tr w:rsidR="00B17D28" w14:paraId="56D5ACFF" w14:textId="77777777" w:rsidTr="00B34980">
        <w:tc>
          <w:tcPr>
            <w:tcW w:w="4225" w:type="dxa"/>
          </w:tcPr>
          <w:p w14:paraId="6EE72D07"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35B75F74"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Bachelor’s or equivalent</w:t>
            </w:r>
          </w:p>
        </w:tc>
      </w:tr>
      <w:tr w:rsidR="00B17D28" w14:paraId="1AE3DDD7" w14:textId="77777777" w:rsidTr="00B34980">
        <w:tc>
          <w:tcPr>
            <w:tcW w:w="4225" w:type="dxa"/>
          </w:tcPr>
          <w:p w14:paraId="5E5A93E4"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53E88930"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Master’s or Ph.D.</w:t>
            </w:r>
          </w:p>
        </w:tc>
      </w:tr>
      <w:tr w:rsidR="00B17D28" w14:paraId="2AD179B0" w14:textId="77777777" w:rsidTr="00B34980">
        <w:tc>
          <w:tcPr>
            <w:tcW w:w="4225" w:type="dxa"/>
          </w:tcPr>
          <w:p w14:paraId="32C24E0F"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Sector</w:t>
            </w:r>
          </w:p>
        </w:tc>
        <w:tc>
          <w:tcPr>
            <w:tcW w:w="3510" w:type="dxa"/>
          </w:tcPr>
          <w:p w14:paraId="63395DD4"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Banking and Finance</w:t>
            </w:r>
          </w:p>
        </w:tc>
      </w:tr>
      <w:tr w:rsidR="00B17D28" w14:paraId="33DAEB23" w14:textId="77777777" w:rsidTr="00B34980">
        <w:tc>
          <w:tcPr>
            <w:tcW w:w="4225" w:type="dxa"/>
          </w:tcPr>
          <w:p w14:paraId="41362F73"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56C738CD"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Industry </w:t>
            </w:r>
          </w:p>
        </w:tc>
      </w:tr>
      <w:tr w:rsidR="00B17D28" w14:paraId="64B9C164" w14:textId="77777777" w:rsidTr="00B34980">
        <w:tc>
          <w:tcPr>
            <w:tcW w:w="4225" w:type="dxa"/>
          </w:tcPr>
          <w:p w14:paraId="707B6F4F"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4A6A227C"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Education </w:t>
            </w:r>
          </w:p>
        </w:tc>
      </w:tr>
      <w:tr w:rsidR="00B17D28" w14:paraId="60092BC1" w14:textId="77777777" w:rsidTr="00B34980">
        <w:tc>
          <w:tcPr>
            <w:tcW w:w="4225" w:type="dxa"/>
          </w:tcPr>
          <w:p w14:paraId="453D0B12"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51DE810A"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Government and Public Services</w:t>
            </w:r>
          </w:p>
        </w:tc>
      </w:tr>
      <w:tr w:rsidR="00B17D28" w14:paraId="230406F8" w14:textId="77777777" w:rsidTr="00B34980">
        <w:tc>
          <w:tcPr>
            <w:tcW w:w="4225" w:type="dxa"/>
          </w:tcPr>
          <w:p w14:paraId="5AE0841F"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Pr>
          <w:p w14:paraId="72398083"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Healthcare </w:t>
            </w:r>
          </w:p>
        </w:tc>
      </w:tr>
      <w:tr w:rsidR="00B17D28" w14:paraId="6F87BDDD" w14:textId="77777777" w:rsidTr="00B34980">
        <w:tc>
          <w:tcPr>
            <w:tcW w:w="4225" w:type="dxa"/>
            <w:tcBorders>
              <w:bottom w:val="single" w:sz="4" w:space="0" w:color="auto"/>
            </w:tcBorders>
          </w:tcPr>
          <w:p w14:paraId="6C8C28CA"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p>
        </w:tc>
        <w:tc>
          <w:tcPr>
            <w:tcW w:w="3510" w:type="dxa"/>
            <w:tcBorders>
              <w:bottom w:val="single" w:sz="4" w:space="0" w:color="auto"/>
            </w:tcBorders>
          </w:tcPr>
          <w:p w14:paraId="5805BF46" w14:textId="77777777" w:rsidR="00B17D28" w:rsidRPr="00A04558" w:rsidRDefault="00B17D28" w:rsidP="00B34980">
            <w:pPr>
              <w:spacing w:before="100" w:beforeAutospacing="1" w:after="100" w:afterAutospacing="1"/>
              <w:rPr>
                <w:rFonts w:eastAsia="Times New Roman" w:cs="Calibri"/>
                <w:kern w:val="0"/>
                <w:sz w:val="20"/>
                <w:szCs w:val="20"/>
                <w14:ligatures w14:val="none"/>
              </w:rPr>
            </w:pPr>
            <w:r w:rsidRPr="00A04558">
              <w:rPr>
                <w:rFonts w:eastAsia="Times New Roman" w:cs="Calibri"/>
                <w:kern w:val="0"/>
                <w:sz w:val="20"/>
                <w:szCs w:val="20"/>
                <w14:ligatures w14:val="none"/>
              </w:rPr>
              <w:t xml:space="preserve">Other </w:t>
            </w:r>
          </w:p>
        </w:tc>
      </w:tr>
    </w:tbl>
    <w:p w14:paraId="458BB488" w14:textId="77777777" w:rsidR="00B17D28" w:rsidRDefault="00B17D28" w:rsidP="00B17D28">
      <w:pPr>
        <w:spacing w:before="100" w:beforeAutospacing="1" w:after="100" w:afterAutospacing="1" w:line="240" w:lineRule="auto"/>
        <w:rPr>
          <w:rFonts w:ascii="Times New Roman" w:eastAsia="Times New Roman" w:hAnsi="Times New Roman" w:cs="Times New Roman"/>
          <w:kern w:val="0"/>
          <w14:ligatures w14:val="none"/>
        </w:rPr>
      </w:pPr>
    </w:p>
    <w:p w14:paraId="1B9998F4" w14:textId="77777777" w:rsidR="00B17D28" w:rsidRPr="00480638" w:rsidRDefault="00B17D28" w:rsidP="00B17D28">
      <w:pPr>
        <w:spacing w:before="100" w:beforeAutospacing="1" w:after="100" w:afterAutospacing="1" w:line="240" w:lineRule="auto"/>
      </w:pPr>
      <w:r>
        <w:t>Appendix B.  Measurement Items for Study Constructs</w:t>
      </w:r>
    </w:p>
    <w:tbl>
      <w:tblPr>
        <w:tblW w:w="10980" w:type="dxa"/>
        <w:tblCellSpacing w:w="15" w:type="dxa"/>
        <w:tblInd w:w="-630" w:type="dxa"/>
        <w:tblCellMar>
          <w:top w:w="15" w:type="dxa"/>
          <w:left w:w="15" w:type="dxa"/>
          <w:bottom w:w="15" w:type="dxa"/>
          <w:right w:w="15" w:type="dxa"/>
        </w:tblCellMar>
        <w:tblLook w:val="04A0" w:firstRow="1" w:lastRow="0" w:firstColumn="1" w:lastColumn="0" w:noHBand="0" w:noVBand="1"/>
      </w:tblPr>
      <w:tblGrid>
        <w:gridCol w:w="2700"/>
        <w:gridCol w:w="1062"/>
        <w:gridCol w:w="4886"/>
        <w:gridCol w:w="2332"/>
      </w:tblGrid>
      <w:tr w:rsidR="00B17D28" w:rsidRPr="00F24926" w14:paraId="24111C15" w14:textId="77777777" w:rsidTr="00B34980">
        <w:trPr>
          <w:tblHeader/>
          <w:tblCellSpacing w:w="15" w:type="dxa"/>
        </w:trPr>
        <w:tc>
          <w:tcPr>
            <w:tcW w:w="2655" w:type="dxa"/>
            <w:tcBorders>
              <w:top w:val="single" w:sz="4" w:space="0" w:color="auto"/>
            </w:tcBorders>
            <w:vAlign w:val="center"/>
            <w:hideMark/>
          </w:tcPr>
          <w:p w14:paraId="6E8D906B"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Construct</w:t>
            </w:r>
          </w:p>
        </w:tc>
        <w:tc>
          <w:tcPr>
            <w:tcW w:w="1032" w:type="dxa"/>
            <w:tcBorders>
              <w:top w:val="single" w:sz="4" w:space="0" w:color="auto"/>
            </w:tcBorders>
            <w:vAlign w:val="center"/>
            <w:hideMark/>
          </w:tcPr>
          <w:p w14:paraId="47EA5986"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Code</w:t>
            </w:r>
          </w:p>
        </w:tc>
        <w:tc>
          <w:tcPr>
            <w:tcW w:w="4856" w:type="dxa"/>
            <w:tcBorders>
              <w:top w:val="single" w:sz="4" w:space="0" w:color="auto"/>
            </w:tcBorders>
            <w:vAlign w:val="center"/>
            <w:hideMark/>
          </w:tcPr>
          <w:p w14:paraId="04793EE1"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Measurement Item</w:t>
            </w:r>
          </w:p>
        </w:tc>
        <w:tc>
          <w:tcPr>
            <w:tcW w:w="2287" w:type="dxa"/>
            <w:tcBorders>
              <w:top w:val="single" w:sz="4" w:space="0" w:color="auto"/>
            </w:tcBorders>
            <w:vAlign w:val="center"/>
            <w:hideMark/>
          </w:tcPr>
          <w:p w14:paraId="3A6DDF02"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Source</w:t>
            </w:r>
          </w:p>
        </w:tc>
      </w:tr>
      <w:tr w:rsidR="00B17D28" w:rsidRPr="00F24926" w14:paraId="056CE116" w14:textId="77777777" w:rsidTr="00B34980">
        <w:trPr>
          <w:tblCellSpacing w:w="15" w:type="dxa"/>
        </w:trPr>
        <w:tc>
          <w:tcPr>
            <w:tcW w:w="2655" w:type="dxa"/>
            <w:tcBorders>
              <w:top w:val="single" w:sz="4" w:space="0" w:color="auto"/>
            </w:tcBorders>
            <w:vAlign w:val="center"/>
            <w:hideMark/>
          </w:tcPr>
          <w:p w14:paraId="3F6F08A0"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Responsible AI Perception (RAI)</w:t>
            </w:r>
          </w:p>
        </w:tc>
        <w:tc>
          <w:tcPr>
            <w:tcW w:w="1032" w:type="dxa"/>
            <w:tcBorders>
              <w:top w:val="single" w:sz="4" w:space="0" w:color="auto"/>
            </w:tcBorders>
            <w:vAlign w:val="center"/>
            <w:hideMark/>
          </w:tcPr>
          <w:p w14:paraId="21AAC86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RAI1</w:t>
            </w:r>
          </w:p>
        </w:tc>
        <w:tc>
          <w:tcPr>
            <w:tcW w:w="4856" w:type="dxa"/>
            <w:tcBorders>
              <w:top w:val="single" w:sz="4" w:space="0" w:color="auto"/>
            </w:tcBorders>
            <w:vAlign w:val="center"/>
            <w:hideMark/>
          </w:tcPr>
          <w:p w14:paraId="2FD6EEEF"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AI cybersecurity systems operate in an ethical manner.</w:t>
            </w:r>
          </w:p>
        </w:tc>
        <w:tc>
          <w:tcPr>
            <w:tcW w:w="2287" w:type="dxa"/>
            <w:tcBorders>
              <w:top w:val="single" w:sz="4" w:space="0" w:color="auto"/>
            </w:tcBorders>
            <w:vAlign w:val="center"/>
          </w:tcPr>
          <w:p w14:paraId="639926A8"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71F655B" w14:textId="77777777" w:rsidTr="00B34980">
        <w:trPr>
          <w:tblCellSpacing w:w="15" w:type="dxa"/>
        </w:trPr>
        <w:tc>
          <w:tcPr>
            <w:tcW w:w="2655" w:type="dxa"/>
            <w:vAlign w:val="center"/>
            <w:hideMark/>
          </w:tcPr>
          <w:p w14:paraId="3D03CB9B"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55A6BF2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RAI2</w:t>
            </w:r>
          </w:p>
        </w:tc>
        <w:tc>
          <w:tcPr>
            <w:tcW w:w="4856" w:type="dxa"/>
            <w:vAlign w:val="center"/>
            <w:hideMark/>
          </w:tcPr>
          <w:p w14:paraId="78FFAD0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These systems are transparent in how they make decisions.</w:t>
            </w:r>
          </w:p>
        </w:tc>
        <w:tc>
          <w:tcPr>
            <w:tcW w:w="2287" w:type="dxa"/>
            <w:vAlign w:val="center"/>
            <w:hideMark/>
          </w:tcPr>
          <w:p w14:paraId="039CF2E8"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{"citationItems":[{"id":"ITEM-1","itemData":{"DOI":"10.1007/s11023-018-9482-5","ISBN":"0123456789","ISSN":"15728641","abstract":"This article reports the findings of AI4People, an Atomium—EISMD initiative designed to lay the foundations for a “Good AI Society”. We introduce the core opportunities and risks of AI for society; present a synthesis of five ethical principles that should undergird its development and adoption; and offer 20 concrete recommendations—to assess, to develop, to incentivise, and to support good AI—which in some cases may be undertaken directly by national or supranational policy makers, while in others may be led by other stakeholders. If adopted, these recommendations would serve as a firm foundation for the establishment of a Good AI Society.","author":[{"dropping-particle":"","family":"Floridi","given":"Luciano","non-dropping-particle":"","parse-names":false,"suffix":""},{"dropping-particle":"","family":"Cowls","given":"Josh","non-dropping-particle":"","parse-names":false,"suffix":""},{"dropping-particle":"","family":"Beltrametti","given":"Monica","non-dropping-particle":"","parse-names":false,"suffix":""},{"dropping-particle":"","family":"Chatila","given":"Raja","non-dropping-particle":"","parse-names":false,"suffix":""},{"dropping-particle":"","family":"Chazerand","given":"Patrice","non-dropping-particle":"","parse-names":false,"suffix":""},{"dropping-particle":"","family":"Dignum","given":"Virginia","non-dropping-particle":"","parse-names":false,"suffix":""},{"dropping-particle":"","family":"Luetge","given":"Christoph","non-dropping-particle":"","parse-names":false,"suffix":""},{"dropping-particle":"","family":"Madelin","given":"Robert","non-dropping-particle":"","parse-names":false,"suffix":""},{"dropping-particle":"","family":"Pagallo","given":"Ugo","non-dropping-particle":"","parse-names":false,"suffix":""},{"dropping-particle":"","family":"Rossi","given":"Francesca","non-dropping-particle":"","parse-names":false,"suffix":""},{"dropping-particle":"","family":"Schafer","given":"Burkhard","non-dropping-particle":"","parse-names":false,"suffix":""},{"dropping-particle":"","family":"Valcke","given":"Peggy","non-dropping-particle":"","parse-names":false,"suffix":""},{"dropping-particle":"","family":"Vayena","given":"Effy","non-dropping-particle":"","parse-names":false,"suffix":""}],"container-title":"Minds and Machines","id":"ITEM-1","issue":"4","issued":{"date-parts":[["2018"]]},"page":"689-707","publisher":"Springer Netherlands","title":"AI4People—An Ethical Framework for a Good AI Society: Opportunities, Risks, Principles, and Recommendations","type":"article-journal","volume":"28"},"uris":["http://www.mendeley.com/documents/?uuid=95f37ee1-5d5d-4341-b357-27b9f37eaf3d"]},{"id":"ITEM-2","itemData":{"DOI":"10.1016/j.jik.2025.100813","ISSN":"2444569X","abstract":"Artificial Intelligence (AI) increasingly influences daily life, yet a comprehensive understanding of responsible AI usage, particularly from legal, ethical, and practical perspectives, remains limited. This quantitative study, conducted in Lebanon and grounded in the Unified Theory of Acceptance and Use of Technology (UTAUT), employs Structural Equation Modeling (SEM) to examine responsible AI usage. Findings reveal that Responsible AI practices significantly influence technology adoption, demonstrating positive correlations between model variables and users’ behavioral intentions. The study offers both theoretical and practical implications: theoretically, it extends the UTAUT model by integrating the Responsible AI construct, contributing insights into user behavior in emerging markets; practically, it highlights how Responsible AI shapes user engagement. The paper concludes with recommendations for Lebanese organizations to promote ethical AI practices and implement guidelines encouraging responsible adoption.","author":[{"dropping-particle":"","family":"Chedrawi","given":"Charbel","non-dropping-particle":"","parse-names":false,"suffix":""},{"dropping-particle":"","family":"Haddad","given":"Gloria","non-dropping-particle":"","parse-names":false,"suffix":""},{"dropping-particle":"","family":"Tarhini","given":"Abbas","non-dropping-particle":"","parse-names":false,"suffix":""},{"dropping-particle":"","family":"Osta","given":"Souheir","non-dropping-particle":"","parse-names":false,"suffix":""},{"dropping-particle":"","family":"Kazoun","given":"Nahil","non-dropping-particle":"","parse-names":false,"suffix":""}],"container-title":"Journal of Innovation and Knowledge","id":"ITEM-2","issue":"6","issued":{"date-parts":[["2025"]]},"page":"100813","publisher":"Elsevier B.V.","title":"Exploring the impact of responsible AI usage on users’ behavioral intentions","type":"article-journal","volume":"10"},"uris":["http://www.mendeley.com/documents/?uuid=d162e6f6-47bd-46b4-8782-4f67d1a55f02"]},{"id":"ITEM-3","itemData":{"DOI":"10.1108/JICES-06-2024-0072","ISSN":"17588871","abstract":"Purpose: The introduction of artificial intelligence (AI) applications in the Global South brings tremendous potential for both good and harm. This paper aims to highlight the guiding ethical principles and normative frameworks for the ethical use of AI in the lens of the traditional Ga (a tribe in Ghana) philosophy and add to the academic literature and research on AI and ethics within the African context. Design/methodology/approach: Literature overview on the African philosophy of Ga tradition as applied to AI and application of it to the AI4people ethical framework for a good AI society. Findings: Existing principles in AI are based on and mostly influenced by western principles, which may give rise to biases in AI outcomes and design implications in Africa. The research finds a high degree of overlap in the AI4People ethical framework for a good AI society and the Ga philosophy. Research limitations/implications: There are a few existing literatures on AI ethics in Africa and on Ga philosophy. Originality/value: This research offers valuable contribution to the ongoing discourse of Africa’s adoption of AI and widens the debate on AI and ethics beyond the western ethical approaches.","author":[{"dropping-particle":"","family":"Ammah","given":"Laud Nii Attoh","non-dropping-particle":"","parse-names":false,"suffix":""},{"dropping-particle":"","family":"Lütge","given":"Christoph","non-dropping-particle":"","parse-names":false,"suffix":""},{"dropping-particle":"","family":"Kriebitz","given":"Alexander","non-dropping-particle":"","parse-names":false,"suffix":""},{"dropping-particle":"","family":"Ramkissoon","given":"Lavina","non-dropping-particle":"","parse-names":false,"suffix":""}],"container-title":"Journal of Information, Communication and Ethics in Society","id":"ITEM-3","issue":"4","issued":{"date-parts":[["2024"]]},"page":"453-465","title":"AI4people − an ethical framework for a good AI society: the Ghana (Ga) perspective","type":"article-journal","volume":"22"},"uris":["http://www.mendeley.com/documents/?uuid=674d9946-5d84-42c2-91da-50ac13fcac4e"]},{"id":"ITEM-4","itemData":{"DOI":"10.1016/j.ijhcs.2020.102551","ISSN":"10959300","abstract":"Artificial intelligence and algorithmic decision-making processes are increasingly criticized for their black-box nature. Explainable AI approaches to trace human-interpretable decision processes from algorithms have been explored. Yet, little is known about algorithmic explainability from a human factors’ perspective. From the perspective of user interpretability and understandability, this study examines the effect of explainability in AI on user trust and attitudes toward AI. It conceptualizes causability as an antecedent of explainability and as a key cue of an algorithm and examines them in relation to trust by testing how they affect user perceived performance of AI-driven services. The results show the dual roles of causability and explainability in terms of its underlying links to trust and subsequent user behaviors. Explanations of why certain news articles are recommended generate users trust whereas causability of to what extent they can understand the explanations affords users emotional confidence. Causability lends the justification for what and how should be explained as it determines the relative importance of the properties of explainability. The results have implications for the inclusion of causability and explanatory cues in AI systems, which help to increase trust and help users to assess the quality of explanations. Causable explainable AI will help people understand the decision-making process of AI algorithms by bringing transparency and accountability into AI systems.","author":[{"dropping-particle":"","family":"Shin","given":"Donghee","non-dropping-particle":"","parse-names":false,"suffix":""}],"container-title":"International Journal of Human Computer Studies","id":"ITEM-4","issued":{"date-parts":[["2021"]]},"page":"102551","title":"The effects of explainability and causability on perception, trust, and acceptance: Implications for explainable AI","type":"article-journal","volume":"146"},"uris":["http://www.mendeley.com/documents/?uuid=3406e4f2-9557-44cc-965c-3e1fed7b9ac8"]}],"mendeley":{"formattedCitation":"(Ammah et al., 2024; Chedrawi et al., 2025; Floridi et al., 2018; Shin, 2021)","plainTextFormattedCitation":"(Ammah et al., 2024; Chedrawi et al., 2025; Floridi et al., 2018; Shin, 2021)","previouslyFormattedCitation":"(Ammah et al., 2024; Chedrawi et al., 2025; Floridi et al., 2018; Shin, 2021)"},"properties":{"noteIndex":0},"schema":"https://github.com/citation-style-language/schema/raw/master/csl-citation.json"}</w:instrText>
            </w:r>
            <w:r>
              <w:rPr>
                <w:rFonts w:eastAsia="Times New Roman" w:cs="Calibri"/>
                <w:kern w:val="0"/>
                <w:sz w:val="20"/>
                <w:szCs w:val="20"/>
                <w14:ligatures w14:val="none"/>
              </w:rPr>
              <w:fldChar w:fldCharType="separate"/>
            </w:r>
            <w:r w:rsidRPr="00EA212C">
              <w:rPr>
                <w:rFonts w:eastAsia="Times New Roman" w:cs="Calibri"/>
                <w:noProof/>
                <w:kern w:val="0"/>
                <w:sz w:val="20"/>
                <w:szCs w:val="20"/>
                <w14:ligatures w14:val="none"/>
              </w:rPr>
              <w:t>(Ammah et al., 2024; Chedrawi et al., 2025; Floridi et al., 2018; Shin, 2021)</w:t>
            </w:r>
            <w:r>
              <w:rPr>
                <w:rFonts w:eastAsia="Times New Roman" w:cs="Calibri"/>
                <w:kern w:val="0"/>
                <w:sz w:val="20"/>
                <w:szCs w:val="20"/>
                <w14:ligatures w14:val="none"/>
              </w:rPr>
              <w:fldChar w:fldCharType="end"/>
            </w:r>
          </w:p>
        </w:tc>
      </w:tr>
      <w:tr w:rsidR="00B17D28" w:rsidRPr="00F24926" w14:paraId="383C791E" w14:textId="77777777" w:rsidTr="00B34980">
        <w:trPr>
          <w:tblCellSpacing w:w="15" w:type="dxa"/>
        </w:trPr>
        <w:tc>
          <w:tcPr>
            <w:tcW w:w="2655" w:type="dxa"/>
            <w:vAlign w:val="center"/>
            <w:hideMark/>
          </w:tcPr>
          <w:p w14:paraId="4A801AF1"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2F9662F3"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RAI3</w:t>
            </w:r>
          </w:p>
        </w:tc>
        <w:tc>
          <w:tcPr>
            <w:tcW w:w="4856" w:type="dxa"/>
            <w:vAlign w:val="center"/>
            <w:hideMark/>
          </w:tcPr>
          <w:p w14:paraId="375EBE1F"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AI tools respect user privacy and data protection.</w:t>
            </w:r>
          </w:p>
        </w:tc>
        <w:tc>
          <w:tcPr>
            <w:tcW w:w="2287" w:type="dxa"/>
            <w:vAlign w:val="center"/>
            <w:hideMark/>
          </w:tcPr>
          <w:p w14:paraId="48B08DCB"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890B1FF" w14:textId="77777777" w:rsidTr="00B34980">
        <w:trPr>
          <w:tblCellSpacing w:w="15" w:type="dxa"/>
        </w:trPr>
        <w:tc>
          <w:tcPr>
            <w:tcW w:w="2655" w:type="dxa"/>
            <w:vAlign w:val="center"/>
            <w:hideMark/>
          </w:tcPr>
          <w:p w14:paraId="02FF3B9C"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149E7CA2"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RAI4</w:t>
            </w:r>
          </w:p>
        </w:tc>
        <w:tc>
          <w:tcPr>
            <w:tcW w:w="4856" w:type="dxa"/>
            <w:vAlign w:val="center"/>
            <w:hideMark/>
          </w:tcPr>
          <w:p w14:paraId="1F2005BC"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AI systems avoid bias and discrimination.</w:t>
            </w:r>
          </w:p>
        </w:tc>
        <w:tc>
          <w:tcPr>
            <w:tcW w:w="2287" w:type="dxa"/>
            <w:vAlign w:val="center"/>
            <w:hideMark/>
          </w:tcPr>
          <w:p w14:paraId="2A88AE3A"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8E9B42A" w14:textId="77777777" w:rsidTr="00B34980">
        <w:trPr>
          <w:tblCellSpacing w:w="15" w:type="dxa"/>
        </w:trPr>
        <w:tc>
          <w:tcPr>
            <w:tcW w:w="2655" w:type="dxa"/>
            <w:vAlign w:val="center"/>
            <w:hideMark/>
          </w:tcPr>
          <w:p w14:paraId="4209760D"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002B89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RAI5</w:t>
            </w:r>
          </w:p>
        </w:tc>
        <w:tc>
          <w:tcPr>
            <w:tcW w:w="4856" w:type="dxa"/>
            <w:vAlign w:val="center"/>
            <w:hideMark/>
          </w:tcPr>
          <w:p w14:paraId="036FAFCE"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Organizations ensure accountability in AI systems.</w:t>
            </w:r>
          </w:p>
        </w:tc>
        <w:tc>
          <w:tcPr>
            <w:tcW w:w="2287" w:type="dxa"/>
            <w:vAlign w:val="center"/>
            <w:hideMark/>
          </w:tcPr>
          <w:p w14:paraId="6EB8217D"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41A2262" w14:textId="77777777" w:rsidTr="00B34980">
        <w:trPr>
          <w:tblCellSpacing w:w="15" w:type="dxa"/>
        </w:trPr>
        <w:tc>
          <w:tcPr>
            <w:tcW w:w="2655" w:type="dxa"/>
            <w:vAlign w:val="center"/>
            <w:hideMark/>
          </w:tcPr>
          <w:p w14:paraId="28B18474"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D331DC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RAI6</w:t>
            </w:r>
          </w:p>
        </w:tc>
        <w:tc>
          <w:tcPr>
            <w:tcW w:w="4856" w:type="dxa"/>
            <w:vAlign w:val="center"/>
            <w:hideMark/>
          </w:tcPr>
          <w:p w14:paraId="6D0A014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AI cybersecurity systems are developed responsibly.</w:t>
            </w:r>
          </w:p>
        </w:tc>
        <w:tc>
          <w:tcPr>
            <w:tcW w:w="2287" w:type="dxa"/>
            <w:vAlign w:val="center"/>
            <w:hideMark/>
          </w:tcPr>
          <w:p w14:paraId="33E00485"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1F991E39" w14:textId="77777777" w:rsidTr="00B34980">
        <w:trPr>
          <w:trHeight w:val="366"/>
          <w:tblCellSpacing w:w="15" w:type="dxa"/>
        </w:trPr>
        <w:tc>
          <w:tcPr>
            <w:tcW w:w="2655" w:type="dxa"/>
            <w:vAlign w:val="center"/>
            <w:hideMark/>
          </w:tcPr>
          <w:p w14:paraId="69A5C8B0" w14:textId="77777777" w:rsidR="00B17D28" w:rsidRPr="00F24926" w:rsidRDefault="00B17D28" w:rsidP="00B34980">
            <w:pPr>
              <w:spacing w:after="0" w:line="240" w:lineRule="auto"/>
              <w:rPr>
                <w:rFonts w:eastAsia="Times New Roman" w:cs="Calibri"/>
                <w:b/>
                <w:bCs/>
                <w:kern w:val="0"/>
                <w:sz w:val="20"/>
                <w:szCs w:val="20"/>
                <w14:ligatures w14:val="none"/>
              </w:rPr>
            </w:pPr>
            <w:r w:rsidRPr="00073B5D">
              <w:rPr>
                <w:rFonts w:eastAsia="Times New Roman" w:cs="Calibri"/>
                <w:b/>
                <w:bCs/>
                <w:kern w:val="0"/>
                <w:sz w:val="20"/>
                <w:szCs w:val="20"/>
                <w14:ligatures w14:val="none"/>
              </w:rPr>
              <w:t>AI-Driven Cybersecurity Awareness</w:t>
            </w:r>
          </w:p>
        </w:tc>
        <w:tc>
          <w:tcPr>
            <w:tcW w:w="1032" w:type="dxa"/>
            <w:vAlign w:val="center"/>
          </w:tcPr>
          <w:p w14:paraId="181105E5"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AICA1</w:t>
            </w:r>
          </w:p>
        </w:tc>
        <w:tc>
          <w:tcPr>
            <w:tcW w:w="4856" w:type="dxa"/>
            <w:vAlign w:val="center"/>
          </w:tcPr>
          <w:p w14:paraId="601BE2A1"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understand how AI-based cybersecurity systems work.</w:t>
            </w:r>
          </w:p>
        </w:tc>
        <w:tc>
          <w:tcPr>
            <w:tcW w:w="2287" w:type="dxa"/>
            <w:vAlign w:val="center"/>
            <w:hideMark/>
          </w:tcPr>
          <w:p w14:paraId="28D21C6C"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{"citationItems":[{"id":"ITEM-1","itemData":{"DOI":"https://doi.org/10.1016/j.cose.2017.01.004","ISSN":"0167-4048","abstract":"Information security awareness (ISA) is integral to protecting an organisation from cyber threats. The aim of this paper is to further establish the validity of the Human Aspects of Information Security Questionnaire (HAIS-Q), as an effective instrument for measuring ISA. We present two studies to further establish the construct validity of this instrument. In Study 1, 112 university students completed the HAIS-Q and also took part in an empirical lab-based phishing experiment. Results indicated that participants who scored more highly on the HAIS-Q had better performance in the phishing experiment. This means the HAIS-Q can predict an aspect of information security behaviour, and provides evidence for its convergent validity. In Study 2, the HAIS-Q was administered to a larger and more representative population of 505 working Australians to further establish the construct validity of the instrument. The results of a factor analysis and other statistical techniques provide evidence for the validity of the HAIS-Q as a robust measure of ISA. We also describe the practical implications of the HAIS-Q, particularly how it could be used by information security practitioners.","author":[{"dropping-particle":"","family":"Parsons","given":"Kathryn","non-dropping-particle":"","parse-names":false,"suffix":""},{"dropping-particle":"","family":"Calic","given":"Dragana","non-dropping-particle":"","parse-names":false,"suffix":""},{"dropping-particle":"","family":"Pattinson","given":"Malcolm","non-dropping-particle":"","parse-names":false,"suffix":""},{"dropping-particle":"","family":"Butavicius","given":"Marcus","non-dropping-particle":"","parse-names":false,"suffix":""},{"dropping-particle":"","family":"McCormac","given":"Agata","non-dropping-particle":"","parse-names":false,"suffix":""},{"dropping-particle":"","family":"Zwaans","given":"Tara","non-dropping-particle":"","parse-names":false,"suffix":""}],"container-title":"Computers &amp; Security","id":"ITEM-1","issued":{"date-parts":[["2017"]]},"page":"40-51","title":"The Human Aspects of Information Security Questionnaire (HAIS-Q): Two further validation studies","type":"article-journal","volume":"66"},"uris":["http://www.mendeley.com/documents/?uuid=1b2caa3b-738e-46f7-8b22-5d65cbed1bdc"]},{"id":"ITEM-2","itemData":{"ISBN":"1868546365","abstract":"ICT resources are important assets of any organization and the protection of these resources are equally important. To be able to protect themselves and their profitability, many organizations have established information security awareness programs. In order for a security awareness program to add value to an organization and at the same time make a contribution to the field of information security it is necessary to have a set of methods to study and measure its effect. This paper gives an overview of a suggested framework for evaluating ICT security awareness. Following a brief description of the framework, a more detailed overview on the identification of areas to be evaluated, using a value focused assessment, will be presented. Comments on possible system generated information, that may be used to assist with the evaluation of security behavior of users, will also be presented.","author":[{"dropping-particle":"","family":"Kruger","given":"H.","non-dropping-particle":"","parse-names":false,"suffix":""},{"dropping-particle":"","family":"Drevin","given":"L.","non-dropping-particle":"","parse-names":false,"suffix":""},{"dropping-particle":"","family":"Steyn","given":"T.","non-dropping-particle":"","parse-names":false,"suffix":""}],"container-title":"Issa","id":"ITEM-2","issued":{"date-parts":[["2006"]]},"page":"1-11","title":"A framework for evaluating ICT security awareness","type":"article-journal"},"uris":["http://www.mendeley.com/documents/?uuid=7a989621-ae39-44ae-9d32-10a60a2a634d"]}],"mendeley":{"formattedCitation":"(Kruger et al., 2006; Parsons et al., 2017)","plainTextFormattedCitation":"(Kruger et al., 2006; Parsons et al., 2017)","previouslyFormattedCitation":"(Kruger et al., 2006; Parsons et al., 2017)"},"properties":{"noteIndex":0},"schema":"https://github.com/citation-style-language/schema/raw/master/csl-citation.json"}</w:instrText>
            </w:r>
            <w:r>
              <w:rPr>
                <w:rFonts w:eastAsia="Times New Roman" w:cs="Calibri"/>
                <w:kern w:val="0"/>
                <w:sz w:val="20"/>
                <w:szCs w:val="20"/>
                <w14:ligatures w14:val="none"/>
              </w:rPr>
              <w:fldChar w:fldCharType="separate"/>
            </w:r>
            <w:r w:rsidRPr="00A04558">
              <w:rPr>
                <w:rFonts w:eastAsia="Times New Roman" w:cs="Calibri"/>
                <w:noProof/>
                <w:kern w:val="0"/>
                <w:sz w:val="20"/>
                <w:szCs w:val="20"/>
                <w14:ligatures w14:val="none"/>
              </w:rPr>
              <w:t>(Kruger et al., 2006; Parsons et al., 2017)</w:t>
            </w:r>
            <w:r>
              <w:rPr>
                <w:rFonts w:eastAsia="Times New Roman" w:cs="Calibri"/>
                <w:kern w:val="0"/>
                <w:sz w:val="20"/>
                <w:szCs w:val="20"/>
                <w14:ligatures w14:val="none"/>
              </w:rPr>
              <w:fldChar w:fldCharType="end"/>
            </w:r>
          </w:p>
        </w:tc>
      </w:tr>
      <w:tr w:rsidR="00B17D28" w:rsidRPr="00F24926" w14:paraId="45405521" w14:textId="77777777" w:rsidTr="00B34980">
        <w:trPr>
          <w:tblCellSpacing w:w="15" w:type="dxa"/>
        </w:trPr>
        <w:tc>
          <w:tcPr>
            <w:tcW w:w="2655" w:type="dxa"/>
            <w:vAlign w:val="center"/>
            <w:hideMark/>
          </w:tcPr>
          <w:p w14:paraId="5029330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57971723"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AICA2</w:t>
            </w:r>
          </w:p>
        </w:tc>
        <w:tc>
          <w:tcPr>
            <w:tcW w:w="4856" w:type="dxa"/>
            <w:vAlign w:val="center"/>
          </w:tcPr>
          <w:p w14:paraId="5A5F8F20"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know how AI improves cybersecurity threat detection.</w:t>
            </w:r>
          </w:p>
        </w:tc>
        <w:tc>
          <w:tcPr>
            <w:tcW w:w="2287" w:type="dxa"/>
            <w:vAlign w:val="center"/>
            <w:hideMark/>
          </w:tcPr>
          <w:p w14:paraId="1F02B0AB"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3F60DC2" w14:textId="77777777" w:rsidTr="00B34980">
        <w:trPr>
          <w:tblCellSpacing w:w="15" w:type="dxa"/>
        </w:trPr>
        <w:tc>
          <w:tcPr>
            <w:tcW w:w="2655" w:type="dxa"/>
            <w:vAlign w:val="center"/>
            <w:hideMark/>
          </w:tcPr>
          <w:p w14:paraId="500EB7FE"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5FB55F6B"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AICA3</w:t>
            </w:r>
          </w:p>
        </w:tc>
        <w:tc>
          <w:tcPr>
            <w:tcW w:w="4856" w:type="dxa"/>
            <w:vAlign w:val="center"/>
          </w:tcPr>
          <w:p w14:paraId="4C1A6509"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understand the limitations of AI in cybersecurity.</w:t>
            </w:r>
          </w:p>
        </w:tc>
        <w:tc>
          <w:tcPr>
            <w:tcW w:w="2287" w:type="dxa"/>
            <w:vAlign w:val="center"/>
            <w:hideMark/>
          </w:tcPr>
          <w:p w14:paraId="2BA2E9F4"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1AF09B08" w14:textId="77777777" w:rsidTr="00B34980">
        <w:trPr>
          <w:tblCellSpacing w:w="15" w:type="dxa"/>
        </w:trPr>
        <w:tc>
          <w:tcPr>
            <w:tcW w:w="2655" w:type="dxa"/>
            <w:vAlign w:val="center"/>
            <w:hideMark/>
          </w:tcPr>
          <w:p w14:paraId="317A965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46E5FFF6"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AICA4</w:t>
            </w:r>
          </w:p>
        </w:tc>
        <w:tc>
          <w:tcPr>
            <w:tcW w:w="4856" w:type="dxa"/>
            <w:vAlign w:val="center"/>
          </w:tcPr>
          <w:p w14:paraId="00996C58"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am aware of common cybersecurity threats such as phishing and malware.</w:t>
            </w:r>
          </w:p>
        </w:tc>
        <w:tc>
          <w:tcPr>
            <w:tcW w:w="2287" w:type="dxa"/>
            <w:vAlign w:val="center"/>
            <w:hideMark/>
          </w:tcPr>
          <w:p w14:paraId="18DE15A2"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F1EF939" w14:textId="77777777" w:rsidTr="00B34980">
        <w:trPr>
          <w:tblCellSpacing w:w="15" w:type="dxa"/>
        </w:trPr>
        <w:tc>
          <w:tcPr>
            <w:tcW w:w="2655" w:type="dxa"/>
            <w:vAlign w:val="center"/>
            <w:hideMark/>
          </w:tcPr>
          <w:p w14:paraId="1B78433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6FB71A69"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AICA5</w:t>
            </w:r>
          </w:p>
        </w:tc>
        <w:tc>
          <w:tcPr>
            <w:tcW w:w="4856" w:type="dxa"/>
            <w:vAlign w:val="center"/>
          </w:tcPr>
          <w:p w14:paraId="5E7D21A5"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can identify suspicious online activities or messages.</w:t>
            </w:r>
          </w:p>
        </w:tc>
        <w:tc>
          <w:tcPr>
            <w:tcW w:w="2287" w:type="dxa"/>
            <w:vAlign w:val="center"/>
            <w:hideMark/>
          </w:tcPr>
          <w:p w14:paraId="0180A3F7"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6C47C26A" w14:textId="77777777" w:rsidTr="00B34980">
        <w:trPr>
          <w:tblCellSpacing w:w="15" w:type="dxa"/>
        </w:trPr>
        <w:tc>
          <w:tcPr>
            <w:tcW w:w="2655" w:type="dxa"/>
            <w:vAlign w:val="center"/>
            <w:hideMark/>
          </w:tcPr>
          <w:p w14:paraId="224BC5EB"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4FF48EE1"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AICA6</w:t>
            </w:r>
          </w:p>
        </w:tc>
        <w:tc>
          <w:tcPr>
            <w:tcW w:w="4856" w:type="dxa"/>
            <w:vAlign w:val="center"/>
          </w:tcPr>
          <w:p w14:paraId="741A24A7"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regularly follow cybersecurity best practices.</w:t>
            </w:r>
          </w:p>
        </w:tc>
        <w:tc>
          <w:tcPr>
            <w:tcW w:w="2287" w:type="dxa"/>
            <w:vAlign w:val="center"/>
            <w:hideMark/>
          </w:tcPr>
          <w:p w14:paraId="29FD0F7C"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4FED6399" w14:textId="77777777" w:rsidTr="00B34980">
        <w:trPr>
          <w:tblCellSpacing w:w="15" w:type="dxa"/>
        </w:trPr>
        <w:tc>
          <w:tcPr>
            <w:tcW w:w="2655" w:type="dxa"/>
            <w:vAlign w:val="center"/>
            <w:hideMark/>
          </w:tcPr>
          <w:p w14:paraId="17FA497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77E0C52C"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AICA7</w:t>
            </w:r>
          </w:p>
        </w:tc>
        <w:tc>
          <w:tcPr>
            <w:tcW w:w="4856" w:type="dxa"/>
            <w:vAlign w:val="center"/>
          </w:tcPr>
          <w:p w14:paraId="04F9279E"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stay informed about emerging cybersecurity risks and solutions.</w:t>
            </w:r>
          </w:p>
        </w:tc>
        <w:tc>
          <w:tcPr>
            <w:tcW w:w="2287" w:type="dxa"/>
            <w:vAlign w:val="center"/>
            <w:hideMark/>
          </w:tcPr>
          <w:p w14:paraId="65718AF9"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BF6AF45" w14:textId="77777777" w:rsidTr="00B34980">
        <w:trPr>
          <w:tblCellSpacing w:w="15" w:type="dxa"/>
        </w:trPr>
        <w:tc>
          <w:tcPr>
            <w:tcW w:w="2655" w:type="dxa"/>
            <w:vAlign w:val="center"/>
          </w:tcPr>
          <w:p w14:paraId="6112C90F"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tcPr>
          <w:p w14:paraId="28B8348B"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AICA8</w:t>
            </w:r>
          </w:p>
        </w:tc>
        <w:tc>
          <w:tcPr>
            <w:tcW w:w="4856" w:type="dxa"/>
            <w:vAlign w:val="center"/>
          </w:tcPr>
          <w:p w14:paraId="3DC48825" w14:textId="77777777" w:rsidR="00B17D28" w:rsidRPr="00F24926" w:rsidRDefault="00B17D28" w:rsidP="00B34980">
            <w:pPr>
              <w:spacing w:after="0" w:line="240" w:lineRule="auto"/>
              <w:rPr>
                <w:rFonts w:eastAsia="Times New Roman" w:cs="Calibri"/>
                <w:kern w:val="0"/>
                <w:sz w:val="20"/>
                <w:szCs w:val="20"/>
                <w14:ligatures w14:val="none"/>
              </w:rPr>
            </w:pPr>
            <w:r w:rsidRPr="00073B5D">
              <w:rPr>
                <w:rFonts w:eastAsia="Times New Roman" w:cs="Calibri"/>
                <w:kern w:val="0"/>
                <w:sz w:val="20"/>
                <w:szCs w:val="20"/>
                <w14:ligatures w14:val="none"/>
              </w:rPr>
              <w:t>I understand how AI contributes to protecting digital systems.</w:t>
            </w:r>
          </w:p>
        </w:tc>
        <w:tc>
          <w:tcPr>
            <w:tcW w:w="2287" w:type="dxa"/>
            <w:vAlign w:val="center"/>
          </w:tcPr>
          <w:p w14:paraId="37A7D081"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8575338" w14:textId="77777777" w:rsidTr="00B34980">
        <w:trPr>
          <w:tblCellSpacing w:w="15" w:type="dxa"/>
        </w:trPr>
        <w:tc>
          <w:tcPr>
            <w:tcW w:w="2655" w:type="dxa"/>
            <w:vAlign w:val="center"/>
            <w:hideMark/>
          </w:tcPr>
          <w:p w14:paraId="01AEABB5"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Perceived Risk (PR)</w:t>
            </w:r>
          </w:p>
        </w:tc>
        <w:tc>
          <w:tcPr>
            <w:tcW w:w="1032" w:type="dxa"/>
            <w:vAlign w:val="center"/>
            <w:hideMark/>
          </w:tcPr>
          <w:p w14:paraId="24FDF6BA"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PR1</w:t>
            </w:r>
          </w:p>
        </w:tc>
        <w:tc>
          <w:tcPr>
            <w:tcW w:w="4856" w:type="dxa"/>
            <w:vAlign w:val="center"/>
            <w:hideMark/>
          </w:tcPr>
          <w:p w14:paraId="3DEF0B59"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Using AI-based cybersecurity systems involves potential risks.</w:t>
            </w:r>
          </w:p>
        </w:tc>
        <w:tc>
          <w:tcPr>
            <w:tcW w:w="2287" w:type="dxa"/>
            <w:vAlign w:val="center"/>
          </w:tcPr>
          <w:p w14:paraId="169334A5"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14D2ED2" w14:textId="77777777" w:rsidTr="00B34980">
        <w:trPr>
          <w:tblCellSpacing w:w="15" w:type="dxa"/>
        </w:trPr>
        <w:tc>
          <w:tcPr>
            <w:tcW w:w="2655" w:type="dxa"/>
            <w:vAlign w:val="center"/>
            <w:hideMark/>
          </w:tcPr>
          <w:p w14:paraId="39204471"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25EE6643"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PR2</w:t>
            </w:r>
          </w:p>
        </w:tc>
        <w:tc>
          <w:tcPr>
            <w:tcW w:w="4856" w:type="dxa"/>
            <w:vAlign w:val="center"/>
            <w:hideMark/>
          </w:tcPr>
          <w:p w14:paraId="45D5EF8E"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am concerned about privacy risks when using AI cybersecurity tools.</w:t>
            </w:r>
          </w:p>
        </w:tc>
        <w:tc>
          <w:tcPr>
            <w:tcW w:w="2287" w:type="dxa"/>
            <w:vAlign w:val="center"/>
            <w:hideMark/>
          </w:tcPr>
          <w:p w14:paraId="3B5404E9"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{"citationItems":[{"id":"ITEM-1","itemData":{"DOI":"https://doi.org/10.1016/S1071-5819(03)00111-3","ISSN":"1071-5819","abstract":"Internet-delivered e-services are increasingly being made available to consumers; however, little is known about how consumers evaluate them for potential adoption. Past Technology Adoption Research has focused primarily on the positive utility gains attributable to system adoption. This research extends that approach to include measures of negative utility (potential losses) attributable to e-service adoption. Drawing from Perceived Risk Theory, specific risk facets were operationalized, integrated, and empirically tested within the Technology Acceptance Model resulting in a proposed e-services adoption model. Results indicated that e-services adoption is adversely affected primarily by performance-based risk perceptions, and perceived ease of use of the e-service reduced these risk concerns. Implications of integrating perceived risk into the proposed e-services adoption model are discussed.","author":[{"dropping-particle":"","family":"Featherman","given":"Mauricio S","non-dropping-particle":"","parse-names":false,"suffix":""},{"dropping-particle":"","family":"Pavlou","given":"Paul A","non-dropping-particle":"","parse-names":false,"suffix":""}],"container-title":"International Journal of Human-Computer Studies","id":"ITEM-1","issue":"4","issued":{"date-parts":[["2003"]]},"page":"451-474","title":"Predicting e-services adoption: a perceived risk facets perspective","type":"article-journal","volume":"59"},"uris":["http://www.mendeley.com/documents/?uuid=dd142c19-8387-481f-a713-184908ea061b"]},{"id":"ITEM-2","itemData":{"DOI":"https://doi.org/10.1016/j.dss.2007.07.001","ISSN":"0167-9236","abstract":"Are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Systems","id":"ITEM-2","issue":"2","issued":{"date-parts":[["2008"]]},"page":"544-564","title":"A trust-based consumer decision-making model in electronic commerce: The role of trust, perceived risk, and their antecedents","type":"article-journal","volume":"44"},"uris":["http://www.mendeley.com/documents/?uuid=984069d5-aa28-4d8c-8aea-ef043b0b200f"]}],"mendeley":{"formattedCitation":"(Featherman &amp; Pavlou, 2003; Kim et al., 2008)","plainTextFormattedCitation":"(Featherman &amp; Pavlou, 2003; Kim et al., 2008)","previouslyFormattedCitation":"(Featherman &amp; Pavlou, 2003; Kim et al., 2008)"},"properties":{"noteIndex":0},"schema":"https://github.com/citation-style-language/schema/raw/master/csl-citation.json"}</w:instrText>
            </w:r>
            <w:r>
              <w:rPr>
                <w:rFonts w:eastAsia="Times New Roman" w:cs="Calibri"/>
                <w:kern w:val="0"/>
                <w:sz w:val="20"/>
                <w:szCs w:val="20"/>
                <w14:ligatures w14:val="none"/>
              </w:rPr>
              <w:fldChar w:fldCharType="separate"/>
            </w:r>
            <w:r w:rsidRPr="00C8267C">
              <w:rPr>
                <w:rFonts w:eastAsia="Times New Roman" w:cs="Calibri"/>
                <w:noProof/>
                <w:kern w:val="0"/>
                <w:sz w:val="20"/>
                <w:szCs w:val="20"/>
                <w14:ligatures w14:val="none"/>
              </w:rPr>
              <w:t>(Featherman &amp; Pavlou, 2003; Kim et al., 2008)</w:t>
            </w:r>
            <w:r>
              <w:rPr>
                <w:rFonts w:eastAsia="Times New Roman" w:cs="Calibri"/>
                <w:kern w:val="0"/>
                <w:sz w:val="20"/>
                <w:szCs w:val="20"/>
                <w14:ligatures w14:val="none"/>
              </w:rPr>
              <w:fldChar w:fldCharType="end"/>
            </w:r>
          </w:p>
        </w:tc>
      </w:tr>
      <w:tr w:rsidR="00B17D28" w:rsidRPr="00F24926" w14:paraId="4C1778BE" w14:textId="77777777" w:rsidTr="00B34980">
        <w:trPr>
          <w:tblCellSpacing w:w="15" w:type="dxa"/>
        </w:trPr>
        <w:tc>
          <w:tcPr>
            <w:tcW w:w="2655" w:type="dxa"/>
            <w:vAlign w:val="center"/>
            <w:hideMark/>
          </w:tcPr>
          <w:p w14:paraId="2909EF67"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7D32165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PR3</w:t>
            </w:r>
          </w:p>
        </w:tc>
        <w:tc>
          <w:tcPr>
            <w:tcW w:w="4856" w:type="dxa"/>
            <w:vAlign w:val="center"/>
            <w:hideMark/>
          </w:tcPr>
          <w:p w14:paraId="058FCBDE"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feel that AI systems may misuse my personal data.</w:t>
            </w:r>
          </w:p>
        </w:tc>
        <w:tc>
          <w:tcPr>
            <w:tcW w:w="2287" w:type="dxa"/>
            <w:vAlign w:val="center"/>
            <w:hideMark/>
          </w:tcPr>
          <w:p w14:paraId="788CC967"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4703BECC" w14:textId="77777777" w:rsidTr="00B34980">
        <w:trPr>
          <w:tblCellSpacing w:w="15" w:type="dxa"/>
        </w:trPr>
        <w:tc>
          <w:tcPr>
            <w:tcW w:w="2655" w:type="dxa"/>
            <w:vAlign w:val="center"/>
            <w:hideMark/>
          </w:tcPr>
          <w:p w14:paraId="3B7FE279"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420007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PR4</w:t>
            </w:r>
          </w:p>
        </w:tc>
        <w:tc>
          <w:tcPr>
            <w:tcW w:w="4856" w:type="dxa"/>
            <w:vAlign w:val="center"/>
            <w:hideMark/>
          </w:tcPr>
          <w:p w14:paraId="4ABDC9A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There is uncertainty in relying on AI cybersecurity systems.</w:t>
            </w:r>
          </w:p>
        </w:tc>
        <w:tc>
          <w:tcPr>
            <w:tcW w:w="2287" w:type="dxa"/>
            <w:vAlign w:val="center"/>
            <w:hideMark/>
          </w:tcPr>
          <w:p w14:paraId="6DED6334"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44A707D" w14:textId="77777777" w:rsidTr="00B34980">
        <w:trPr>
          <w:tblCellSpacing w:w="15" w:type="dxa"/>
        </w:trPr>
        <w:tc>
          <w:tcPr>
            <w:tcW w:w="2655" w:type="dxa"/>
            <w:vAlign w:val="center"/>
          </w:tcPr>
          <w:p w14:paraId="75BB6A27"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1E4566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PR5</w:t>
            </w:r>
          </w:p>
        </w:tc>
        <w:tc>
          <w:tcPr>
            <w:tcW w:w="4856" w:type="dxa"/>
            <w:vAlign w:val="center"/>
            <w:hideMark/>
          </w:tcPr>
          <w:p w14:paraId="1FD3673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Errors in AI systems could cause serious problems.</w:t>
            </w:r>
          </w:p>
        </w:tc>
        <w:tc>
          <w:tcPr>
            <w:tcW w:w="2287" w:type="dxa"/>
            <w:vAlign w:val="center"/>
            <w:hideMark/>
          </w:tcPr>
          <w:p w14:paraId="0C2A7801"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71D288BB" w14:textId="77777777" w:rsidTr="00B34980">
        <w:trPr>
          <w:tblCellSpacing w:w="15" w:type="dxa"/>
        </w:trPr>
        <w:tc>
          <w:tcPr>
            <w:tcW w:w="2655" w:type="dxa"/>
            <w:vAlign w:val="center"/>
          </w:tcPr>
          <w:p w14:paraId="46CA591B"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5BC937A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PR6</w:t>
            </w:r>
          </w:p>
        </w:tc>
        <w:tc>
          <w:tcPr>
            <w:tcW w:w="4856" w:type="dxa"/>
            <w:vAlign w:val="center"/>
            <w:hideMark/>
          </w:tcPr>
          <w:p w14:paraId="5168C92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feel vulnerable when relying on AI cybersecurity technologies.</w:t>
            </w:r>
          </w:p>
        </w:tc>
        <w:tc>
          <w:tcPr>
            <w:tcW w:w="2287" w:type="dxa"/>
            <w:vAlign w:val="center"/>
            <w:hideMark/>
          </w:tcPr>
          <w:p w14:paraId="3BF99B95"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3931F1D" w14:textId="77777777" w:rsidTr="00B34980">
        <w:trPr>
          <w:tblCellSpacing w:w="15" w:type="dxa"/>
        </w:trPr>
        <w:tc>
          <w:tcPr>
            <w:tcW w:w="2655" w:type="dxa"/>
            <w:vAlign w:val="center"/>
            <w:hideMark/>
          </w:tcPr>
          <w:p w14:paraId="34D45376"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Prior Experience with Breaches (PEB)</w:t>
            </w:r>
          </w:p>
        </w:tc>
        <w:tc>
          <w:tcPr>
            <w:tcW w:w="1032" w:type="dxa"/>
            <w:vAlign w:val="center"/>
            <w:hideMark/>
          </w:tcPr>
          <w:p w14:paraId="5092B48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PEB1</w:t>
            </w:r>
          </w:p>
        </w:tc>
        <w:tc>
          <w:tcPr>
            <w:tcW w:w="4856" w:type="dxa"/>
            <w:vAlign w:val="center"/>
            <w:hideMark/>
          </w:tcPr>
          <w:p w14:paraId="27237C2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have experienced a cybersecurity breach before.</w:t>
            </w:r>
          </w:p>
        </w:tc>
        <w:tc>
          <w:tcPr>
            <w:tcW w:w="2287" w:type="dxa"/>
            <w:vAlign w:val="center"/>
          </w:tcPr>
          <w:p w14:paraId="175E9BFE"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{"citationItems":[{"id":"ITEM-1","itemData":{"DOI":"10.1108/ITP-07-2022-0516","ISSN":"0959-3845","abstract":"This paper aims to increase understanding of pertinent exogenous and endogenous antecedents that can reduce data privacy breaches.A cross-sectional survey was used to source participants' perceptions of relevant exogenous and endogenous antecedents developed from the Antecedents-Privacy Concerns-Outcomes (APCO) model and Social Cognitive Theory. A research model was proposed and tested with empirical data collected from 213 participants based in Canada.The exogenous factors of external privacy training and external privacy self-assessment tool significantly and positively impact the study's endogenous factors of individual privacy awareness, organizational resources allocated to privacy concerns, and group behavior concerning privacy laws. Further, the proximal determinants of data privacy breaches (dependent construct) are negatively influenced by individual privacy awareness, group behavior related to privacy laws, and organizational resources allocated to privacy concerns. The endogenous factors fully mediated the relationships between the exogenous factors and the dependent construct.This study contributes to the budding data privacy breach literature by highlighting the impacts of personal and environmental factors in the discourse.The results offer management insights on mitigating data privacy breach incidents arising from employees' actions. Roles of external privacy training and privacy self-assessment tools are signified.Antecedents of data privacy breaches have been underexplored. This paper is among the first to elucidate the roles of select exogenous and endogenous antecedents encompassing personal and environmental imperatives on data privacy breaches.","author":[{"dropping-particle":"","family":"Ifinedo","given":"Princely","non-dropping-particle":"","parse-names":false,"suffix":""},{"dropping-particle":"","family":"Vachon","given":"Francine","non-dropping-particle":"","parse-names":false,"suffix":""},{"dropping-particle":"","family":"Ayanso","given":"Anteneh","non-dropping-particle":"","parse-names":false,"suffix":""}],"container-title":"Information Technology &amp; People","id":"ITEM-1","issue":"4","issued":{"date-parts":[["2024","4","8"]]},"page":"1712-1734","title":"Reducing data privacy breaches: an empirical study of relevant antecedents and an outcome","type":"article-journal","volume":"38"},"uris":["http://www.mendeley.com/documents/?uuid=817388cb-c483-4c6c-a123-9189b9123bf6"]},{"id":"ITEM-2","itemData":{"abstract":"An empirical analysis of national culture, industry, organisation, and individual variables of (in)secure human behaviour Submitted as part of the requirements for the award of the MSc in Information Security of the University of London Student: Marten de Bruin (student number 190230551) Supervisor: Konstantinos Mersinas","author":[{"dropping-particle":"","family":"Bruin","given":"Marten","non-dropping-particle":"de","parse-names":false,"suffix":""}],"container-title":"arXiv.org","id":"ITEM-2","issue":"190230551","issued":{"date-parts":[["2022"]]},"title":"Individual and Contextual Variables of Cyber Security Behaviour","type":"article-journal"},"uris":["http://www.mendeley.com/documents/?uuid=91d92015-75ea-4e3b-9ffc-cb404eb9afa2"]}],"mendeley":{"formattedCitation":"(de Bruin, 2022; Ifinedo et al., 2024)","manualFormatting":"(Ifinedo et al., 2024)","plainTextFormattedCitation":"(de Bruin, 2022; Ifinedo et al., 2024)","previouslyFormattedCitation":"(de Bruin, 2022; Ifinedo et al., 2024)"},"properties":{"noteIndex":0},"schema":"https://github.com/citation-style-language/schema/raw/master/csl-citation.json"}</w:instrText>
            </w:r>
            <w:r>
              <w:rPr>
                <w:rFonts w:eastAsia="Times New Roman" w:cs="Calibri"/>
                <w:kern w:val="0"/>
                <w:sz w:val="20"/>
                <w:szCs w:val="20"/>
                <w14:ligatures w14:val="none"/>
              </w:rPr>
              <w:fldChar w:fldCharType="separate"/>
            </w:r>
            <w:r w:rsidRPr="00E955D7">
              <w:rPr>
                <w:rFonts w:eastAsia="Times New Roman" w:cs="Calibri"/>
                <w:noProof/>
                <w:kern w:val="0"/>
                <w:sz w:val="20"/>
                <w:szCs w:val="20"/>
                <w14:ligatures w14:val="none"/>
              </w:rPr>
              <w:t>(Ifinedo et al., 2024)</w:t>
            </w:r>
            <w:r>
              <w:rPr>
                <w:rFonts w:eastAsia="Times New Roman" w:cs="Calibri"/>
                <w:kern w:val="0"/>
                <w:sz w:val="20"/>
                <w:szCs w:val="20"/>
                <w14:ligatures w14:val="none"/>
              </w:rPr>
              <w:fldChar w:fldCharType="end"/>
            </w:r>
          </w:p>
        </w:tc>
      </w:tr>
      <w:tr w:rsidR="00B17D28" w:rsidRPr="00F24926" w14:paraId="76B27051" w14:textId="77777777" w:rsidTr="00B34980">
        <w:trPr>
          <w:tblCellSpacing w:w="15" w:type="dxa"/>
        </w:trPr>
        <w:tc>
          <w:tcPr>
            <w:tcW w:w="2655" w:type="dxa"/>
            <w:vAlign w:val="center"/>
            <w:hideMark/>
          </w:tcPr>
          <w:p w14:paraId="5E1D6C1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29C8459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PEB2</w:t>
            </w:r>
          </w:p>
        </w:tc>
        <w:tc>
          <w:tcPr>
            <w:tcW w:w="4856" w:type="dxa"/>
            <w:vAlign w:val="center"/>
            <w:hideMark/>
          </w:tcPr>
          <w:p w14:paraId="03224AD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have lost data due to a cyberattack.</w:t>
            </w:r>
          </w:p>
        </w:tc>
        <w:tc>
          <w:tcPr>
            <w:tcW w:w="2287" w:type="dxa"/>
            <w:vAlign w:val="center"/>
            <w:hideMark/>
          </w:tcPr>
          <w:p w14:paraId="559CAD55"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B093016" w14:textId="77777777" w:rsidTr="00B34980">
        <w:trPr>
          <w:tblCellSpacing w:w="15" w:type="dxa"/>
        </w:trPr>
        <w:tc>
          <w:tcPr>
            <w:tcW w:w="2655" w:type="dxa"/>
            <w:vAlign w:val="center"/>
            <w:hideMark/>
          </w:tcPr>
          <w:p w14:paraId="368BCD7C"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2C56E3D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PEB3</w:t>
            </w:r>
          </w:p>
        </w:tc>
        <w:tc>
          <w:tcPr>
            <w:tcW w:w="4856" w:type="dxa"/>
            <w:vAlign w:val="center"/>
            <w:hideMark/>
          </w:tcPr>
          <w:p w14:paraId="1C6F881F"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have dealt with unauthorized access to my accounts.</w:t>
            </w:r>
          </w:p>
        </w:tc>
        <w:tc>
          <w:tcPr>
            <w:tcW w:w="2287" w:type="dxa"/>
            <w:vAlign w:val="center"/>
            <w:hideMark/>
          </w:tcPr>
          <w:p w14:paraId="7DC5DF01"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8EE57D8" w14:textId="77777777" w:rsidTr="00B34980">
        <w:trPr>
          <w:tblCellSpacing w:w="15" w:type="dxa"/>
        </w:trPr>
        <w:tc>
          <w:tcPr>
            <w:tcW w:w="2655" w:type="dxa"/>
            <w:vAlign w:val="center"/>
            <w:hideMark/>
          </w:tcPr>
          <w:p w14:paraId="1A868640"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5D8F8F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PEB4</w:t>
            </w:r>
          </w:p>
        </w:tc>
        <w:tc>
          <w:tcPr>
            <w:tcW w:w="4856" w:type="dxa"/>
            <w:vAlign w:val="center"/>
            <w:hideMark/>
          </w:tcPr>
          <w:p w14:paraId="5FD368DA"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have faced security issues that affected my trust in technology.</w:t>
            </w:r>
          </w:p>
        </w:tc>
        <w:tc>
          <w:tcPr>
            <w:tcW w:w="2287" w:type="dxa"/>
            <w:vAlign w:val="center"/>
            <w:hideMark/>
          </w:tcPr>
          <w:p w14:paraId="4C6A6696"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51CD2CC" w14:textId="77777777" w:rsidTr="00B34980">
        <w:trPr>
          <w:trHeight w:val="627"/>
          <w:tblCellSpacing w:w="15" w:type="dxa"/>
        </w:trPr>
        <w:tc>
          <w:tcPr>
            <w:tcW w:w="2655" w:type="dxa"/>
            <w:vAlign w:val="center"/>
            <w:hideMark/>
          </w:tcPr>
          <w:p w14:paraId="5AACBAA8"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Trust in AI-Based Cybersecurity Systems (TRUST)</w:t>
            </w:r>
          </w:p>
        </w:tc>
        <w:tc>
          <w:tcPr>
            <w:tcW w:w="1032" w:type="dxa"/>
            <w:vAlign w:val="center"/>
            <w:hideMark/>
          </w:tcPr>
          <w:p w14:paraId="2F8199EC"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TRUST1</w:t>
            </w:r>
          </w:p>
        </w:tc>
        <w:tc>
          <w:tcPr>
            <w:tcW w:w="4856" w:type="dxa"/>
            <w:vAlign w:val="center"/>
            <w:hideMark/>
          </w:tcPr>
          <w:p w14:paraId="19FAB2E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trust AI-based cybersecurity systems to perform reliably.</w:t>
            </w:r>
          </w:p>
        </w:tc>
        <w:tc>
          <w:tcPr>
            <w:tcW w:w="2287" w:type="dxa"/>
            <w:vAlign w:val="center"/>
            <w:hideMark/>
          </w:tcPr>
          <w:p w14:paraId="41AD016F"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{"citationItems":[{"id":"ITEM-1","itemData":{"DOI":"10.2307/30036519","ISSN":"0276-7783","abstract":"A separate and distinct interaction with both the actual e-vendor and with its IT Web site interface is at the heart of online shopping. Previous research has established, accordingly, that online purchase intentions are the product of both consumer assessments of the IT itself—specifically its perceived usefulness and ease-of-use (TAM)—and trust in the e-vendor. But these perspectives have been examined independently by IS researchers. Integrating these two perspectives and examining the factors that build online trust in an environment that lacks the typical human interaction that often leads to trust in other circumstances advances our understanding of these constructs and their linkages to behavior.Our research on experienced repeat online shoppers shows that consumer trust is as important to online commerce as the widely accepted TAM use-antecedents, perceived usefulness and perceived ease of use. Together these variable sets explain a considerable proportion of variance in intended behavior. The study also provides evidence that online trust is built through (1) a belief that the vendor has nothing to gain by cheating, (2) a belief that there are safety mechanisms built into the Web site, and (3) by having a typical interface, (4) one that is, moreover, easy to use.","author":[{"dropping-particle":"","family":"Gefen","given":"David","non-dropping-particle":"","parse-names":false,"suffix":""},{"dropping-particle":"","family":"Karahanna","given":"Elena","non-dropping-particle":"","parse-names":false,"suffix":""},{"dropping-particle":"","family":"Straub","given":"Detmar W","non-dropping-particle":"","parse-names":false,"suffix":""}],"container-title":"Management Information Systems Quarterly","id":"ITEM-1","issue":"1","issued":{"date-parts":[["2003","3","1"]]},"page":"51-90","title":"Trust and TAM in Online Shopping: An Integrated Model1","type":"article-journal","volume":"27"},"uris":["http://www.mendeley.com/documents/?uuid=c9657ced-87ad-45e2-8293-33b1c757009d"]},{"id":"ITEM-2","itemData":{"DOI":"10.1287/isre.13.3.334.81","ISSN":"10477047","abstract":"Evidence suggests that consumers often hesitate to transact with Web-based vendors because of uncertainty about vendor behavior or the perceived risk of having personal information stolen by hackers. Trust plays a central role in helping consumers overcome perceptions of risk and insecurity. Trust makes consumers comfortable sharing personal information, making purchases, and acting on Web vendor advice - behaviors essential to widespread adoption of e-commerce. Therefore, trust is critical to both researchers and practitioners. Prior research on e-commerce trust has used diverse, incomplete, and inconsistent definitions of trust, making it difficult to compare results across studies. This paper contributes by proposing and validating measures for a multidisciplinary, multidimensional model of trust in e-commerce. The model includes four high-level constructs - disposition to trust, institution-based trust, trusting beliefs, and trusting intentions - which are further delineated into 16 measurable, literature-grounded subconstructs. The psychometric properties of the measures are demonstrated through use of a hypothetical, legal advice Web site. The results show that trust is indeed a multidimensional concept. Proposed relationships among the trust constructs are tested (for internal nomological validity), as are relationships between the trust constructs and three other e-commerce constructs (for external nomological validity) - Web experience, personal innovativeness, and Web site quality. Suggestions for future research as well as implications for practice are discussed.","author":[{"dropping-particle":"","family":"McKnight","given":"D. Harrison","non-dropping-particle":"","parse-names":false,"suffix":""},{"dropping-particle":"","family":"Choudhury","given":"Vivek","non-dropping-particle":"","parse-names":false,"suffix":""},{"dropping-particle":"","family":"Kacmar","given":"Charles","non-dropping-particle":"","parse-names":false,"suffix":""}],"container-title":"Information Systems Research","id":"ITEM-2","issue":"3","issued":{"date-parts":[["2002"]]},"page":"334-359","title":"Developing and validating trust measures for e-commerce: An integrative typology","type":"article-journal","volume":"13"},"uris":["http://www.mendeley.com/documents/?uuid=35265bb3-a26c-41b5-8749-ded4c1dcf7a9"]}],"mendeley":{"formattedCitation":"(Gefen et al., 2003; McKnight et al., 2002)","plainTextFormattedCitation":"(Gefen et al., 2003; McKnight et al., 2002)","previouslyFormattedCitation":"(Gefen et al., 2003; McKnight et al., 2002)"},"properties":{"noteIndex":0},"schema":"https://github.com/citation-style-language/schema/raw/master/csl-citation.json"}</w:instrText>
            </w:r>
            <w:r>
              <w:rPr>
                <w:rFonts w:eastAsia="Times New Roman" w:cs="Calibri"/>
                <w:kern w:val="0"/>
                <w:sz w:val="20"/>
                <w:szCs w:val="20"/>
                <w14:ligatures w14:val="none"/>
              </w:rPr>
              <w:fldChar w:fldCharType="separate"/>
            </w:r>
            <w:r w:rsidRPr="001E1251">
              <w:rPr>
                <w:rFonts w:eastAsia="Times New Roman" w:cs="Calibri"/>
                <w:noProof/>
                <w:kern w:val="0"/>
                <w:sz w:val="20"/>
                <w:szCs w:val="20"/>
                <w14:ligatures w14:val="none"/>
              </w:rPr>
              <w:t>(Gefen et al., 2003; McKnight et al., 2002)</w:t>
            </w:r>
            <w:r>
              <w:rPr>
                <w:rFonts w:eastAsia="Times New Roman" w:cs="Calibri"/>
                <w:kern w:val="0"/>
                <w:sz w:val="20"/>
                <w:szCs w:val="20"/>
                <w14:ligatures w14:val="none"/>
              </w:rPr>
              <w:fldChar w:fldCharType="end"/>
            </w:r>
          </w:p>
        </w:tc>
      </w:tr>
      <w:tr w:rsidR="00B17D28" w:rsidRPr="00F24926" w14:paraId="2323AD62" w14:textId="77777777" w:rsidTr="00B34980">
        <w:trPr>
          <w:tblCellSpacing w:w="15" w:type="dxa"/>
        </w:trPr>
        <w:tc>
          <w:tcPr>
            <w:tcW w:w="2655" w:type="dxa"/>
            <w:vAlign w:val="center"/>
            <w:hideMark/>
          </w:tcPr>
          <w:p w14:paraId="5DCF9CEC"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0C3E82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TRUST2</w:t>
            </w:r>
          </w:p>
        </w:tc>
        <w:tc>
          <w:tcPr>
            <w:tcW w:w="4856" w:type="dxa"/>
            <w:vAlign w:val="center"/>
            <w:hideMark/>
          </w:tcPr>
          <w:p w14:paraId="76ADA82F"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believe AI cybersecurity systems are dependable.</w:t>
            </w:r>
          </w:p>
        </w:tc>
        <w:tc>
          <w:tcPr>
            <w:tcW w:w="2287" w:type="dxa"/>
            <w:vAlign w:val="center"/>
            <w:hideMark/>
          </w:tcPr>
          <w:p w14:paraId="7F19FD9F"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7EA3C480" w14:textId="77777777" w:rsidTr="00B34980">
        <w:trPr>
          <w:tblCellSpacing w:w="15" w:type="dxa"/>
        </w:trPr>
        <w:tc>
          <w:tcPr>
            <w:tcW w:w="2655" w:type="dxa"/>
            <w:vAlign w:val="center"/>
            <w:hideMark/>
          </w:tcPr>
          <w:p w14:paraId="2ABF3C61"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57C1C6D"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TRUST3</w:t>
            </w:r>
          </w:p>
        </w:tc>
        <w:tc>
          <w:tcPr>
            <w:tcW w:w="4856" w:type="dxa"/>
            <w:vAlign w:val="center"/>
            <w:hideMark/>
          </w:tcPr>
          <w:p w14:paraId="055B2425"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feel confident in decisions made by AI systems.</w:t>
            </w:r>
          </w:p>
        </w:tc>
        <w:tc>
          <w:tcPr>
            <w:tcW w:w="2287" w:type="dxa"/>
            <w:vAlign w:val="center"/>
            <w:hideMark/>
          </w:tcPr>
          <w:p w14:paraId="148648CE"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554C6A4" w14:textId="77777777" w:rsidTr="00B34980">
        <w:trPr>
          <w:tblCellSpacing w:w="15" w:type="dxa"/>
        </w:trPr>
        <w:tc>
          <w:tcPr>
            <w:tcW w:w="2655" w:type="dxa"/>
            <w:vAlign w:val="center"/>
            <w:hideMark/>
          </w:tcPr>
          <w:p w14:paraId="6BB64F25"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4C0726F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TRUST4</w:t>
            </w:r>
          </w:p>
        </w:tc>
        <w:tc>
          <w:tcPr>
            <w:tcW w:w="4856" w:type="dxa"/>
            <w:vAlign w:val="center"/>
            <w:hideMark/>
          </w:tcPr>
          <w:p w14:paraId="496EBA8E"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AI-based cybersecurity systems are trustworthy.</w:t>
            </w:r>
          </w:p>
        </w:tc>
        <w:tc>
          <w:tcPr>
            <w:tcW w:w="2287" w:type="dxa"/>
            <w:vAlign w:val="center"/>
            <w:hideMark/>
          </w:tcPr>
          <w:p w14:paraId="37F7B7D9"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6356701" w14:textId="77777777" w:rsidTr="00B34980">
        <w:trPr>
          <w:tblCellSpacing w:w="15" w:type="dxa"/>
        </w:trPr>
        <w:tc>
          <w:tcPr>
            <w:tcW w:w="2655" w:type="dxa"/>
            <w:vAlign w:val="center"/>
            <w:hideMark/>
          </w:tcPr>
          <w:p w14:paraId="10554E02"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39E60B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TRUST6</w:t>
            </w:r>
          </w:p>
        </w:tc>
        <w:tc>
          <w:tcPr>
            <w:tcW w:w="4856" w:type="dxa"/>
            <w:vAlign w:val="center"/>
            <w:hideMark/>
          </w:tcPr>
          <w:p w14:paraId="5DF04875"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rely on AI cybersecurity systems for protecting my digital assets.</w:t>
            </w:r>
          </w:p>
        </w:tc>
        <w:tc>
          <w:tcPr>
            <w:tcW w:w="2287" w:type="dxa"/>
            <w:vAlign w:val="center"/>
            <w:hideMark/>
          </w:tcPr>
          <w:p w14:paraId="66188865"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143C86D4" w14:textId="77777777" w:rsidTr="00B34980">
        <w:trPr>
          <w:trHeight w:val="438"/>
          <w:tblCellSpacing w:w="15" w:type="dxa"/>
        </w:trPr>
        <w:tc>
          <w:tcPr>
            <w:tcW w:w="2655" w:type="dxa"/>
            <w:vAlign w:val="center"/>
            <w:hideMark/>
          </w:tcPr>
          <w:p w14:paraId="59BD62CF" w14:textId="77777777" w:rsidR="00B17D28" w:rsidRPr="00F24926" w:rsidRDefault="00B17D28" w:rsidP="00B34980">
            <w:pPr>
              <w:spacing w:after="0" w:line="240" w:lineRule="auto"/>
              <w:rPr>
                <w:rFonts w:eastAsia="Times New Roman" w:cs="Calibri"/>
                <w:b/>
                <w:bCs/>
                <w:kern w:val="0"/>
                <w:sz w:val="20"/>
                <w:szCs w:val="20"/>
                <w14:ligatures w14:val="none"/>
              </w:rPr>
            </w:pPr>
            <w:r>
              <w:rPr>
                <w:rFonts w:eastAsia="Times New Roman" w:cs="Calibri"/>
                <w:b/>
                <w:bCs/>
                <w:kern w:val="0"/>
                <w:sz w:val="20"/>
                <w:szCs w:val="20"/>
                <w14:ligatures w14:val="none"/>
              </w:rPr>
              <w:t xml:space="preserve">Digital literacy </w:t>
            </w:r>
            <w:r w:rsidRPr="00F24926">
              <w:rPr>
                <w:rFonts w:eastAsia="Times New Roman" w:cs="Calibri"/>
                <w:b/>
                <w:bCs/>
                <w:kern w:val="0"/>
                <w:sz w:val="20"/>
                <w:szCs w:val="20"/>
                <w14:ligatures w14:val="none"/>
              </w:rPr>
              <w:t>(TL)</w:t>
            </w:r>
          </w:p>
        </w:tc>
        <w:tc>
          <w:tcPr>
            <w:tcW w:w="1032" w:type="dxa"/>
            <w:vAlign w:val="center"/>
            <w:hideMark/>
          </w:tcPr>
          <w:p w14:paraId="51848A0C"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TL1</w:t>
            </w:r>
          </w:p>
        </w:tc>
        <w:tc>
          <w:tcPr>
            <w:tcW w:w="4856" w:type="dxa"/>
            <w:vAlign w:val="center"/>
            <w:hideMark/>
          </w:tcPr>
          <w:p w14:paraId="64B0C8F2"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 xml:space="preserve">I can troubleshoot basic </w:t>
            </w:r>
            <w:r>
              <w:rPr>
                <w:rFonts w:eastAsia="Times New Roman" w:cs="Calibri"/>
                <w:kern w:val="0"/>
                <w:sz w:val="20"/>
                <w:szCs w:val="20"/>
                <w14:ligatures w14:val="none"/>
              </w:rPr>
              <w:t>Digital</w:t>
            </w:r>
            <w:r w:rsidRPr="00F24926">
              <w:rPr>
                <w:rFonts w:eastAsia="Times New Roman" w:cs="Calibri"/>
                <w:kern w:val="0"/>
                <w:sz w:val="20"/>
                <w:szCs w:val="20"/>
                <w14:ligatures w14:val="none"/>
              </w:rPr>
              <w:t>problems.</w:t>
            </w:r>
          </w:p>
        </w:tc>
        <w:tc>
          <w:tcPr>
            <w:tcW w:w="2287" w:type="dxa"/>
            <w:vAlign w:val="center"/>
          </w:tcPr>
          <w:p w14:paraId="6D19DCE7" w14:textId="77777777" w:rsidR="00B17D28" w:rsidRPr="00F24926" w:rsidRDefault="00B17D28" w:rsidP="00B34980">
            <w:pPr>
              <w:spacing w:after="0" w:line="240" w:lineRule="auto"/>
              <w:rPr>
                <w:rFonts w:eastAsia="Times New Roman" w:cs="Calibri"/>
                <w:kern w:val="0"/>
                <w:sz w:val="20"/>
                <w:szCs w:val="20"/>
                <w14:ligatures w14:val="none"/>
              </w:rPr>
            </w:pPr>
            <w:r>
              <w:rPr>
                <w:rFonts w:eastAsia="Times New Roman" w:cs="Calibri"/>
                <w:kern w:val="0"/>
                <w:sz w:val="20"/>
                <w:szCs w:val="20"/>
                <w14:ligatures w14:val="none"/>
              </w:rPr>
              <w:fldChar w:fldCharType="begin" w:fldLock="1"/>
            </w:r>
            <w:r>
              <w:rPr>
                <w:rFonts w:eastAsia="Times New Roman" w:cs="Calibri"/>
                <w:kern w:val="0"/>
                <w:sz w:val="20"/>
                <w:szCs w:val="20"/>
                <w14:ligatures w14:val="none"/>
              </w:rPr>
              <w:instrText>ADDIN CSL_CITATION {"citationItems":[{"id":"ITEM-1","itemData":{"author":[{"dropping-particle":"","family":"Elmy","given":"Jessnor","non-dropping-particle":"","parse-names":false,"suffix":""},{"dropping-particle":"","family":"Jizat","given":"Mat","non-dropping-particle":"","parse-names":false,"suffix":""}],"id":"ITEM-1","issue":"August","issued":{"date-parts":[["2012"]]},"title":"Investigating ICT-literacy assessment tools : Developing and validating a new assessment instrument for trainee teachers in Malaysia","type":"article-journal"},"uris":["http://www.mendeley.com/documents/?uuid=e5f53d20-c7ab-4896-927f-a09be3c16e4b"]},{"id":"ITEM-2","itemData":{"DOI":"10.1007/978-3-031-61194-0_2","ISBN":"978-3-031-61194-0","abstract":"The assessment of computer and information literacy (CIL) is at the core of the International Computer and Information Literacy Study (ICILS). In this chapter we define and describe the CIL construct that underpins the assessment used in ICILS. Computer and information literacy was first defined and described for use in ICILS 2013, and is reviewed at the beginning of each new ICILS cycle, with reference to developments in CIL-related research, policies and curriculums, and with respect to its operationalization in previous ICILS cycles. In the chapter we trace the history of the CIL construct from its origins in the second half of last century through to its contemporary instantiation as a combination of technological proficiency with facets of information literacy and communication. In ICILS, the term “Computer and Information Literacy” underscores the significance of internet-based information search and evaluation within the broader competency of utilizing contemporary technology. We continue with an explanation of the process of deriving the CIL construct definition and structure from preexisting and preeminent definitions of related constructs. We then describe the structure of the CIL constructs and elaborate on the content of the four strands divided into eight aspects that comprise the CIL construct.","author":[{"dropping-particle":"","family":"Fraillon","given":"Julian","non-dropping-particle":"","parse-names":false,"suffix":""},{"dropping-particle":"","family":"Duckworth","given":"Daniel","non-dropping-particle":"","parse-names":false,"suffix":""}],"editor":[{"dropping-particle":"","family":"Fraillon","given":"Julian","non-dropping-particle":"","parse-names":false,"suffix":""},{"dropping-particle":"","family":"Rožman","given":"Mojca","non-dropping-particle":"","parse-names":false,"suffix":""}],"id":"ITEM-2","issued":{"date-parts":[["2025"]]},"page":"21-34","publisher":"Springer Nature Switzerland","publisher-place":"Cham","title":"Computer and Information Literacy Framework BT  - IEA International Computer and Information Literacy Study 2023: Assessment Framework","type":"chapter"},"uris":["http://www.mendeley.com/documents/?uuid=8193cdcb-d504-4c0f-aa47-174fc1968a89"]}],"mendeley":{"formattedCitation":"(Elmy &amp; Jizat, 2012; Fraillon &amp; Duckworth, 2025)","plainTextFormattedCitation":"(Elmy &amp; Jizat, 2012; Fraillon &amp; Duckworth, 2025)","previouslyFormattedCitation":"(Elmy &amp; Jizat, 2012; Fraillon &amp; Duckworth, 2025)"},"properties":{"noteIndex":0},"schema":"https://github.com/citation-style-language/schema/raw/master/csl-citation.json"}</w:instrText>
            </w:r>
            <w:r>
              <w:rPr>
                <w:rFonts w:eastAsia="Times New Roman" w:cs="Calibri"/>
                <w:kern w:val="0"/>
                <w:sz w:val="20"/>
                <w:szCs w:val="20"/>
                <w14:ligatures w14:val="none"/>
              </w:rPr>
              <w:fldChar w:fldCharType="separate"/>
            </w:r>
            <w:r w:rsidRPr="00573F47">
              <w:rPr>
                <w:rFonts w:eastAsia="Times New Roman" w:cs="Calibri"/>
                <w:noProof/>
                <w:kern w:val="0"/>
                <w:sz w:val="20"/>
                <w:szCs w:val="20"/>
                <w14:ligatures w14:val="none"/>
              </w:rPr>
              <w:t>(Elmy &amp; Jizat, 2012; Fraillon &amp; Duckworth, 2025)</w:t>
            </w:r>
            <w:r>
              <w:rPr>
                <w:rFonts w:eastAsia="Times New Roman" w:cs="Calibri"/>
                <w:kern w:val="0"/>
                <w:sz w:val="20"/>
                <w:szCs w:val="20"/>
                <w14:ligatures w14:val="none"/>
              </w:rPr>
              <w:fldChar w:fldCharType="end"/>
            </w:r>
          </w:p>
        </w:tc>
      </w:tr>
      <w:tr w:rsidR="00B17D28" w:rsidRPr="00F24926" w14:paraId="4082C2F9" w14:textId="77777777" w:rsidTr="00B34980">
        <w:trPr>
          <w:tblCellSpacing w:w="15" w:type="dxa"/>
        </w:trPr>
        <w:tc>
          <w:tcPr>
            <w:tcW w:w="2655" w:type="dxa"/>
            <w:vAlign w:val="center"/>
            <w:hideMark/>
          </w:tcPr>
          <w:p w14:paraId="710D1EB2"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1F5F8EE6"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TL2</w:t>
            </w:r>
          </w:p>
        </w:tc>
        <w:tc>
          <w:tcPr>
            <w:tcW w:w="4856" w:type="dxa"/>
            <w:vAlign w:val="center"/>
            <w:hideMark/>
          </w:tcPr>
          <w:p w14:paraId="2FF9C753"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understand how cybersecurity tools work.</w:t>
            </w:r>
          </w:p>
        </w:tc>
        <w:tc>
          <w:tcPr>
            <w:tcW w:w="2287" w:type="dxa"/>
            <w:vAlign w:val="center"/>
            <w:hideMark/>
          </w:tcPr>
          <w:p w14:paraId="1C6096B8"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769A27F" w14:textId="77777777" w:rsidTr="00B34980">
        <w:trPr>
          <w:tblCellSpacing w:w="15" w:type="dxa"/>
        </w:trPr>
        <w:tc>
          <w:tcPr>
            <w:tcW w:w="2655" w:type="dxa"/>
            <w:vAlign w:val="center"/>
            <w:hideMark/>
          </w:tcPr>
          <w:p w14:paraId="737E91C9"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59ABC939"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TL3</w:t>
            </w:r>
          </w:p>
        </w:tc>
        <w:tc>
          <w:tcPr>
            <w:tcW w:w="4856" w:type="dxa"/>
            <w:vAlign w:val="center"/>
            <w:hideMark/>
          </w:tcPr>
          <w:p w14:paraId="2E537DA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can configure security settings on my devices.</w:t>
            </w:r>
          </w:p>
        </w:tc>
        <w:tc>
          <w:tcPr>
            <w:tcW w:w="2287" w:type="dxa"/>
            <w:vAlign w:val="center"/>
            <w:hideMark/>
          </w:tcPr>
          <w:p w14:paraId="54074EDF"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AC31149" w14:textId="77777777" w:rsidTr="00B34980">
        <w:trPr>
          <w:tblCellSpacing w:w="15" w:type="dxa"/>
        </w:trPr>
        <w:tc>
          <w:tcPr>
            <w:tcW w:w="2655" w:type="dxa"/>
            <w:vAlign w:val="center"/>
            <w:hideMark/>
          </w:tcPr>
          <w:p w14:paraId="6A8BA1AC"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9C644E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TL4</w:t>
            </w:r>
          </w:p>
        </w:tc>
        <w:tc>
          <w:tcPr>
            <w:tcW w:w="4856" w:type="dxa"/>
            <w:vAlign w:val="center"/>
            <w:hideMark/>
          </w:tcPr>
          <w:p w14:paraId="164D868B"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am comfortable using advanced digital technologies.</w:t>
            </w:r>
          </w:p>
        </w:tc>
        <w:tc>
          <w:tcPr>
            <w:tcW w:w="2287" w:type="dxa"/>
            <w:vAlign w:val="center"/>
            <w:hideMark/>
          </w:tcPr>
          <w:p w14:paraId="372F4050"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3AD632E1" w14:textId="77777777" w:rsidTr="00B34980">
        <w:trPr>
          <w:tblCellSpacing w:w="15" w:type="dxa"/>
        </w:trPr>
        <w:tc>
          <w:tcPr>
            <w:tcW w:w="2655" w:type="dxa"/>
            <w:vAlign w:val="center"/>
            <w:hideMark/>
          </w:tcPr>
          <w:p w14:paraId="187AD74B"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BA20D72"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TL5</w:t>
            </w:r>
          </w:p>
        </w:tc>
        <w:tc>
          <w:tcPr>
            <w:tcW w:w="4856" w:type="dxa"/>
            <w:vAlign w:val="center"/>
            <w:hideMark/>
          </w:tcPr>
          <w:p w14:paraId="52EAA6E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can identify potential security vulnerabilities.</w:t>
            </w:r>
          </w:p>
        </w:tc>
        <w:tc>
          <w:tcPr>
            <w:tcW w:w="2287" w:type="dxa"/>
            <w:vAlign w:val="center"/>
            <w:hideMark/>
          </w:tcPr>
          <w:p w14:paraId="0F11D99E"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381E11F" w14:textId="77777777" w:rsidTr="00B34980">
        <w:trPr>
          <w:tblCellSpacing w:w="15" w:type="dxa"/>
        </w:trPr>
        <w:tc>
          <w:tcPr>
            <w:tcW w:w="2655" w:type="dxa"/>
            <w:vAlign w:val="center"/>
            <w:hideMark/>
          </w:tcPr>
          <w:p w14:paraId="466AA938"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4EAAE2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TL6</w:t>
            </w:r>
          </w:p>
        </w:tc>
        <w:tc>
          <w:tcPr>
            <w:tcW w:w="4856" w:type="dxa"/>
            <w:vAlign w:val="center"/>
            <w:hideMark/>
          </w:tcPr>
          <w:p w14:paraId="3A26C0DD"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can evaluate the effectiveness of cybersecurity tools.</w:t>
            </w:r>
          </w:p>
        </w:tc>
        <w:tc>
          <w:tcPr>
            <w:tcW w:w="2287" w:type="dxa"/>
            <w:vAlign w:val="center"/>
            <w:hideMark/>
          </w:tcPr>
          <w:p w14:paraId="7BC1C3CF"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DDECA34" w14:textId="77777777" w:rsidTr="00B34980">
        <w:trPr>
          <w:tblCellSpacing w:w="15" w:type="dxa"/>
        </w:trPr>
        <w:tc>
          <w:tcPr>
            <w:tcW w:w="2655" w:type="dxa"/>
            <w:vAlign w:val="center"/>
            <w:hideMark/>
          </w:tcPr>
          <w:p w14:paraId="38A64518"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5DB57399"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TL7</w:t>
            </w:r>
          </w:p>
        </w:tc>
        <w:tc>
          <w:tcPr>
            <w:tcW w:w="4856" w:type="dxa"/>
            <w:vAlign w:val="center"/>
            <w:hideMark/>
          </w:tcPr>
          <w:p w14:paraId="1520922C"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am skilled at managing my online security.</w:t>
            </w:r>
          </w:p>
        </w:tc>
        <w:tc>
          <w:tcPr>
            <w:tcW w:w="2287" w:type="dxa"/>
            <w:vAlign w:val="center"/>
            <w:hideMark/>
          </w:tcPr>
          <w:p w14:paraId="1D945071"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4C9EF66C" w14:textId="77777777" w:rsidTr="00B34980">
        <w:trPr>
          <w:tblCellSpacing w:w="15" w:type="dxa"/>
        </w:trPr>
        <w:tc>
          <w:tcPr>
            <w:tcW w:w="2655" w:type="dxa"/>
            <w:vAlign w:val="center"/>
            <w:hideMark/>
          </w:tcPr>
          <w:p w14:paraId="47000DD9"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68201951"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TL8</w:t>
            </w:r>
          </w:p>
        </w:tc>
        <w:tc>
          <w:tcPr>
            <w:tcW w:w="4856" w:type="dxa"/>
            <w:vAlign w:val="center"/>
            <w:hideMark/>
          </w:tcPr>
          <w:p w14:paraId="3278305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can use AI-based tools confidently.</w:t>
            </w:r>
          </w:p>
        </w:tc>
        <w:tc>
          <w:tcPr>
            <w:tcW w:w="2287" w:type="dxa"/>
            <w:vAlign w:val="center"/>
            <w:hideMark/>
          </w:tcPr>
          <w:p w14:paraId="47E23884"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4FA8726" w14:textId="77777777" w:rsidTr="00B34980">
        <w:trPr>
          <w:tblCellSpacing w:w="15" w:type="dxa"/>
        </w:trPr>
        <w:tc>
          <w:tcPr>
            <w:tcW w:w="2655" w:type="dxa"/>
            <w:vAlign w:val="center"/>
            <w:hideMark/>
          </w:tcPr>
          <w:p w14:paraId="0960583E" w14:textId="77777777" w:rsidR="00B17D28" w:rsidRPr="00F24926" w:rsidRDefault="00B17D28" w:rsidP="00B34980">
            <w:pPr>
              <w:spacing w:after="0" w:line="240" w:lineRule="auto"/>
              <w:rPr>
                <w:rFonts w:eastAsia="Times New Roman" w:cs="Calibri"/>
                <w:b/>
                <w:bCs/>
                <w:kern w:val="0"/>
                <w:sz w:val="20"/>
                <w:szCs w:val="20"/>
                <w14:ligatures w14:val="none"/>
              </w:rPr>
            </w:pPr>
            <w:r w:rsidRPr="00F24926">
              <w:rPr>
                <w:rFonts w:eastAsia="Times New Roman" w:cs="Calibri"/>
                <w:b/>
                <w:bCs/>
                <w:kern w:val="0"/>
                <w:sz w:val="20"/>
                <w:szCs w:val="20"/>
                <w14:ligatures w14:val="none"/>
              </w:rPr>
              <w:t>Behavioral Intention to Use (BI)</w:t>
            </w:r>
          </w:p>
        </w:tc>
        <w:tc>
          <w:tcPr>
            <w:tcW w:w="1032" w:type="dxa"/>
            <w:vAlign w:val="center"/>
            <w:hideMark/>
          </w:tcPr>
          <w:p w14:paraId="5025EF2E"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BI1</w:t>
            </w:r>
          </w:p>
        </w:tc>
        <w:tc>
          <w:tcPr>
            <w:tcW w:w="4856" w:type="dxa"/>
            <w:vAlign w:val="center"/>
            <w:hideMark/>
          </w:tcPr>
          <w:p w14:paraId="5A559B7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intend to use AI-based cybersecurity systems in the future.</w:t>
            </w:r>
          </w:p>
        </w:tc>
        <w:tc>
          <w:tcPr>
            <w:tcW w:w="2287" w:type="dxa"/>
            <w:vAlign w:val="center"/>
            <w:hideMark/>
          </w:tcPr>
          <w:p w14:paraId="21390ED3"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Davis, 1989; Venkatesh et al., 2003</w:t>
            </w:r>
          </w:p>
        </w:tc>
      </w:tr>
      <w:tr w:rsidR="00B17D28" w:rsidRPr="00F24926" w14:paraId="3A74CAD3" w14:textId="77777777" w:rsidTr="00B34980">
        <w:trPr>
          <w:tblCellSpacing w:w="15" w:type="dxa"/>
        </w:trPr>
        <w:tc>
          <w:tcPr>
            <w:tcW w:w="2655" w:type="dxa"/>
            <w:vAlign w:val="center"/>
            <w:hideMark/>
          </w:tcPr>
          <w:p w14:paraId="3A1F961F"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68CEEA84"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BI2</w:t>
            </w:r>
          </w:p>
        </w:tc>
        <w:tc>
          <w:tcPr>
            <w:tcW w:w="4856" w:type="dxa"/>
            <w:vAlign w:val="center"/>
            <w:hideMark/>
          </w:tcPr>
          <w:p w14:paraId="6507C03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will frequently use AI cybersecurity tools when available.</w:t>
            </w:r>
          </w:p>
        </w:tc>
        <w:tc>
          <w:tcPr>
            <w:tcW w:w="2287" w:type="dxa"/>
            <w:vAlign w:val="center"/>
            <w:hideMark/>
          </w:tcPr>
          <w:p w14:paraId="7564E367"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07D143EB" w14:textId="77777777" w:rsidTr="00B34980">
        <w:trPr>
          <w:tblCellSpacing w:w="15" w:type="dxa"/>
        </w:trPr>
        <w:tc>
          <w:tcPr>
            <w:tcW w:w="2655" w:type="dxa"/>
            <w:vAlign w:val="center"/>
            <w:hideMark/>
          </w:tcPr>
          <w:p w14:paraId="2D95C36A"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65768D4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BI3</w:t>
            </w:r>
          </w:p>
        </w:tc>
        <w:tc>
          <w:tcPr>
            <w:tcW w:w="4856" w:type="dxa"/>
            <w:vAlign w:val="center"/>
            <w:hideMark/>
          </w:tcPr>
          <w:p w14:paraId="1016B97C"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plan to adopt AI cybersecurity systems for use.</w:t>
            </w:r>
          </w:p>
        </w:tc>
        <w:tc>
          <w:tcPr>
            <w:tcW w:w="2287" w:type="dxa"/>
            <w:vAlign w:val="center"/>
            <w:hideMark/>
          </w:tcPr>
          <w:p w14:paraId="52D6719C"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18EF4A39" w14:textId="77777777" w:rsidTr="00B34980">
        <w:trPr>
          <w:tblCellSpacing w:w="15" w:type="dxa"/>
        </w:trPr>
        <w:tc>
          <w:tcPr>
            <w:tcW w:w="2655" w:type="dxa"/>
            <w:vAlign w:val="center"/>
            <w:hideMark/>
          </w:tcPr>
          <w:p w14:paraId="02274479"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377A8EFA"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BI4</w:t>
            </w:r>
          </w:p>
        </w:tc>
        <w:tc>
          <w:tcPr>
            <w:tcW w:w="4856" w:type="dxa"/>
            <w:vAlign w:val="center"/>
            <w:hideMark/>
          </w:tcPr>
          <w:p w14:paraId="73CBEF6D"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would recommend AI cybersecurity systems to others.</w:t>
            </w:r>
          </w:p>
        </w:tc>
        <w:tc>
          <w:tcPr>
            <w:tcW w:w="2287" w:type="dxa"/>
            <w:vAlign w:val="center"/>
            <w:hideMark/>
          </w:tcPr>
          <w:p w14:paraId="71AD1AEF"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2AD214E0" w14:textId="77777777" w:rsidTr="00B34980">
        <w:trPr>
          <w:tblCellSpacing w:w="15" w:type="dxa"/>
        </w:trPr>
        <w:tc>
          <w:tcPr>
            <w:tcW w:w="2655" w:type="dxa"/>
            <w:vAlign w:val="center"/>
            <w:hideMark/>
          </w:tcPr>
          <w:p w14:paraId="2EFF28E0"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vAlign w:val="center"/>
            <w:hideMark/>
          </w:tcPr>
          <w:p w14:paraId="0DCFEDBF"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BI5</w:t>
            </w:r>
          </w:p>
        </w:tc>
        <w:tc>
          <w:tcPr>
            <w:tcW w:w="4856" w:type="dxa"/>
            <w:vAlign w:val="center"/>
            <w:hideMark/>
          </w:tcPr>
          <w:p w14:paraId="7CE08017"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am willing to depend on AI systems for cybersecurity protection.</w:t>
            </w:r>
          </w:p>
        </w:tc>
        <w:tc>
          <w:tcPr>
            <w:tcW w:w="2287" w:type="dxa"/>
            <w:vAlign w:val="center"/>
            <w:hideMark/>
          </w:tcPr>
          <w:p w14:paraId="4B9EEC0A" w14:textId="77777777" w:rsidR="00B17D28" w:rsidRPr="00F24926" w:rsidRDefault="00B17D28" w:rsidP="00B34980">
            <w:pPr>
              <w:spacing w:after="0" w:line="240" w:lineRule="auto"/>
              <w:rPr>
                <w:rFonts w:eastAsia="Times New Roman" w:cs="Calibri"/>
                <w:kern w:val="0"/>
                <w:sz w:val="20"/>
                <w:szCs w:val="20"/>
                <w14:ligatures w14:val="none"/>
              </w:rPr>
            </w:pPr>
          </w:p>
        </w:tc>
      </w:tr>
      <w:tr w:rsidR="00B17D28" w:rsidRPr="00F24926" w14:paraId="57AA9AC6" w14:textId="77777777" w:rsidTr="00B34980">
        <w:trPr>
          <w:tblCellSpacing w:w="15" w:type="dxa"/>
        </w:trPr>
        <w:tc>
          <w:tcPr>
            <w:tcW w:w="2655" w:type="dxa"/>
            <w:tcBorders>
              <w:bottom w:val="single" w:sz="4" w:space="0" w:color="auto"/>
            </w:tcBorders>
            <w:vAlign w:val="center"/>
            <w:hideMark/>
          </w:tcPr>
          <w:p w14:paraId="587795AA" w14:textId="77777777" w:rsidR="00B17D28" w:rsidRPr="00F24926" w:rsidRDefault="00B17D28" w:rsidP="00B34980">
            <w:pPr>
              <w:spacing w:after="0" w:line="240" w:lineRule="auto"/>
              <w:rPr>
                <w:rFonts w:eastAsia="Times New Roman" w:cs="Calibri"/>
                <w:b/>
                <w:bCs/>
                <w:kern w:val="0"/>
                <w:sz w:val="20"/>
                <w:szCs w:val="20"/>
                <w14:ligatures w14:val="none"/>
              </w:rPr>
            </w:pPr>
          </w:p>
        </w:tc>
        <w:tc>
          <w:tcPr>
            <w:tcW w:w="1032" w:type="dxa"/>
            <w:tcBorders>
              <w:bottom w:val="single" w:sz="4" w:space="0" w:color="auto"/>
            </w:tcBorders>
            <w:vAlign w:val="center"/>
            <w:hideMark/>
          </w:tcPr>
          <w:p w14:paraId="7EB56EC0"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BI6</w:t>
            </w:r>
          </w:p>
        </w:tc>
        <w:tc>
          <w:tcPr>
            <w:tcW w:w="4856" w:type="dxa"/>
            <w:tcBorders>
              <w:bottom w:val="single" w:sz="4" w:space="0" w:color="auto"/>
            </w:tcBorders>
            <w:vAlign w:val="center"/>
            <w:hideMark/>
          </w:tcPr>
          <w:p w14:paraId="1166AD58" w14:textId="77777777" w:rsidR="00B17D28" w:rsidRPr="00F24926" w:rsidRDefault="00B17D28" w:rsidP="00B34980">
            <w:pPr>
              <w:spacing w:after="0" w:line="240" w:lineRule="auto"/>
              <w:rPr>
                <w:rFonts w:eastAsia="Times New Roman" w:cs="Calibri"/>
                <w:kern w:val="0"/>
                <w:sz w:val="20"/>
                <w:szCs w:val="20"/>
                <w14:ligatures w14:val="none"/>
              </w:rPr>
            </w:pPr>
            <w:r w:rsidRPr="00F24926">
              <w:rPr>
                <w:rFonts w:eastAsia="Times New Roman" w:cs="Calibri"/>
                <w:kern w:val="0"/>
                <w:sz w:val="20"/>
                <w:szCs w:val="20"/>
                <w14:ligatures w14:val="none"/>
              </w:rPr>
              <w:t>I expect to increase my use of AI cybersecurity systems.</w:t>
            </w:r>
          </w:p>
        </w:tc>
        <w:tc>
          <w:tcPr>
            <w:tcW w:w="2287" w:type="dxa"/>
            <w:tcBorders>
              <w:bottom w:val="single" w:sz="4" w:space="0" w:color="auto"/>
            </w:tcBorders>
            <w:vAlign w:val="center"/>
            <w:hideMark/>
          </w:tcPr>
          <w:p w14:paraId="2B14CA88" w14:textId="77777777" w:rsidR="00B17D28" w:rsidRPr="00F24926" w:rsidRDefault="00B17D28" w:rsidP="00B34980">
            <w:pPr>
              <w:spacing w:after="0" w:line="240" w:lineRule="auto"/>
              <w:rPr>
                <w:rFonts w:eastAsia="Times New Roman" w:cs="Calibri"/>
                <w:kern w:val="0"/>
                <w:sz w:val="20"/>
                <w:szCs w:val="20"/>
                <w14:ligatures w14:val="none"/>
              </w:rPr>
            </w:pPr>
          </w:p>
        </w:tc>
      </w:tr>
    </w:tbl>
    <w:p w14:paraId="47006FD4" w14:textId="77777777" w:rsidR="00B17D28" w:rsidRPr="00F24926" w:rsidRDefault="00B17D28" w:rsidP="00B17D28">
      <w:pPr>
        <w:spacing w:after="0" w:line="240" w:lineRule="auto"/>
        <w:rPr>
          <w:rFonts w:eastAsia="Times New Roman" w:cs="Calibri"/>
          <w:b/>
          <w:bCs/>
          <w:kern w:val="0"/>
          <w:sz w:val="20"/>
          <w:szCs w:val="20"/>
          <w14:ligatures w14:val="none"/>
        </w:rPr>
      </w:pPr>
    </w:p>
    <w:p w14:paraId="4E56556F"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28"/>
    <w:rsid w:val="001D3053"/>
    <w:rsid w:val="002C7D54"/>
    <w:rsid w:val="0033371E"/>
    <w:rsid w:val="005C0D39"/>
    <w:rsid w:val="0070406C"/>
    <w:rsid w:val="00724754"/>
    <w:rsid w:val="007C6295"/>
    <w:rsid w:val="00B17D28"/>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3830"/>
  <w15:chartTrackingRefBased/>
  <w15:docId w15:val="{68943F49-C49C-44B8-BD29-7B62A5B8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D28"/>
    <w:rPr>
      <w:lang w:val="en-US"/>
    </w:rPr>
  </w:style>
  <w:style w:type="paragraph" w:styleId="Heading1">
    <w:name w:val="heading 1"/>
    <w:basedOn w:val="Normal"/>
    <w:next w:val="Normal"/>
    <w:link w:val="Heading1Char"/>
    <w:uiPriority w:val="9"/>
    <w:qFormat/>
    <w:rsid w:val="00B17D28"/>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B17D28"/>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B17D28"/>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B17D28"/>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B17D28"/>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B17D28"/>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B17D28"/>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B17D28"/>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B17D28"/>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D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D28"/>
    <w:rPr>
      <w:rFonts w:eastAsiaTheme="majorEastAsia" w:cstheme="majorBidi"/>
      <w:color w:val="272727" w:themeColor="text1" w:themeTint="D8"/>
    </w:rPr>
  </w:style>
  <w:style w:type="paragraph" w:styleId="Title">
    <w:name w:val="Title"/>
    <w:basedOn w:val="Normal"/>
    <w:next w:val="Normal"/>
    <w:link w:val="TitleChar"/>
    <w:uiPriority w:val="10"/>
    <w:qFormat/>
    <w:rsid w:val="00B17D28"/>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B17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D28"/>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B17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D28"/>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B17D28"/>
    <w:rPr>
      <w:i/>
      <w:iCs/>
      <w:color w:val="404040" w:themeColor="text1" w:themeTint="BF"/>
    </w:rPr>
  </w:style>
  <w:style w:type="paragraph" w:styleId="ListParagraph">
    <w:name w:val="List Paragraph"/>
    <w:basedOn w:val="Normal"/>
    <w:uiPriority w:val="34"/>
    <w:qFormat/>
    <w:rsid w:val="00B17D28"/>
    <w:pPr>
      <w:ind w:left="720"/>
      <w:contextualSpacing/>
    </w:pPr>
    <w:rPr>
      <w:lang w:val="en-IN"/>
    </w:rPr>
  </w:style>
  <w:style w:type="character" w:styleId="IntenseEmphasis">
    <w:name w:val="Intense Emphasis"/>
    <w:basedOn w:val="DefaultParagraphFont"/>
    <w:uiPriority w:val="21"/>
    <w:qFormat/>
    <w:rsid w:val="00B17D28"/>
    <w:rPr>
      <w:i/>
      <w:iCs/>
      <w:color w:val="0F4761" w:themeColor="accent1" w:themeShade="BF"/>
    </w:rPr>
  </w:style>
  <w:style w:type="paragraph" w:styleId="IntenseQuote">
    <w:name w:val="Intense Quote"/>
    <w:basedOn w:val="Normal"/>
    <w:next w:val="Normal"/>
    <w:link w:val="IntenseQuoteChar"/>
    <w:uiPriority w:val="30"/>
    <w:qFormat/>
    <w:rsid w:val="00B17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B17D28"/>
    <w:rPr>
      <w:i/>
      <w:iCs/>
      <w:color w:val="0F4761" w:themeColor="accent1" w:themeShade="BF"/>
    </w:rPr>
  </w:style>
  <w:style w:type="character" w:styleId="IntenseReference">
    <w:name w:val="Intense Reference"/>
    <w:basedOn w:val="DefaultParagraphFont"/>
    <w:uiPriority w:val="32"/>
    <w:qFormat/>
    <w:rsid w:val="00B17D28"/>
    <w:rPr>
      <w:b/>
      <w:bCs/>
      <w:smallCaps/>
      <w:color w:val="0F4761" w:themeColor="accent1" w:themeShade="BF"/>
      <w:spacing w:val="5"/>
    </w:rPr>
  </w:style>
  <w:style w:type="table" w:styleId="TableGrid">
    <w:name w:val="Table Grid"/>
    <w:basedOn w:val="TableNormal"/>
    <w:uiPriority w:val="39"/>
    <w:rsid w:val="00B17D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5004</Words>
  <Characters>28527</Characters>
  <Application>Microsoft Office Word</Application>
  <DocSecurity>0</DocSecurity>
  <Lines>237</Lines>
  <Paragraphs>66</Paragraphs>
  <ScaleCrop>false</ScaleCrop>
  <Company/>
  <LinksUpToDate>false</LinksUpToDate>
  <CharactersWithSpaces>33465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2026-07-08T11:40:00Z</dcterms:created>
  <dcterms:modified xsi:type="dcterms:W3CDTF">2026-07-08T11:40:00Z</dcterms:modified>
</cp:coreProperties>
</file>