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25059" w14:textId="77777777" w:rsidR="00B17D28" w:rsidRPr="007A293D" w:rsidRDefault="00B17D28" w:rsidP="00B17D28">
      <w:pPr>
        <w:spacing w:before="100" w:beforeAutospacing="1" w:after="100" w:afterAutospacing="1" w:line="240" w:lineRule="auto"/>
        <w:rPr>
          <w:rFonts w:eastAsia="Times New Roman" w:cs="Times New Roman"/>
          <w:kern w:val="0"/>
          <w14:ligatures w14:val="none"/>
        </w:rPr>
      </w:pPr>
      <w:r w:rsidRPr="007A293D">
        <w:rPr>
          <w:rFonts w:eastAsia="Times New Roman" w:cs="Times New Roman"/>
          <w:kern w:val="0"/>
          <w14:ligatures w14:val="none"/>
        </w:rPr>
        <w:t>Appendices</w:t>
      </w:r>
    </w:p>
    <w:p w14:paraId="29612E57" w14:textId="77777777" w:rsidR="00B17D28" w:rsidRPr="007A293D" w:rsidRDefault="00B17D28" w:rsidP="00B17D28">
      <w:pPr>
        <w:spacing w:before="100" w:beforeAutospacing="1" w:after="100" w:afterAutospacing="1" w:line="240" w:lineRule="auto"/>
        <w:rPr>
          <w:rFonts w:eastAsia="Times New Roman" w:cs="Times New Roman"/>
          <w:kern w:val="0"/>
          <w:sz w:val="22"/>
          <w:szCs w:val="22"/>
          <w14:ligatures w14:val="none"/>
        </w:rPr>
      </w:pPr>
      <w:r w:rsidRPr="007A293D">
        <w:rPr>
          <w:rFonts w:eastAsia="Times New Roman" w:cs="Times New Roman"/>
          <w:kern w:val="0"/>
          <w:sz w:val="22"/>
          <w:szCs w:val="22"/>
          <w14:ligatures w14:val="none"/>
        </w:rPr>
        <w:t xml:space="preserve">Appendix A. Append Demographic profile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3510"/>
      </w:tblGrid>
      <w:tr w:rsidR="00B17D28" w14:paraId="02874C35" w14:textId="77777777" w:rsidTr="00B34980">
        <w:tc>
          <w:tcPr>
            <w:tcW w:w="4225" w:type="dxa"/>
            <w:tcBorders>
              <w:top w:val="single" w:sz="4" w:space="0" w:color="auto"/>
              <w:bottom w:val="single" w:sz="4" w:space="0" w:color="auto"/>
            </w:tcBorders>
          </w:tcPr>
          <w:p w14:paraId="103B8870" w14:textId="77777777" w:rsidR="00B17D28" w:rsidRPr="00A04558" w:rsidRDefault="00B17D28" w:rsidP="00B34980">
            <w:pPr>
              <w:spacing w:before="100" w:beforeAutospacing="1" w:after="100" w:afterAutospacing="1"/>
              <w:rPr>
                <w:rFonts w:eastAsia="Times New Roman" w:cs="Calibri"/>
                <w:kern w:val="0"/>
                <w:sz w:val="20"/>
                <w:szCs w:val="20"/>
                <w14:ligatures w14:val="none"/>
              </w:rPr>
            </w:pPr>
            <w:r w:rsidRPr="00A04558">
              <w:rPr>
                <w:rFonts w:eastAsia="Times New Roman" w:cs="Calibri"/>
                <w:kern w:val="0"/>
                <w:sz w:val="20"/>
                <w:szCs w:val="20"/>
                <w14:ligatures w14:val="none"/>
              </w:rPr>
              <w:t xml:space="preserve">Category </w:t>
            </w:r>
          </w:p>
        </w:tc>
        <w:tc>
          <w:tcPr>
            <w:tcW w:w="3510" w:type="dxa"/>
            <w:tcBorders>
              <w:top w:val="single" w:sz="4" w:space="0" w:color="auto"/>
              <w:bottom w:val="single" w:sz="4" w:space="0" w:color="auto"/>
            </w:tcBorders>
          </w:tcPr>
          <w:p w14:paraId="56EDF971" w14:textId="77777777" w:rsidR="00B17D28" w:rsidRPr="00A04558" w:rsidRDefault="00B17D28" w:rsidP="00B34980">
            <w:pPr>
              <w:spacing w:before="100" w:beforeAutospacing="1" w:after="100" w:afterAutospacing="1"/>
              <w:rPr>
                <w:rFonts w:eastAsia="Times New Roman" w:cs="Calibri"/>
                <w:kern w:val="0"/>
                <w:sz w:val="20"/>
                <w:szCs w:val="20"/>
                <w14:ligatures w14:val="none"/>
              </w:rPr>
            </w:pPr>
            <w:r w:rsidRPr="00A04558">
              <w:rPr>
                <w:rFonts w:eastAsia="Times New Roman" w:cs="Calibri"/>
                <w:kern w:val="0"/>
                <w:sz w:val="20"/>
                <w:szCs w:val="20"/>
                <w14:ligatures w14:val="none"/>
              </w:rPr>
              <w:t xml:space="preserve">Subcategory </w:t>
            </w:r>
          </w:p>
        </w:tc>
      </w:tr>
      <w:tr w:rsidR="00B17D28" w14:paraId="34077EC9" w14:textId="77777777" w:rsidTr="00B34980">
        <w:trPr>
          <w:trHeight w:val="215"/>
        </w:trPr>
        <w:tc>
          <w:tcPr>
            <w:tcW w:w="4225" w:type="dxa"/>
            <w:tcBorders>
              <w:top w:val="single" w:sz="4" w:space="0" w:color="auto"/>
            </w:tcBorders>
          </w:tcPr>
          <w:p w14:paraId="1B832CCD" w14:textId="77777777" w:rsidR="00B17D28" w:rsidRPr="00A04558" w:rsidRDefault="00B17D28" w:rsidP="00B34980">
            <w:pPr>
              <w:spacing w:before="100" w:beforeAutospacing="1" w:after="100" w:afterAutospacing="1"/>
              <w:rPr>
                <w:rFonts w:eastAsia="Times New Roman" w:cs="Calibri"/>
                <w:kern w:val="0"/>
                <w:sz w:val="20"/>
                <w:szCs w:val="20"/>
                <w14:ligatures w14:val="none"/>
              </w:rPr>
            </w:pPr>
            <w:r w:rsidRPr="00A04558">
              <w:rPr>
                <w:rFonts w:eastAsia="Times New Roman" w:cs="Calibri"/>
                <w:kern w:val="0"/>
                <w:sz w:val="20"/>
                <w:szCs w:val="20"/>
                <w14:ligatures w14:val="none"/>
              </w:rPr>
              <w:t>Gender</w:t>
            </w:r>
          </w:p>
        </w:tc>
        <w:tc>
          <w:tcPr>
            <w:tcW w:w="3510" w:type="dxa"/>
            <w:tcBorders>
              <w:top w:val="single" w:sz="4" w:space="0" w:color="auto"/>
            </w:tcBorders>
          </w:tcPr>
          <w:p w14:paraId="125A7A03" w14:textId="77777777" w:rsidR="00B17D28" w:rsidRPr="00A04558" w:rsidRDefault="00B17D28" w:rsidP="00B34980">
            <w:pPr>
              <w:spacing w:before="100" w:beforeAutospacing="1" w:after="100" w:afterAutospacing="1"/>
              <w:rPr>
                <w:rFonts w:eastAsia="Times New Roman" w:cs="Calibri"/>
                <w:kern w:val="0"/>
                <w:sz w:val="20"/>
                <w:szCs w:val="20"/>
                <w14:ligatures w14:val="none"/>
              </w:rPr>
            </w:pPr>
            <w:r w:rsidRPr="00A04558">
              <w:rPr>
                <w:rFonts w:eastAsia="Times New Roman" w:cs="Calibri"/>
                <w:kern w:val="0"/>
                <w:sz w:val="20"/>
                <w:szCs w:val="20"/>
                <w14:ligatures w14:val="none"/>
              </w:rPr>
              <w:t xml:space="preserve">Female </w:t>
            </w:r>
          </w:p>
        </w:tc>
      </w:tr>
      <w:tr w:rsidR="00B17D28" w14:paraId="6DC4DF42" w14:textId="77777777" w:rsidTr="00B34980">
        <w:tc>
          <w:tcPr>
            <w:tcW w:w="4225" w:type="dxa"/>
          </w:tcPr>
          <w:p w14:paraId="1E97B99E" w14:textId="77777777" w:rsidR="00B17D28" w:rsidRPr="00A04558" w:rsidRDefault="00B17D28" w:rsidP="00B34980">
            <w:pPr>
              <w:spacing w:before="100" w:beforeAutospacing="1" w:after="100" w:afterAutospacing="1"/>
              <w:rPr>
                <w:rFonts w:eastAsia="Times New Roman" w:cs="Calibri"/>
                <w:kern w:val="0"/>
                <w:sz w:val="20"/>
                <w:szCs w:val="20"/>
                <w14:ligatures w14:val="none"/>
              </w:rPr>
            </w:pPr>
          </w:p>
        </w:tc>
        <w:tc>
          <w:tcPr>
            <w:tcW w:w="3510" w:type="dxa"/>
          </w:tcPr>
          <w:p w14:paraId="3DB898A6" w14:textId="77777777" w:rsidR="00B17D28" w:rsidRPr="00A04558" w:rsidRDefault="00B17D28" w:rsidP="00B34980">
            <w:pPr>
              <w:spacing w:before="100" w:beforeAutospacing="1" w:after="100" w:afterAutospacing="1"/>
              <w:rPr>
                <w:rFonts w:eastAsia="Times New Roman" w:cs="Calibri"/>
                <w:kern w:val="0"/>
                <w:sz w:val="20"/>
                <w:szCs w:val="20"/>
                <w14:ligatures w14:val="none"/>
              </w:rPr>
            </w:pPr>
            <w:r w:rsidRPr="00A04558">
              <w:rPr>
                <w:rFonts w:eastAsia="Times New Roman" w:cs="Calibri"/>
                <w:kern w:val="0"/>
                <w:sz w:val="20"/>
                <w:szCs w:val="20"/>
                <w14:ligatures w14:val="none"/>
              </w:rPr>
              <w:t>Male</w:t>
            </w:r>
          </w:p>
        </w:tc>
      </w:tr>
      <w:tr w:rsidR="00B17D28" w14:paraId="6998AAF7" w14:textId="77777777" w:rsidTr="00B34980">
        <w:tc>
          <w:tcPr>
            <w:tcW w:w="4225" w:type="dxa"/>
          </w:tcPr>
          <w:p w14:paraId="34B5E7B4" w14:textId="77777777" w:rsidR="00B17D28" w:rsidRPr="00A04558" w:rsidRDefault="00B17D28" w:rsidP="00B34980">
            <w:pPr>
              <w:spacing w:before="100" w:beforeAutospacing="1" w:after="100" w:afterAutospacing="1"/>
              <w:rPr>
                <w:rFonts w:eastAsia="Times New Roman" w:cs="Calibri"/>
                <w:kern w:val="0"/>
                <w:sz w:val="20"/>
                <w:szCs w:val="20"/>
                <w14:ligatures w14:val="none"/>
              </w:rPr>
            </w:pPr>
            <w:r w:rsidRPr="00A04558">
              <w:rPr>
                <w:rFonts w:eastAsia="Times New Roman" w:cs="Calibri"/>
                <w:kern w:val="0"/>
                <w:sz w:val="20"/>
                <w:szCs w:val="20"/>
                <w14:ligatures w14:val="none"/>
              </w:rPr>
              <w:t xml:space="preserve">Age group </w:t>
            </w:r>
          </w:p>
        </w:tc>
        <w:tc>
          <w:tcPr>
            <w:tcW w:w="3510" w:type="dxa"/>
          </w:tcPr>
          <w:p w14:paraId="4186C0A1" w14:textId="77777777" w:rsidR="00B17D28" w:rsidRPr="00A04558" w:rsidRDefault="00B17D28" w:rsidP="00B34980">
            <w:pPr>
              <w:spacing w:before="100" w:beforeAutospacing="1" w:after="100" w:afterAutospacing="1"/>
              <w:rPr>
                <w:rFonts w:eastAsia="Times New Roman" w:cs="Calibri"/>
                <w:kern w:val="0"/>
                <w:sz w:val="20"/>
                <w:szCs w:val="20"/>
                <w14:ligatures w14:val="none"/>
              </w:rPr>
            </w:pPr>
            <w:r w:rsidRPr="00A04558">
              <w:rPr>
                <w:rFonts w:eastAsia="Times New Roman" w:cs="Calibri"/>
                <w:kern w:val="0"/>
                <w:sz w:val="20"/>
                <w:szCs w:val="20"/>
                <w14:ligatures w14:val="none"/>
              </w:rPr>
              <w:t>18 – 25 years</w:t>
            </w:r>
          </w:p>
        </w:tc>
      </w:tr>
      <w:tr w:rsidR="00B17D28" w14:paraId="16DA45AD" w14:textId="77777777" w:rsidTr="00B34980">
        <w:tc>
          <w:tcPr>
            <w:tcW w:w="4225" w:type="dxa"/>
          </w:tcPr>
          <w:p w14:paraId="20E3B4B4" w14:textId="77777777" w:rsidR="00B17D28" w:rsidRPr="00A04558" w:rsidRDefault="00B17D28" w:rsidP="00B34980">
            <w:pPr>
              <w:spacing w:before="100" w:beforeAutospacing="1" w:after="100" w:afterAutospacing="1"/>
              <w:rPr>
                <w:rFonts w:eastAsia="Times New Roman" w:cs="Calibri"/>
                <w:kern w:val="0"/>
                <w:sz w:val="20"/>
                <w:szCs w:val="20"/>
                <w14:ligatures w14:val="none"/>
              </w:rPr>
            </w:pPr>
          </w:p>
        </w:tc>
        <w:tc>
          <w:tcPr>
            <w:tcW w:w="3510" w:type="dxa"/>
          </w:tcPr>
          <w:p w14:paraId="5A98113D" w14:textId="77777777" w:rsidR="00B17D28" w:rsidRPr="00A04558" w:rsidRDefault="00B17D28" w:rsidP="00B34980">
            <w:pPr>
              <w:spacing w:before="100" w:beforeAutospacing="1" w:after="100" w:afterAutospacing="1"/>
              <w:rPr>
                <w:rFonts w:eastAsia="Times New Roman" w:cs="Calibri"/>
                <w:kern w:val="0"/>
                <w:sz w:val="20"/>
                <w:szCs w:val="20"/>
                <w14:ligatures w14:val="none"/>
              </w:rPr>
            </w:pPr>
            <w:r w:rsidRPr="00A04558">
              <w:rPr>
                <w:rFonts w:eastAsia="Times New Roman" w:cs="Calibri"/>
                <w:kern w:val="0"/>
                <w:sz w:val="20"/>
                <w:szCs w:val="20"/>
                <w14:ligatures w14:val="none"/>
              </w:rPr>
              <w:t>26–49 years</w:t>
            </w:r>
          </w:p>
        </w:tc>
      </w:tr>
      <w:tr w:rsidR="00B17D28" w14:paraId="41279AC9" w14:textId="77777777" w:rsidTr="00B34980">
        <w:tc>
          <w:tcPr>
            <w:tcW w:w="4225" w:type="dxa"/>
          </w:tcPr>
          <w:p w14:paraId="4EAFC2A2" w14:textId="77777777" w:rsidR="00B17D28" w:rsidRPr="00A04558" w:rsidRDefault="00B17D28" w:rsidP="00B34980">
            <w:pPr>
              <w:spacing w:before="100" w:beforeAutospacing="1" w:after="100" w:afterAutospacing="1"/>
              <w:rPr>
                <w:rFonts w:eastAsia="Times New Roman" w:cs="Calibri"/>
                <w:kern w:val="0"/>
                <w:sz w:val="20"/>
                <w:szCs w:val="20"/>
                <w14:ligatures w14:val="none"/>
              </w:rPr>
            </w:pPr>
          </w:p>
        </w:tc>
        <w:tc>
          <w:tcPr>
            <w:tcW w:w="3510" w:type="dxa"/>
          </w:tcPr>
          <w:p w14:paraId="47CA90F3" w14:textId="77777777" w:rsidR="00B17D28" w:rsidRPr="00A04558" w:rsidRDefault="00B17D28" w:rsidP="00B34980">
            <w:pPr>
              <w:spacing w:before="100" w:beforeAutospacing="1" w:after="100" w:afterAutospacing="1"/>
              <w:rPr>
                <w:rFonts w:eastAsia="Times New Roman" w:cs="Calibri"/>
                <w:kern w:val="0"/>
                <w:sz w:val="20"/>
                <w:szCs w:val="20"/>
                <w14:ligatures w14:val="none"/>
              </w:rPr>
            </w:pPr>
            <w:r w:rsidRPr="00A04558">
              <w:rPr>
                <w:rFonts w:eastAsia="Times New Roman" w:cs="Calibri"/>
                <w:kern w:val="0"/>
                <w:sz w:val="20"/>
                <w:szCs w:val="20"/>
                <w14:ligatures w14:val="none"/>
              </w:rPr>
              <w:t>50 years or older</w:t>
            </w:r>
          </w:p>
        </w:tc>
      </w:tr>
      <w:tr w:rsidR="00B17D28" w14:paraId="29EC723C" w14:textId="77777777" w:rsidTr="00B34980">
        <w:tc>
          <w:tcPr>
            <w:tcW w:w="4225" w:type="dxa"/>
          </w:tcPr>
          <w:p w14:paraId="2769E910" w14:textId="77777777" w:rsidR="00B17D28" w:rsidRPr="00A04558" w:rsidRDefault="00B17D28" w:rsidP="00B34980">
            <w:pPr>
              <w:spacing w:before="100" w:beforeAutospacing="1" w:after="100" w:afterAutospacing="1"/>
              <w:rPr>
                <w:rFonts w:eastAsia="Times New Roman" w:cs="Calibri"/>
                <w:kern w:val="0"/>
                <w:sz w:val="20"/>
                <w:szCs w:val="20"/>
                <w14:ligatures w14:val="none"/>
              </w:rPr>
            </w:pPr>
            <w:r w:rsidRPr="00A04558">
              <w:rPr>
                <w:rFonts w:eastAsia="Times New Roman" w:cs="Calibri"/>
                <w:kern w:val="0"/>
                <w:sz w:val="20"/>
                <w:szCs w:val="20"/>
                <w14:ligatures w14:val="none"/>
              </w:rPr>
              <w:t>Education background</w:t>
            </w:r>
          </w:p>
        </w:tc>
        <w:tc>
          <w:tcPr>
            <w:tcW w:w="3510" w:type="dxa"/>
          </w:tcPr>
          <w:p w14:paraId="251ECEB3" w14:textId="77777777" w:rsidR="00B17D28" w:rsidRPr="00A04558" w:rsidRDefault="00B17D28" w:rsidP="00B34980">
            <w:pPr>
              <w:spacing w:before="100" w:beforeAutospacing="1" w:after="100" w:afterAutospacing="1"/>
              <w:rPr>
                <w:rFonts w:eastAsia="Times New Roman" w:cs="Calibri"/>
                <w:kern w:val="0"/>
                <w:sz w:val="20"/>
                <w:szCs w:val="20"/>
                <w14:ligatures w14:val="none"/>
              </w:rPr>
            </w:pPr>
            <w:r w:rsidRPr="00A04558">
              <w:rPr>
                <w:rFonts w:eastAsia="Times New Roman" w:cs="Calibri"/>
                <w:kern w:val="0"/>
                <w:sz w:val="20"/>
                <w:szCs w:val="20"/>
                <w14:ligatures w14:val="none"/>
              </w:rPr>
              <w:t>High school or similar</w:t>
            </w:r>
          </w:p>
        </w:tc>
      </w:tr>
      <w:tr w:rsidR="00B17D28" w14:paraId="56D5ACFF" w14:textId="77777777" w:rsidTr="00B34980">
        <w:tc>
          <w:tcPr>
            <w:tcW w:w="4225" w:type="dxa"/>
          </w:tcPr>
          <w:p w14:paraId="6EE72D07" w14:textId="77777777" w:rsidR="00B17D28" w:rsidRPr="00A04558" w:rsidRDefault="00B17D28" w:rsidP="00B34980">
            <w:pPr>
              <w:spacing w:before="100" w:beforeAutospacing="1" w:after="100" w:afterAutospacing="1"/>
              <w:rPr>
                <w:rFonts w:eastAsia="Times New Roman" w:cs="Calibri"/>
                <w:kern w:val="0"/>
                <w:sz w:val="20"/>
                <w:szCs w:val="20"/>
                <w14:ligatures w14:val="none"/>
              </w:rPr>
            </w:pPr>
          </w:p>
        </w:tc>
        <w:tc>
          <w:tcPr>
            <w:tcW w:w="3510" w:type="dxa"/>
          </w:tcPr>
          <w:p w14:paraId="35B75F74" w14:textId="77777777" w:rsidR="00B17D28" w:rsidRPr="00A04558" w:rsidRDefault="00B17D28" w:rsidP="00B34980">
            <w:pPr>
              <w:spacing w:before="100" w:beforeAutospacing="1" w:after="100" w:afterAutospacing="1"/>
              <w:rPr>
                <w:rFonts w:eastAsia="Times New Roman" w:cs="Calibri"/>
                <w:kern w:val="0"/>
                <w:sz w:val="20"/>
                <w:szCs w:val="20"/>
                <w14:ligatures w14:val="none"/>
              </w:rPr>
            </w:pPr>
            <w:r w:rsidRPr="00A04558">
              <w:rPr>
                <w:rFonts w:eastAsia="Times New Roman" w:cs="Calibri"/>
                <w:kern w:val="0"/>
                <w:sz w:val="20"/>
                <w:szCs w:val="20"/>
                <w14:ligatures w14:val="none"/>
              </w:rPr>
              <w:t>Bachelor’s or equivalent</w:t>
            </w:r>
          </w:p>
        </w:tc>
      </w:tr>
      <w:tr w:rsidR="00B17D28" w14:paraId="1AE3DDD7" w14:textId="77777777" w:rsidTr="00B34980">
        <w:tc>
          <w:tcPr>
            <w:tcW w:w="4225" w:type="dxa"/>
          </w:tcPr>
          <w:p w14:paraId="5E5A93E4" w14:textId="77777777" w:rsidR="00B17D28" w:rsidRPr="00A04558" w:rsidRDefault="00B17D28" w:rsidP="00B34980">
            <w:pPr>
              <w:spacing w:before="100" w:beforeAutospacing="1" w:after="100" w:afterAutospacing="1"/>
              <w:rPr>
                <w:rFonts w:eastAsia="Times New Roman" w:cs="Calibri"/>
                <w:kern w:val="0"/>
                <w:sz w:val="20"/>
                <w:szCs w:val="20"/>
                <w14:ligatures w14:val="none"/>
              </w:rPr>
            </w:pPr>
          </w:p>
        </w:tc>
        <w:tc>
          <w:tcPr>
            <w:tcW w:w="3510" w:type="dxa"/>
          </w:tcPr>
          <w:p w14:paraId="53E88930" w14:textId="77777777" w:rsidR="00B17D28" w:rsidRPr="00A04558" w:rsidRDefault="00B17D28" w:rsidP="00B34980">
            <w:pPr>
              <w:spacing w:before="100" w:beforeAutospacing="1" w:after="100" w:afterAutospacing="1"/>
              <w:rPr>
                <w:rFonts w:eastAsia="Times New Roman" w:cs="Calibri"/>
                <w:kern w:val="0"/>
                <w:sz w:val="20"/>
                <w:szCs w:val="20"/>
                <w14:ligatures w14:val="none"/>
              </w:rPr>
            </w:pPr>
            <w:r w:rsidRPr="00A04558">
              <w:rPr>
                <w:rFonts w:eastAsia="Times New Roman" w:cs="Calibri"/>
                <w:kern w:val="0"/>
                <w:sz w:val="20"/>
                <w:szCs w:val="20"/>
                <w14:ligatures w14:val="none"/>
              </w:rPr>
              <w:t>Master’s or Ph.D.</w:t>
            </w:r>
          </w:p>
        </w:tc>
      </w:tr>
      <w:tr w:rsidR="00B17D28" w14:paraId="2AD179B0" w14:textId="77777777" w:rsidTr="00B34980">
        <w:tc>
          <w:tcPr>
            <w:tcW w:w="4225" w:type="dxa"/>
          </w:tcPr>
          <w:p w14:paraId="32C24E0F" w14:textId="77777777" w:rsidR="00B17D28" w:rsidRPr="00A04558" w:rsidRDefault="00B17D28" w:rsidP="00B34980">
            <w:pPr>
              <w:spacing w:before="100" w:beforeAutospacing="1" w:after="100" w:afterAutospacing="1"/>
              <w:rPr>
                <w:rFonts w:eastAsia="Times New Roman" w:cs="Calibri"/>
                <w:kern w:val="0"/>
                <w:sz w:val="20"/>
                <w:szCs w:val="20"/>
                <w14:ligatures w14:val="none"/>
              </w:rPr>
            </w:pPr>
            <w:r w:rsidRPr="00A04558">
              <w:rPr>
                <w:rFonts w:eastAsia="Times New Roman" w:cs="Calibri"/>
                <w:kern w:val="0"/>
                <w:sz w:val="20"/>
                <w:szCs w:val="20"/>
                <w14:ligatures w14:val="none"/>
              </w:rPr>
              <w:t>Sector</w:t>
            </w:r>
          </w:p>
        </w:tc>
        <w:tc>
          <w:tcPr>
            <w:tcW w:w="3510" w:type="dxa"/>
          </w:tcPr>
          <w:p w14:paraId="63395DD4" w14:textId="77777777" w:rsidR="00B17D28" w:rsidRPr="00A04558" w:rsidRDefault="00B17D28" w:rsidP="00B34980">
            <w:pPr>
              <w:spacing w:before="100" w:beforeAutospacing="1" w:after="100" w:afterAutospacing="1"/>
              <w:rPr>
                <w:rFonts w:eastAsia="Times New Roman" w:cs="Calibri"/>
                <w:kern w:val="0"/>
                <w:sz w:val="20"/>
                <w:szCs w:val="20"/>
                <w14:ligatures w14:val="none"/>
              </w:rPr>
            </w:pPr>
            <w:r w:rsidRPr="00A04558">
              <w:rPr>
                <w:rFonts w:eastAsia="Times New Roman" w:cs="Calibri"/>
                <w:kern w:val="0"/>
                <w:sz w:val="20"/>
                <w:szCs w:val="20"/>
                <w14:ligatures w14:val="none"/>
              </w:rPr>
              <w:t>Banking and Finance</w:t>
            </w:r>
          </w:p>
        </w:tc>
      </w:tr>
      <w:tr w:rsidR="00B17D28" w14:paraId="33DAEB23" w14:textId="77777777" w:rsidTr="00B34980">
        <w:tc>
          <w:tcPr>
            <w:tcW w:w="4225" w:type="dxa"/>
          </w:tcPr>
          <w:p w14:paraId="41362F73" w14:textId="77777777" w:rsidR="00B17D28" w:rsidRPr="00A04558" w:rsidRDefault="00B17D28" w:rsidP="00B34980">
            <w:pPr>
              <w:spacing w:before="100" w:beforeAutospacing="1" w:after="100" w:afterAutospacing="1"/>
              <w:rPr>
                <w:rFonts w:eastAsia="Times New Roman" w:cs="Calibri"/>
                <w:kern w:val="0"/>
                <w:sz w:val="20"/>
                <w:szCs w:val="20"/>
                <w14:ligatures w14:val="none"/>
              </w:rPr>
            </w:pPr>
          </w:p>
        </w:tc>
        <w:tc>
          <w:tcPr>
            <w:tcW w:w="3510" w:type="dxa"/>
          </w:tcPr>
          <w:p w14:paraId="56C738CD" w14:textId="77777777" w:rsidR="00B17D28" w:rsidRPr="00A04558" w:rsidRDefault="00B17D28" w:rsidP="00B34980">
            <w:pPr>
              <w:spacing w:before="100" w:beforeAutospacing="1" w:after="100" w:afterAutospacing="1"/>
              <w:rPr>
                <w:rFonts w:eastAsia="Times New Roman" w:cs="Calibri"/>
                <w:kern w:val="0"/>
                <w:sz w:val="20"/>
                <w:szCs w:val="20"/>
                <w14:ligatures w14:val="none"/>
              </w:rPr>
            </w:pPr>
            <w:r w:rsidRPr="00A04558">
              <w:rPr>
                <w:rFonts w:eastAsia="Times New Roman" w:cs="Calibri"/>
                <w:kern w:val="0"/>
                <w:sz w:val="20"/>
                <w:szCs w:val="20"/>
                <w14:ligatures w14:val="none"/>
              </w:rPr>
              <w:t xml:space="preserve">Industry </w:t>
            </w:r>
          </w:p>
        </w:tc>
      </w:tr>
      <w:tr w:rsidR="00B17D28" w14:paraId="64B9C164" w14:textId="77777777" w:rsidTr="00B34980">
        <w:tc>
          <w:tcPr>
            <w:tcW w:w="4225" w:type="dxa"/>
          </w:tcPr>
          <w:p w14:paraId="707B6F4F" w14:textId="77777777" w:rsidR="00B17D28" w:rsidRPr="00A04558" w:rsidRDefault="00B17D28" w:rsidP="00B34980">
            <w:pPr>
              <w:spacing w:before="100" w:beforeAutospacing="1" w:after="100" w:afterAutospacing="1"/>
              <w:rPr>
                <w:rFonts w:eastAsia="Times New Roman" w:cs="Calibri"/>
                <w:kern w:val="0"/>
                <w:sz w:val="20"/>
                <w:szCs w:val="20"/>
                <w14:ligatures w14:val="none"/>
              </w:rPr>
            </w:pPr>
          </w:p>
        </w:tc>
        <w:tc>
          <w:tcPr>
            <w:tcW w:w="3510" w:type="dxa"/>
          </w:tcPr>
          <w:p w14:paraId="4A6A227C" w14:textId="77777777" w:rsidR="00B17D28" w:rsidRPr="00A04558" w:rsidRDefault="00B17D28" w:rsidP="00B34980">
            <w:pPr>
              <w:spacing w:before="100" w:beforeAutospacing="1" w:after="100" w:afterAutospacing="1"/>
              <w:rPr>
                <w:rFonts w:eastAsia="Times New Roman" w:cs="Calibri"/>
                <w:kern w:val="0"/>
                <w:sz w:val="20"/>
                <w:szCs w:val="20"/>
                <w14:ligatures w14:val="none"/>
              </w:rPr>
            </w:pPr>
            <w:r w:rsidRPr="00A04558">
              <w:rPr>
                <w:rFonts w:eastAsia="Times New Roman" w:cs="Calibri"/>
                <w:kern w:val="0"/>
                <w:sz w:val="20"/>
                <w:szCs w:val="20"/>
                <w14:ligatures w14:val="none"/>
              </w:rPr>
              <w:t xml:space="preserve">Education </w:t>
            </w:r>
          </w:p>
        </w:tc>
      </w:tr>
      <w:tr w:rsidR="00B17D28" w14:paraId="60092BC1" w14:textId="77777777" w:rsidTr="00B34980">
        <w:tc>
          <w:tcPr>
            <w:tcW w:w="4225" w:type="dxa"/>
          </w:tcPr>
          <w:p w14:paraId="453D0B12" w14:textId="77777777" w:rsidR="00B17D28" w:rsidRPr="00A04558" w:rsidRDefault="00B17D28" w:rsidP="00B34980">
            <w:pPr>
              <w:spacing w:before="100" w:beforeAutospacing="1" w:after="100" w:afterAutospacing="1"/>
              <w:rPr>
                <w:rFonts w:eastAsia="Times New Roman" w:cs="Calibri"/>
                <w:kern w:val="0"/>
                <w:sz w:val="20"/>
                <w:szCs w:val="20"/>
                <w14:ligatures w14:val="none"/>
              </w:rPr>
            </w:pPr>
          </w:p>
        </w:tc>
        <w:tc>
          <w:tcPr>
            <w:tcW w:w="3510" w:type="dxa"/>
          </w:tcPr>
          <w:p w14:paraId="51DE810A" w14:textId="77777777" w:rsidR="00B17D28" w:rsidRPr="00A04558" w:rsidRDefault="00B17D28" w:rsidP="00B34980">
            <w:pPr>
              <w:spacing w:before="100" w:beforeAutospacing="1" w:after="100" w:afterAutospacing="1"/>
              <w:rPr>
                <w:rFonts w:eastAsia="Times New Roman" w:cs="Calibri"/>
                <w:kern w:val="0"/>
                <w:sz w:val="20"/>
                <w:szCs w:val="20"/>
                <w14:ligatures w14:val="none"/>
              </w:rPr>
            </w:pPr>
            <w:r w:rsidRPr="00A04558">
              <w:rPr>
                <w:rFonts w:eastAsia="Times New Roman" w:cs="Calibri"/>
                <w:kern w:val="0"/>
                <w:sz w:val="20"/>
                <w:szCs w:val="20"/>
                <w14:ligatures w14:val="none"/>
              </w:rPr>
              <w:t>Government and Public Services</w:t>
            </w:r>
          </w:p>
        </w:tc>
      </w:tr>
      <w:tr w:rsidR="00B17D28" w14:paraId="230406F8" w14:textId="77777777" w:rsidTr="00B34980">
        <w:tc>
          <w:tcPr>
            <w:tcW w:w="4225" w:type="dxa"/>
          </w:tcPr>
          <w:p w14:paraId="5AE0841F" w14:textId="77777777" w:rsidR="00B17D28" w:rsidRPr="00A04558" w:rsidRDefault="00B17D28" w:rsidP="00B34980">
            <w:pPr>
              <w:spacing w:before="100" w:beforeAutospacing="1" w:after="100" w:afterAutospacing="1"/>
              <w:rPr>
                <w:rFonts w:eastAsia="Times New Roman" w:cs="Calibri"/>
                <w:kern w:val="0"/>
                <w:sz w:val="20"/>
                <w:szCs w:val="20"/>
                <w14:ligatures w14:val="none"/>
              </w:rPr>
            </w:pPr>
          </w:p>
        </w:tc>
        <w:tc>
          <w:tcPr>
            <w:tcW w:w="3510" w:type="dxa"/>
          </w:tcPr>
          <w:p w14:paraId="72398083" w14:textId="77777777" w:rsidR="00B17D28" w:rsidRPr="00A04558" w:rsidRDefault="00B17D28" w:rsidP="00B34980">
            <w:pPr>
              <w:spacing w:before="100" w:beforeAutospacing="1" w:after="100" w:afterAutospacing="1"/>
              <w:rPr>
                <w:rFonts w:eastAsia="Times New Roman" w:cs="Calibri"/>
                <w:kern w:val="0"/>
                <w:sz w:val="20"/>
                <w:szCs w:val="20"/>
                <w14:ligatures w14:val="none"/>
              </w:rPr>
            </w:pPr>
            <w:r w:rsidRPr="00A04558">
              <w:rPr>
                <w:rFonts w:eastAsia="Times New Roman" w:cs="Calibri"/>
                <w:kern w:val="0"/>
                <w:sz w:val="20"/>
                <w:szCs w:val="20"/>
                <w14:ligatures w14:val="none"/>
              </w:rPr>
              <w:t xml:space="preserve">Healthcare </w:t>
            </w:r>
          </w:p>
        </w:tc>
      </w:tr>
      <w:tr w:rsidR="00B17D28" w14:paraId="6F87BDDD" w14:textId="77777777" w:rsidTr="00B34980">
        <w:tc>
          <w:tcPr>
            <w:tcW w:w="4225" w:type="dxa"/>
            <w:tcBorders>
              <w:bottom w:val="single" w:sz="4" w:space="0" w:color="auto"/>
            </w:tcBorders>
          </w:tcPr>
          <w:p w14:paraId="6C8C28CA" w14:textId="77777777" w:rsidR="00B17D28" w:rsidRPr="00A04558" w:rsidRDefault="00B17D28" w:rsidP="00B34980">
            <w:pPr>
              <w:spacing w:before="100" w:beforeAutospacing="1" w:after="100" w:afterAutospacing="1"/>
              <w:rPr>
                <w:rFonts w:eastAsia="Times New Roman" w:cs="Calibri"/>
                <w:kern w:val="0"/>
                <w:sz w:val="20"/>
                <w:szCs w:val="20"/>
                <w14:ligatures w14:val="none"/>
              </w:rPr>
            </w:pPr>
          </w:p>
        </w:tc>
        <w:tc>
          <w:tcPr>
            <w:tcW w:w="3510" w:type="dxa"/>
            <w:tcBorders>
              <w:bottom w:val="single" w:sz="4" w:space="0" w:color="auto"/>
            </w:tcBorders>
          </w:tcPr>
          <w:p w14:paraId="5805BF46" w14:textId="77777777" w:rsidR="00B17D28" w:rsidRPr="00A04558" w:rsidRDefault="00B17D28" w:rsidP="00B34980">
            <w:pPr>
              <w:spacing w:before="100" w:beforeAutospacing="1" w:after="100" w:afterAutospacing="1"/>
              <w:rPr>
                <w:rFonts w:eastAsia="Times New Roman" w:cs="Calibri"/>
                <w:kern w:val="0"/>
                <w:sz w:val="20"/>
                <w:szCs w:val="20"/>
                <w14:ligatures w14:val="none"/>
              </w:rPr>
            </w:pPr>
            <w:r w:rsidRPr="00A04558">
              <w:rPr>
                <w:rFonts w:eastAsia="Times New Roman" w:cs="Calibri"/>
                <w:kern w:val="0"/>
                <w:sz w:val="20"/>
                <w:szCs w:val="20"/>
                <w14:ligatures w14:val="none"/>
              </w:rPr>
              <w:t xml:space="preserve">Other </w:t>
            </w:r>
          </w:p>
        </w:tc>
      </w:tr>
    </w:tbl>
    <w:p w14:paraId="458BB488" w14:textId="77777777" w:rsidR="00B17D28" w:rsidRDefault="00B17D28" w:rsidP="00B17D28">
      <w:pPr>
        <w:spacing w:before="100" w:beforeAutospacing="1" w:after="100" w:afterAutospacing="1" w:line="240" w:lineRule="auto"/>
        <w:rPr>
          <w:rFonts w:ascii="Times New Roman" w:eastAsia="Times New Roman" w:hAnsi="Times New Roman" w:cs="Times New Roman"/>
          <w:kern w:val="0"/>
          <w14:ligatures w14:val="none"/>
        </w:rPr>
      </w:pPr>
    </w:p>
    <w:p w14:paraId="1B9998F4" w14:textId="77777777" w:rsidR="00B17D28" w:rsidRPr="00480638" w:rsidRDefault="00B17D28" w:rsidP="00B17D28">
      <w:pPr>
        <w:spacing w:before="100" w:beforeAutospacing="1" w:after="100" w:afterAutospacing="1" w:line="240" w:lineRule="auto"/>
      </w:pPr>
      <w:r>
        <w:t>Appendix B.  Measurement Items for Study Constructs</w:t>
      </w:r>
    </w:p>
    <w:tbl>
      <w:tblPr>
        <w:tblW w:w="10980" w:type="dxa"/>
        <w:tblCellSpacing w:w="15" w:type="dxa"/>
        <w:tblInd w:w="-630" w:type="dxa"/>
        <w:tblCellMar>
          <w:top w:w="15" w:type="dxa"/>
          <w:left w:w="15" w:type="dxa"/>
          <w:bottom w:w="15" w:type="dxa"/>
          <w:right w:w="15" w:type="dxa"/>
        </w:tblCellMar>
        <w:tblLook w:val="04A0" w:firstRow="1" w:lastRow="0" w:firstColumn="1" w:lastColumn="0" w:noHBand="0" w:noVBand="1"/>
      </w:tblPr>
      <w:tblGrid>
        <w:gridCol w:w="2700"/>
        <w:gridCol w:w="1062"/>
        <w:gridCol w:w="4886"/>
        <w:gridCol w:w="2332"/>
      </w:tblGrid>
      <w:tr w:rsidR="00B17D28" w:rsidRPr="00F24926" w14:paraId="24111C15" w14:textId="77777777" w:rsidTr="00B34980">
        <w:trPr>
          <w:tblHeader/>
          <w:tblCellSpacing w:w="15" w:type="dxa"/>
        </w:trPr>
        <w:tc>
          <w:tcPr>
            <w:tcW w:w="2655" w:type="dxa"/>
            <w:tcBorders>
              <w:top w:val="single" w:sz="4" w:space="0" w:color="auto"/>
            </w:tcBorders>
            <w:vAlign w:val="center"/>
            <w:hideMark/>
          </w:tcPr>
          <w:p w14:paraId="6E8D906B" w14:textId="77777777" w:rsidR="00B17D28" w:rsidRPr="00F24926" w:rsidRDefault="00B17D28" w:rsidP="00B34980">
            <w:pPr>
              <w:spacing w:after="0" w:line="240" w:lineRule="auto"/>
              <w:rPr>
                <w:rFonts w:eastAsia="Times New Roman" w:cs="Calibri"/>
                <w:b/>
                <w:bCs/>
                <w:kern w:val="0"/>
                <w:sz w:val="20"/>
                <w:szCs w:val="20"/>
                <w14:ligatures w14:val="none"/>
              </w:rPr>
            </w:pPr>
            <w:r w:rsidRPr="00F24926">
              <w:rPr>
                <w:rFonts w:eastAsia="Times New Roman" w:cs="Calibri"/>
                <w:b/>
                <w:bCs/>
                <w:kern w:val="0"/>
                <w:sz w:val="20"/>
                <w:szCs w:val="20"/>
                <w14:ligatures w14:val="none"/>
              </w:rPr>
              <w:t>Construct</w:t>
            </w:r>
          </w:p>
        </w:tc>
        <w:tc>
          <w:tcPr>
            <w:tcW w:w="1032" w:type="dxa"/>
            <w:tcBorders>
              <w:top w:val="single" w:sz="4" w:space="0" w:color="auto"/>
            </w:tcBorders>
            <w:vAlign w:val="center"/>
            <w:hideMark/>
          </w:tcPr>
          <w:p w14:paraId="47EA5986" w14:textId="77777777" w:rsidR="00B17D28" w:rsidRPr="00F24926" w:rsidRDefault="00B17D28" w:rsidP="00B34980">
            <w:pPr>
              <w:spacing w:after="0" w:line="240" w:lineRule="auto"/>
              <w:rPr>
                <w:rFonts w:eastAsia="Times New Roman" w:cs="Calibri"/>
                <w:b/>
                <w:bCs/>
                <w:kern w:val="0"/>
                <w:sz w:val="20"/>
                <w:szCs w:val="20"/>
                <w14:ligatures w14:val="none"/>
              </w:rPr>
            </w:pPr>
            <w:r w:rsidRPr="00F24926">
              <w:rPr>
                <w:rFonts w:eastAsia="Times New Roman" w:cs="Calibri"/>
                <w:b/>
                <w:bCs/>
                <w:kern w:val="0"/>
                <w:sz w:val="20"/>
                <w:szCs w:val="20"/>
                <w14:ligatures w14:val="none"/>
              </w:rPr>
              <w:t>Code</w:t>
            </w:r>
          </w:p>
        </w:tc>
        <w:tc>
          <w:tcPr>
            <w:tcW w:w="4856" w:type="dxa"/>
            <w:tcBorders>
              <w:top w:val="single" w:sz="4" w:space="0" w:color="auto"/>
            </w:tcBorders>
            <w:vAlign w:val="center"/>
            <w:hideMark/>
          </w:tcPr>
          <w:p w14:paraId="04793EE1" w14:textId="77777777" w:rsidR="00B17D28" w:rsidRPr="00F24926" w:rsidRDefault="00B17D28" w:rsidP="00B34980">
            <w:pPr>
              <w:spacing w:after="0" w:line="240" w:lineRule="auto"/>
              <w:rPr>
                <w:rFonts w:eastAsia="Times New Roman" w:cs="Calibri"/>
                <w:b/>
                <w:bCs/>
                <w:kern w:val="0"/>
                <w:sz w:val="20"/>
                <w:szCs w:val="20"/>
                <w14:ligatures w14:val="none"/>
              </w:rPr>
            </w:pPr>
            <w:r w:rsidRPr="00F24926">
              <w:rPr>
                <w:rFonts w:eastAsia="Times New Roman" w:cs="Calibri"/>
                <w:b/>
                <w:bCs/>
                <w:kern w:val="0"/>
                <w:sz w:val="20"/>
                <w:szCs w:val="20"/>
                <w14:ligatures w14:val="none"/>
              </w:rPr>
              <w:t>Measurement Item</w:t>
            </w:r>
          </w:p>
        </w:tc>
        <w:tc>
          <w:tcPr>
            <w:tcW w:w="2287" w:type="dxa"/>
            <w:tcBorders>
              <w:top w:val="single" w:sz="4" w:space="0" w:color="auto"/>
            </w:tcBorders>
            <w:vAlign w:val="center"/>
            <w:hideMark/>
          </w:tcPr>
          <w:p w14:paraId="3A6DDF02" w14:textId="77777777" w:rsidR="00B17D28" w:rsidRPr="00F24926" w:rsidRDefault="00B17D28" w:rsidP="00B34980">
            <w:pPr>
              <w:spacing w:after="0" w:line="240" w:lineRule="auto"/>
              <w:rPr>
                <w:rFonts w:eastAsia="Times New Roman" w:cs="Calibri"/>
                <w:b/>
                <w:bCs/>
                <w:kern w:val="0"/>
                <w:sz w:val="20"/>
                <w:szCs w:val="20"/>
                <w14:ligatures w14:val="none"/>
              </w:rPr>
            </w:pPr>
            <w:r w:rsidRPr="00F24926">
              <w:rPr>
                <w:rFonts w:eastAsia="Times New Roman" w:cs="Calibri"/>
                <w:b/>
                <w:bCs/>
                <w:kern w:val="0"/>
                <w:sz w:val="20"/>
                <w:szCs w:val="20"/>
                <w14:ligatures w14:val="none"/>
              </w:rPr>
              <w:t>Source</w:t>
            </w:r>
          </w:p>
        </w:tc>
      </w:tr>
      <w:tr w:rsidR="00B17D28" w:rsidRPr="00F24926" w14:paraId="056CE116" w14:textId="77777777" w:rsidTr="00B34980">
        <w:trPr>
          <w:tblCellSpacing w:w="15" w:type="dxa"/>
        </w:trPr>
        <w:tc>
          <w:tcPr>
            <w:tcW w:w="2655" w:type="dxa"/>
            <w:tcBorders>
              <w:top w:val="single" w:sz="4" w:space="0" w:color="auto"/>
            </w:tcBorders>
            <w:vAlign w:val="center"/>
            <w:hideMark/>
          </w:tcPr>
          <w:p w14:paraId="3F6F08A0" w14:textId="77777777" w:rsidR="00B17D28" w:rsidRPr="00F24926" w:rsidRDefault="00B17D28" w:rsidP="00B34980">
            <w:pPr>
              <w:spacing w:after="0" w:line="240" w:lineRule="auto"/>
              <w:rPr>
                <w:rFonts w:eastAsia="Times New Roman" w:cs="Calibri"/>
                <w:b/>
                <w:bCs/>
                <w:kern w:val="0"/>
                <w:sz w:val="20"/>
                <w:szCs w:val="20"/>
                <w14:ligatures w14:val="none"/>
              </w:rPr>
            </w:pPr>
            <w:r w:rsidRPr="00F24926">
              <w:rPr>
                <w:rFonts w:eastAsia="Times New Roman" w:cs="Calibri"/>
                <w:b/>
                <w:bCs/>
                <w:kern w:val="0"/>
                <w:sz w:val="20"/>
                <w:szCs w:val="20"/>
                <w14:ligatures w14:val="none"/>
              </w:rPr>
              <w:t>Responsible AI Perception (RAI)</w:t>
            </w:r>
          </w:p>
        </w:tc>
        <w:tc>
          <w:tcPr>
            <w:tcW w:w="1032" w:type="dxa"/>
            <w:tcBorders>
              <w:top w:val="single" w:sz="4" w:space="0" w:color="auto"/>
            </w:tcBorders>
            <w:vAlign w:val="center"/>
            <w:hideMark/>
          </w:tcPr>
          <w:p w14:paraId="21AAC867"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RAI1</w:t>
            </w:r>
          </w:p>
        </w:tc>
        <w:tc>
          <w:tcPr>
            <w:tcW w:w="4856" w:type="dxa"/>
            <w:tcBorders>
              <w:top w:val="single" w:sz="4" w:space="0" w:color="auto"/>
            </w:tcBorders>
            <w:vAlign w:val="center"/>
            <w:hideMark/>
          </w:tcPr>
          <w:p w14:paraId="2FD6EEEF"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AI cybersecurity systems operate in an ethical manner.</w:t>
            </w:r>
          </w:p>
        </w:tc>
        <w:tc>
          <w:tcPr>
            <w:tcW w:w="2287" w:type="dxa"/>
            <w:tcBorders>
              <w:top w:val="single" w:sz="4" w:space="0" w:color="auto"/>
            </w:tcBorders>
            <w:vAlign w:val="center"/>
          </w:tcPr>
          <w:p w14:paraId="639926A8" w14:textId="77777777" w:rsidR="00B17D28" w:rsidRPr="00F24926" w:rsidRDefault="00B17D28" w:rsidP="00B34980">
            <w:pPr>
              <w:spacing w:after="0" w:line="240" w:lineRule="auto"/>
              <w:rPr>
                <w:rFonts w:eastAsia="Times New Roman" w:cs="Calibri"/>
                <w:kern w:val="0"/>
                <w:sz w:val="20"/>
                <w:szCs w:val="20"/>
                <w14:ligatures w14:val="none"/>
              </w:rPr>
            </w:pPr>
          </w:p>
        </w:tc>
      </w:tr>
      <w:tr w:rsidR="00B17D28" w:rsidRPr="00F24926" w14:paraId="371F655B" w14:textId="77777777" w:rsidTr="00B34980">
        <w:trPr>
          <w:tblCellSpacing w:w="15" w:type="dxa"/>
        </w:trPr>
        <w:tc>
          <w:tcPr>
            <w:tcW w:w="2655" w:type="dxa"/>
            <w:vAlign w:val="center"/>
            <w:hideMark/>
          </w:tcPr>
          <w:p w14:paraId="3D03CB9B" w14:textId="77777777" w:rsidR="00B17D28" w:rsidRPr="00F24926" w:rsidRDefault="00B17D28" w:rsidP="00B34980">
            <w:pPr>
              <w:spacing w:after="0" w:line="240" w:lineRule="auto"/>
              <w:rPr>
                <w:rFonts w:eastAsia="Times New Roman" w:cs="Calibri"/>
                <w:b/>
                <w:bCs/>
                <w:kern w:val="0"/>
                <w:sz w:val="20"/>
                <w:szCs w:val="20"/>
                <w14:ligatures w14:val="none"/>
              </w:rPr>
            </w:pPr>
          </w:p>
        </w:tc>
        <w:tc>
          <w:tcPr>
            <w:tcW w:w="1032" w:type="dxa"/>
            <w:vAlign w:val="center"/>
            <w:hideMark/>
          </w:tcPr>
          <w:p w14:paraId="55A6BF24"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RAI2</w:t>
            </w:r>
          </w:p>
        </w:tc>
        <w:tc>
          <w:tcPr>
            <w:tcW w:w="4856" w:type="dxa"/>
            <w:vAlign w:val="center"/>
            <w:hideMark/>
          </w:tcPr>
          <w:p w14:paraId="78FFAD01"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These systems are transparent in how they make decisions.</w:t>
            </w:r>
          </w:p>
        </w:tc>
        <w:tc>
          <w:tcPr>
            <w:tcW w:w="2287" w:type="dxa"/>
            <w:vAlign w:val="center"/>
            <w:hideMark/>
          </w:tcPr>
          <w:p w14:paraId="039CF2E8" w14:textId="77777777" w:rsidR="00B17D28" w:rsidRPr="00F24926" w:rsidRDefault="00B17D28" w:rsidP="00B34980">
            <w:pPr>
              <w:spacing w:after="0" w:line="240" w:lineRule="auto"/>
              <w:rPr>
                <w:rFonts w:eastAsia="Times New Roman" w:cs="Calibri"/>
                <w:kern w:val="0"/>
                <w:sz w:val="20"/>
                <w:szCs w:val="20"/>
                <w14:ligatures w14:val="none"/>
              </w:rPr>
            </w:pPr>
            <w:r>
              <w:rPr>
                <w:rFonts w:eastAsia="Times New Roman" w:cs="Calibri"/>
                <w:kern w:val="0"/>
                <w:sz w:val="20"/>
                <w:szCs w:val="20"/>
                <w14:ligatures w14:val="none"/>
              </w:rPr>
              <w:fldChar w:fldCharType="begin" w:fldLock="1"/>
            </w:r>
            <w:r>
              <w:rPr>
                <w:rFonts w:eastAsia="Times New Roman" w:cs="Calibri"/>
                <w:kern w:val="0"/>
                <w:sz w:val="20"/>
                <w:szCs w:val="20"/>
                <w14:ligatures w14:val="none"/>
              </w:rPr>
              <w:instrText>ADDIN CSL_CITATION {"citationItems":[{"id":"ITEM-1","itemData":{"DOI":"10.1007/s11023-018-9482-5","ISBN":"0123456789","ISSN":"15728641","abstract":"This article reports the findings of AI4People, an Atomium—EISMD initiative designed to lay the foundations for a “Good AI Society”. We introduce the core opportunities and risks of AI for society; present a synthesis of five ethical principles that should undergird its development and adoption; and offer 20 concrete recommendations—to assess, to develop, to incentivise, and to support good AI—which in some cases may be undertaken directly by national or supranational policy makers, while in others may be led by other stakeholders. If adopted, these recommendations would serve as a firm foundation for the establishment of a Good AI Society.","author":[{"dropping-particle":"","family":"Floridi","given":"Luciano","non-dropping-particle":"","parse-names":false,"suffix":""},{"dropping-particle":"","family":"Cowls","given":"Josh","non-dropping-particle":"","parse-names":false,"suffix":""},{"dropping-particle":"","family":"Beltrametti","given":"Monica","non-dropping-particle":"","parse-names":false,"suffix":""},{"dropping-particle":"","family":"Chatila","given":"Raja","non-dropping-particle":"","parse-names":false,"suffix":""},{"dropping-particle":"","family":"Chazerand","given":"Patrice","non-dropping-particle":"","parse-names":false,"suffix":""},{"dropping-particle":"","family":"Dignum","given":"Virginia","non-dropping-particle":"","parse-names":false,"suffix":""},{"dropping-particle":"","family":"Luetge","given":"Christoph","non-dropping-particle":"","parse-names":false,"suffix":""},{"dropping-particle":"","family":"Madelin","given":"Robert","non-dropping-particle":"","parse-names":false,"suffix":""},{"dropping-particle":"","family":"Pagallo","given":"Ugo","non-dropping-particle":"","parse-names":false,"suffix":""},{"dropping-particle":"","family":"Rossi","given":"Francesca","non-dropping-particle":"","parse-names":false,"suffix":""},{"dropping-particle":"","family":"Schafer","given":"Burkhard","non-dropping-particle":"","parse-names":false,"suffix":""},{"dropping-particle":"","family":"Valcke","given":"Peggy","non-dropping-particle":"","parse-names":false,"suffix":""},{"dropping-particle":"","family":"Vayena","given":"Effy","non-dropping-particle":"","parse-names":false,"suffix":""}],"container-title":"Minds and Machines","id":"ITEM-1","issue":"4","issued":{"date-parts":[["2018"]]},"page":"689-707","publisher":"Springer Netherlands","title":"AI4People—An Ethical Framework for a Good AI Society: Opportunities, Risks, Principles, and Recommendations","type":"article-journal","volume":"28"},"uris":["http://www.mendeley.com/documents/?uuid=95f37ee1-5d5d-4341-b357-27b9f37eaf3d"]},{"id":"ITEM-2","itemData":{"DOI":"10.1016/j.jik.2025.100813","ISSN":"2444569X","abstract":"Artificial Intelligence (AI) increasingly influences daily life, yet a comprehensive understanding of responsible AI usage, particularly from legal, ethical, and practical perspectives, remains limited. This quantitative study, conducted in Lebanon and grounded in the Unified Theory of Acceptance and Use of Technology (UTAUT), employs Structural Equation Modeling (SEM) to examine responsible AI usage. Findings reveal that Responsible AI practices significantly influence technology adoption, demonstrating positive correlations between model variables and users’ behavioral intentions. The study offers both theoretical and practical implications: theoretically, it extends the UTAUT model by integrating the Responsible AI construct, contributing insights into user behavior in emerging markets; practically, it highlights how Responsible AI shapes user engagement. The paper concludes with recommendations for Lebanese organizations to promote ethical AI practices and implement guidelines encouraging responsible adoption.","author":[{"dropping-particle":"","family":"Chedrawi","given":"Charbel","non-dropping-particle":"","parse-names":false,"suffix":""},{"dropping-particle":"","family":"Haddad","given":"Gloria","non-dropping-particle":"","parse-names":false,"suffix":""},{"dropping-particle":"","family":"Tarhini","given":"Abbas","non-dropping-particle":"","parse-names":false,"suffix":""},{"dropping-particle":"","family":"Osta","given":"Souheir","non-dropping-particle":"","parse-names":false,"suffix":""},{"dropping-particle":"","family":"Kazoun","given":"Nahil","non-dropping-particle":"","parse-names":false,"suffix":""}],"container-title":"Journal of Innovation and Knowledge","id":"ITEM-2","issue":"6","issued":{"date-parts":[["2025"]]},"page":"100813","publisher":"Elsevier B.V.","title":"Exploring the impact of responsible AI usage on users’ behavioral intentions","type":"article-journal","volume":"10"},"uris":["http://www.mendeley.com/documents/?uuid=d162e6f6-47bd-46b4-8782-4f67d1a55f02"]},{"id":"ITEM-3","itemData":{"DOI":"10.1108/JICES-06-2024-0072","ISSN":"17588871","abstract":"Purpose: The introduction of artificial intelligence (AI) applications in the Global South brings tremendous potential for both good and harm. This paper aims to highlight the guiding ethical principles and normative frameworks for the ethical use of AI in the lens of the traditional Ga (a tribe in Ghana) philosophy and add to the academic literature and research on AI and ethics within the African context. Design/methodology/approach: Literature overview on the African philosophy of Ga tradition as applied to AI and application of it to the AI4people ethical framework for a good AI society. Findings: Existing principles in AI are based on and mostly influenced by western principles, which may give rise to biases in AI outcomes and design implications in Africa. The research finds a high degree of overlap in the AI4People ethical framework for a good AI society and the Ga philosophy. Research limitations/implications: There are a few existing literatures on AI ethics in Africa and on Ga philosophy. Originality/value: This research offers valuable contribution to the ongoing discourse of Africa’s adoption of AI and widens the debate on AI and ethics beyond the western ethical approaches.","author":[{"dropping-particle":"","family":"Ammah","given":"Laud Nii Attoh","non-dropping-particle":"","parse-names":false,"suffix":""},{"dropping-particle":"","family":"Lütge","given":"Christoph","non-dropping-particle":"","parse-names":false,"suffix":""},{"dropping-particle":"","family":"Kriebitz","given":"Alexander","non-dropping-particle":"","parse-names":false,"suffix":""},{"dropping-particle":"","family":"Ramkissoon","given":"Lavina","non-dropping-particle":"","parse-names":false,"suffix":""}],"container-title":"Journal of Information, Communication and Ethics in Society","id":"ITEM-3","issue":"4","issued":{"date-parts":[["2024"]]},"page":"453-465","title":"AI4people − an ethical framework for a good AI society: the Ghana (Ga) perspective","type":"article-journal","volume":"22"},"uris":["http://www.mendeley.com/documents/?uuid=674d9946-5d84-42c2-91da-50ac13fcac4e"]},{"id":"ITEM-4","itemData":{"DOI":"10.1016/j.ijhcs.2020.102551","ISSN":"10959300","abstract":"Artificial intelligence and algorithmic decision-making processes are increasingly criticized for their black-box nature. Explainable AI approaches to trace human-interpretable decision processes from algorithms have been explored. Yet, little is known about algorithmic explainability from a human factors’ perspective. From the perspective of user interpretability and understandability, this study examines the effect of explainability in AI on user trust and attitudes toward AI. It conceptualizes causability as an antecedent of explainability and as a key cue of an algorithm and examines them in relation to trust by testing how they affect user perceived performance of AI-driven services. The results show the dual roles of causability and explainability in terms of its underlying links to trust and subsequent user behaviors. Explanations of why certain news articles are recommended generate users trust whereas causability of to what extent they can understand the explanations affords users emotional confidence. Causability lends the justification for what and how should be explained as it determines the relative importance of the properties of explainability. The results have implications for the inclusion of causability and explanatory cues in AI systems, which help to increase trust and help users to assess the quality of explanations. Causable explainable AI will help people understand the decision-making process of AI algorithms by bringing transparency and accountability into AI systems.","author":[{"dropping-particle":"","family":"Shin","given":"Donghee","non-dropping-particle":"","parse-names":false,"suffix":""}],"container-title":"International Journal of Human Computer Studies","id":"ITEM-4","issued":{"date-parts":[["2021"]]},"page":"102551","title":"The effects of explainability and causability on perception, trust, and acceptance: Implications for explainable AI","type":"article-journal","volume":"146"},"uris":["http://www.mendeley.com/documents/?uuid=3406e4f2-9557-44cc-965c-3e1fed7b9ac8"]}],"mendeley":{"formattedCitation":"(Ammah et al., 2024; Chedrawi et al., 2025; Floridi et al., 2018; Shin, 2021)","plainTextFormattedCitation":"(Ammah et al., 2024; Chedrawi et al., 2025; Floridi et al., 2018; Shin, 2021)","previouslyFormattedCitation":"(Ammah et al., 2024; Chedrawi et al., 2025; Floridi et al., 2018; Shin, 2021)"},"properties":{"noteIndex":0},"schema":"https://github.com/citation-style-language/schema/raw/master/csl-citation.json"}</w:instrText>
            </w:r>
            <w:r>
              <w:rPr>
                <w:rFonts w:eastAsia="Times New Roman" w:cs="Calibri"/>
                <w:kern w:val="0"/>
                <w:sz w:val="20"/>
                <w:szCs w:val="20"/>
                <w14:ligatures w14:val="none"/>
              </w:rPr>
              <w:fldChar w:fldCharType="separate"/>
            </w:r>
            <w:r w:rsidRPr="00EA212C">
              <w:rPr>
                <w:rFonts w:eastAsia="Times New Roman" w:cs="Calibri"/>
                <w:noProof/>
                <w:kern w:val="0"/>
                <w:sz w:val="20"/>
                <w:szCs w:val="20"/>
                <w14:ligatures w14:val="none"/>
              </w:rPr>
              <w:t>(Ammah et al., 2024; Chedrawi et al., 2025; Floridi et al., 2018; Shin, 2021)</w:t>
            </w:r>
            <w:r>
              <w:rPr>
                <w:rFonts w:eastAsia="Times New Roman" w:cs="Calibri"/>
                <w:kern w:val="0"/>
                <w:sz w:val="20"/>
                <w:szCs w:val="20"/>
                <w14:ligatures w14:val="none"/>
              </w:rPr>
              <w:fldChar w:fldCharType="end"/>
            </w:r>
          </w:p>
        </w:tc>
      </w:tr>
      <w:tr w:rsidR="00B17D28" w:rsidRPr="00F24926" w14:paraId="383C791E" w14:textId="77777777" w:rsidTr="00B34980">
        <w:trPr>
          <w:tblCellSpacing w:w="15" w:type="dxa"/>
        </w:trPr>
        <w:tc>
          <w:tcPr>
            <w:tcW w:w="2655" w:type="dxa"/>
            <w:vAlign w:val="center"/>
            <w:hideMark/>
          </w:tcPr>
          <w:p w14:paraId="4A801AF1" w14:textId="77777777" w:rsidR="00B17D28" w:rsidRPr="00F24926" w:rsidRDefault="00B17D28" w:rsidP="00B34980">
            <w:pPr>
              <w:spacing w:after="0" w:line="240" w:lineRule="auto"/>
              <w:rPr>
                <w:rFonts w:eastAsia="Times New Roman" w:cs="Calibri"/>
                <w:b/>
                <w:bCs/>
                <w:kern w:val="0"/>
                <w:sz w:val="20"/>
                <w:szCs w:val="20"/>
                <w14:ligatures w14:val="none"/>
              </w:rPr>
            </w:pPr>
          </w:p>
        </w:tc>
        <w:tc>
          <w:tcPr>
            <w:tcW w:w="1032" w:type="dxa"/>
            <w:vAlign w:val="center"/>
            <w:hideMark/>
          </w:tcPr>
          <w:p w14:paraId="2F9662F3"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RAI3</w:t>
            </w:r>
          </w:p>
        </w:tc>
        <w:tc>
          <w:tcPr>
            <w:tcW w:w="4856" w:type="dxa"/>
            <w:vAlign w:val="center"/>
            <w:hideMark/>
          </w:tcPr>
          <w:p w14:paraId="375EBE1F"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AI tools respect user privacy and data protection.</w:t>
            </w:r>
          </w:p>
        </w:tc>
        <w:tc>
          <w:tcPr>
            <w:tcW w:w="2287" w:type="dxa"/>
            <w:vAlign w:val="center"/>
            <w:hideMark/>
          </w:tcPr>
          <w:p w14:paraId="48B08DCB" w14:textId="77777777" w:rsidR="00B17D28" w:rsidRPr="00F24926" w:rsidRDefault="00B17D28" w:rsidP="00B34980">
            <w:pPr>
              <w:spacing w:after="0" w:line="240" w:lineRule="auto"/>
              <w:rPr>
                <w:rFonts w:eastAsia="Times New Roman" w:cs="Calibri"/>
                <w:kern w:val="0"/>
                <w:sz w:val="20"/>
                <w:szCs w:val="20"/>
                <w14:ligatures w14:val="none"/>
              </w:rPr>
            </w:pPr>
          </w:p>
        </w:tc>
      </w:tr>
      <w:tr w:rsidR="00B17D28" w:rsidRPr="00F24926" w14:paraId="5890B1FF" w14:textId="77777777" w:rsidTr="00B34980">
        <w:trPr>
          <w:tblCellSpacing w:w="15" w:type="dxa"/>
        </w:trPr>
        <w:tc>
          <w:tcPr>
            <w:tcW w:w="2655" w:type="dxa"/>
            <w:vAlign w:val="center"/>
            <w:hideMark/>
          </w:tcPr>
          <w:p w14:paraId="02FF3B9C" w14:textId="77777777" w:rsidR="00B17D28" w:rsidRPr="00F24926" w:rsidRDefault="00B17D28" w:rsidP="00B34980">
            <w:pPr>
              <w:spacing w:after="0" w:line="240" w:lineRule="auto"/>
              <w:rPr>
                <w:rFonts w:eastAsia="Times New Roman" w:cs="Calibri"/>
                <w:b/>
                <w:bCs/>
                <w:kern w:val="0"/>
                <w:sz w:val="20"/>
                <w:szCs w:val="20"/>
                <w14:ligatures w14:val="none"/>
              </w:rPr>
            </w:pPr>
          </w:p>
        </w:tc>
        <w:tc>
          <w:tcPr>
            <w:tcW w:w="1032" w:type="dxa"/>
            <w:vAlign w:val="center"/>
            <w:hideMark/>
          </w:tcPr>
          <w:p w14:paraId="149E7CA2"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RAI4</w:t>
            </w:r>
          </w:p>
        </w:tc>
        <w:tc>
          <w:tcPr>
            <w:tcW w:w="4856" w:type="dxa"/>
            <w:vAlign w:val="center"/>
            <w:hideMark/>
          </w:tcPr>
          <w:p w14:paraId="1F2005BC"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AI systems avoid bias and discrimination.</w:t>
            </w:r>
          </w:p>
        </w:tc>
        <w:tc>
          <w:tcPr>
            <w:tcW w:w="2287" w:type="dxa"/>
            <w:vAlign w:val="center"/>
            <w:hideMark/>
          </w:tcPr>
          <w:p w14:paraId="2A88AE3A" w14:textId="77777777" w:rsidR="00B17D28" w:rsidRPr="00F24926" w:rsidRDefault="00B17D28" w:rsidP="00B34980">
            <w:pPr>
              <w:spacing w:after="0" w:line="240" w:lineRule="auto"/>
              <w:rPr>
                <w:rFonts w:eastAsia="Times New Roman" w:cs="Calibri"/>
                <w:kern w:val="0"/>
                <w:sz w:val="20"/>
                <w:szCs w:val="20"/>
                <w14:ligatures w14:val="none"/>
              </w:rPr>
            </w:pPr>
          </w:p>
        </w:tc>
      </w:tr>
      <w:tr w:rsidR="00B17D28" w:rsidRPr="00F24926" w14:paraId="28E9B42A" w14:textId="77777777" w:rsidTr="00B34980">
        <w:trPr>
          <w:tblCellSpacing w:w="15" w:type="dxa"/>
        </w:trPr>
        <w:tc>
          <w:tcPr>
            <w:tcW w:w="2655" w:type="dxa"/>
            <w:vAlign w:val="center"/>
            <w:hideMark/>
          </w:tcPr>
          <w:p w14:paraId="4209760D" w14:textId="77777777" w:rsidR="00B17D28" w:rsidRPr="00F24926" w:rsidRDefault="00B17D28" w:rsidP="00B34980">
            <w:pPr>
              <w:spacing w:after="0" w:line="240" w:lineRule="auto"/>
              <w:rPr>
                <w:rFonts w:eastAsia="Times New Roman" w:cs="Calibri"/>
                <w:b/>
                <w:bCs/>
                <w:kern w:val="0"/>
                <w:sz w:val="20"/>
                <w:szCs w:val="20"/>
                <w14:ligatures w14:val="none"/>
              </w:rPr>
            </w:pPr>
          </w:p>
        </w:tc>
        <w:tc>
          <w:tcPr>
            <w:tcW w:w="1032" w:type="dxa"/>
            <w:vAlign w:val="center"/>
            <w:hideMark/>
          </w:tcPr>
          <w:p w14:paraId="0002B894"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RAI5</w:t>
            </w:r>
          </w:p>
        </w:tc>
        <w:tc>
          <w:tcPr>
            <w:tcW w:w="4856" w:type="dxa"/>
            <w:vAlign w:val="center"/>
            <w:hideMark/>
          </w:tcPr>
          <w:p w14:paraId="036FAFCE"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Organizations ensure accountability in AI systems.</w:t>
            </w:r>
          </w:p>
        </w:tc>
        <w:tc>
          <w:tcPr>
            <w:tcW w:w="2287" w:type="dxa"/>
            <w:vAlign w:val="center"/>
            <w:hideMark/>
          </w:tcPr>
          <w:p w14:paraId="6EB8217D" w14:textId="77777777" w:rsidR="00B17D28" w:rsidRPr="00F24926" w:rsidRDefault="00B17D28" w:rsidP="00B34980">
            <w:pPr>
              <w:spacing w:after="0" w:line="240" w:lineRule="auto"/>
              <w:rPr>
                <w:rFonts w:eastAsia="Times New Roman" w:cs="Calibri"/>
                <w:kern w:val="0"/>
                <w:sz w:val="20"/>
                <w:szCs w:val="20"/>
                <w14:ligatures w14:val="none"/>
              </w:rPr>
            </w:pPr>
          </w:p>
        </w:tc>
      </w:tr>
      <w:tr w:rsidR="00B17D28" w:rsidRPr="00F24926" w14:paraId="341A2262" w14:textId="77777777" w:rsidTr="00B34980">
        <w:trPr>
          <w:tblCellSpacing w:w="15" w:type="dxa"/>
        </w:trPr>
        <w:tc>
          <w:tcPr>
            <w:tcW w:w="2655" w:type="dxa"/>
            <w:vAlign w:val="center"/>
            <w:hideMark/>
          </w:tcPr>
          <w:p w14:paraId="28B18474" w14:textId="77777777" w:rsidR="00B17D28" w:rsidRPr="00F24926" w:rsidRDefault="00B17D28" w:rsidP="00B34980">
            <w:pPr>
              <w:spacing w:after="0" w:line="240" w:lineRule="auto"/>
              <w:rPr>
                <w:rFonts w:eastAsia="Times New Roman" w:cs="Calibri"/>
                <w:b/>
                <w:bCs/>
                <w:kern w:val="0"/>
                <w:sz w:val="20"/>
                <w:szCs w:val="20"/>
                <w14:ligatures w14:val="none"/>
              </w:rPr>
            </w:pPr>
          </w:p>
        </w:tc>
        <w:tc>
          <w:tcPr>
            <w:tcW w:w="1032" w:type="dxa"/>
            <w:vAlign w:val="center"/>
            <w:hideMark/>
          </w:tcPr>
          <w:p w14:paraId="3D331DC6"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RAI6</w:t>
            </w:r>
          </w:p>
        </w:tc>
        <w:tc>
          <w:tcPr>
            <w:tcW w:w="4856" w:type="dxa"/>
            <w:vAlign w:val="center"/>
            <w:hideMark/>
          </w:tcPr>
          <w:p w14:paraId="6D0A0147"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AI cybersecurity systems are developed responsibly.</w:t>
            </w:r>
          </w:p>
        </w:tc>
        <w:tc>
          <w:tcPr>
            <w:tcW w:w="2287" w:type="dxa"/>
            <w:vAlign w:val="center"/>
            <w:hideMark/>
          </w:tcPr>
          <w:p w14:paraId="33E00485" w14:textId="77777777" w:rsidR="00B17D28" w:rsidRPr="00F24926" w:rsidRDefault="00B17D28" w:rsidP="00B34980">
            <w:pPr>
              <w:spacing w:after="0" w:line="240" w:lineRule="auto"/>
              <w:rPr>
                <w:rFonts w:eastAsia="Times New Roman" w:cs="Calibri"/>
                <w:kern w:val="0"/>
                <w:sz w:val="20"/>
                <w:szCs w:val="20"/>
                <w14:ligatures w14:val="none"/>
              </w:rPr>
            </w:pPr>
          </w:p>
        </w:tc>
      </w:tr>
      <w:tr w:rsidR="00B17D28" w:rsidRPr="00F24926" w14:paraId="1F991E39" w14:textId="77777777" w:rsidTr="00B34980">
        <w:trPr>
          <w:trHeight w:val="366"/>
          <w:tblCellSpacing w:w="15" w:type="dxa"/>
        </w:trPr>
        <w:tc>
          <w:tcPr>
            <w:tcW w:w="2655" w:type="dxa"/>
            <w:vAlign w:val="center"/>
            <w:hideMark/>
          </w:tcPr>
          <w:p w14:paraId="69A5C8B0" w14:textId="77777777" w:rsidR="00B17D28" w:rsidRPr="00F24926" w:rsidRDefault="00B17D28" w:rsidP="00B34980">
            <w:pPr>
              <w:spacing w:after="0" w:line="240" w:lineRule="auto"/>
              <w:rPr>
                <w:rFonts w:eastAsia="Times New Roman" w:cs="Calibri"/>
                <w:b/>
                <w:bCs/>
                <w:kern w:val="0"/>
                <w:sz w:val="20"/>
                <w:szCs w:val="20"/>
                <w14:ligatures w14:val="none"/>
              </w:rPr>
            </w:pPr>
            <w:r w:rsidRPr="00073B5D">
              <w:rPr>
                <w:rFonts w:eastAsia="Times New Roman" w:cs="Calibri"/>
                <w:b/>
                <w:bCs/>
                <w:kern w:val="0"/>
                <w:sz w:val="20"/>
                <w:szCs w:val="20"/>
                <w14:ligatures w14:val="none"/>
              </w:rPr>
              <w:t>AI-Driven Cybersecurity Awareness</w:t>
            </w:r>
          </w:p>
        </w:tc>
        <w:tc>
          <w:tcPr>
            <w:tcW w:w="1032" w:type="dxa"/>
            <w:vAlign w:val="center"/>
          </w:tcPr>
          <w:p w14:paraId="181105E5" w14:textId="77777777" w:rsidR="00B17D28" w:rsidRPr="00F24926" w:rsidRDefault="00B17D28" w:rsidP="00B34980">
            <w:pPr>
              <w:spacing w:after="0" w:line="240" w:lineRule="auto"/>
              <w:rPr>
                <w:rFonts w:eastAsia="Times New Roman" w:cs="Calibri"/>
                <w:kern w:val="0"/>
                <w:sz w:val="20"/>
                <w:szCs w:val="20"/>
                <w14:ligatures w14:val="none"/>
              </w:rPr>
            </w:pPr>
            <w:r w:rsidRPr="00073B5D">
              <w:rPr>
                <w:rFonts w:eastAsia="Times New Roman" w:cs="Calibri"/>
                <w:kern w:val="0"/>
                <w:sz w:val="20"/>
                <w:szCs w:val="20"/>
                <w14:ligatures w14:val="none"/>
              </w:rPr>
              <w:t>AICA1</w:t>
            </w:r>
          </w:p>
        </w:tc>
        <w:tc>
          <w:tcPr>
            <w:tcW w:w="4856" w:type="dxa"/>
            <w:vAlign w:val="center"/>
          </w:tcPr>
          <w:p w14:paraId="601BE2A1" w14:textId="77777777" w:rsidR="00B17D28" w:rsidRPr="00F24926" w:rsidRDefault="00B17D28" w:rsidP="00B34980">
            <w:pPr>
              <w:spacing w:after="0" w:line="240" w:lineRule="auto"/>
              <w:rPr>
                <w:rFonts w:eastAsia="Times New Roman" w:cs="Calibri"/>
                <w:kern w:val="0"/>
                <w:sz w:val="20"/>
                <w:szCs w:val="20"/>
                <w14:ligatures w14:val="none"/>
              </w:rPr>
            </w:pPr>
            <w:r w:rsidRPr="00073B5D">
              <w:rPr>
                <w:rFonts w:eastAsia="Times New Roman" w:cs="Calibri"/>
                <w:kern w:val="0"/>
                <w:sz w:val="20"/>
                <w:szCs w:val="20"/>
                <w14:ligatures w14:val="none"/>
              </w:rPr>
              <w:t>I understand how AI-based cybersecurity systems work.</w:t>
            </w:r>
          </w:p>
        </w:tc>
        <w:tc>
          <w:tcPr>
            <w:tcW w:w="2287" w:type="dxa"/>
            <w:vAlign w:val="center"/>
            <w:hideMark/>
          </w:tcPr>
          <w:p w14:paraId="28D21C6C" w14:textId="77777777" w:rsidR="00B17D28" w:rsidRPr="00F24926" w:rsidRDefault="00B17D28" w:rsidP="00B34980">
            <w:pPr>
              <w:spacing w:after="0" w:line="240" w:lineRule="auto"/>
              <w:rPr>
                <w:rFonts w:eastAsia="Times New Roman" w:cs="Calibri"/>
                <w:kern w:val="0"/>
                <w:sz w:val="20"/>
                <w:szCs w:val="20"/>
                <w14:ligatures w14:val="none"/>
              </w:rPr>
            </w:pPr>
            <w:r>
              <w:rPr>
                <w:rFonts w:eastAsia="Times New Roman" w:cs="Calibri"/>
                <w:kern w:val="0"/>
                <w:sz w:val="20"/>
                <w:szCs w:val="20"/>
                <w14:ligatures w14:val="none"/>
              </w:rPr>
              <w:fldChar w:fldCharType="begin" w:fldLock="1"/>
            </w:r>
            <w:r>
              <w:rPr>
                <w:rFonts w:eastAsia="Times New Roman" w:cs="Calibri"/>
                <w:kern w:val="0"/>
                <w:sz w:val="20"/>
                <w:szCs w:val="20"/>
                <w14:ligatures w14:val="none"/>
              </w:rPr>
              <w:instrText>ADDIN CSL_CITATION {"citationItems":[{"id":"ITEM-1","itemData":{"DOI":"https://doi.org/10.1016/j.cose.2017.01.004","ISSN":"0167-4048","abstract":"Information security awareness (ISA) is integral to protecting an organisation from cyber threats. The aim of this paper is to further establish the validity of the Human Aspects of Information Security Questionnaire (HAIS-Q), as an effective instrument for measuring ISA. We present two studies to further establish the construct validity of this instrument. In Study 1, 112 university students completed the HAIS-Q and also took part in an empirical lab-based phishing experiment. Results indicated that participants who scored more highly on the HAIS-Q had better performance in the phishing experiment. This means the HAIS-Q can predict an aspect of information security behaviour, and provides evidence for its convergent validity. In Study 2, the HAIS-Q was administered to a larger and more representative population of 505 working Australians to further establish the construct validity of the instrument. The results of a factor analysis and other statistical techniques provide evidence for the validity of the HAIS-Q as a robust measure of ISA. We also describe the practical implications of the HAIS-Q, particularly how it could be used by information security practitioners.","author":[{"dropping-particle":"","family":"Parsons","given":"Kathryn","non-dropping-particle":"","parse-names":false,"suffix":""},{"dropping-particle":"","family":"Calic","given":"Dragana","non-dropping-particle":"","parse-names":false,"suffix":""},{"dropping-particle":"","family":"Pattinson","given":"Malcolm","non-dropping-particle":"","parse-names":false,"suffix":""},{"dropping-particle":"","family":"Butavicius","given":"Marcus","non-dropping-particle":"","parse-names":false,"suffix":""},{"dropping-particle":"","family":"McCormac","given":"Agata","non-dropping-particle":"","parse-names":false,"suffix":""},{"dropping-particle":"","family":"Zwaans","given":"Tara","non-dropping-particle":"","parse-names":false,"suffix":""}],"container-title":"Computers &amp; Security","id":"ITEM-1","issued":{"date-parts":[["2017"]]},"page":"40-51","title":"The Human Aspects of Information Security Questionnaire (HAIS-Q): Two further validation studies","type":"article-journal","volume":"66"},"uris":["http://www.mendeley.com/documents/?uuid=1b2caa3b-738e-46f7-8b22-5d65cbed1bdc"]},{"id":"ITEM-2","itemData":{"ISBN":"1868546365","abstract":"ICT resources are important assets of any organization and the protection of these resources are equally important. To be able to protect themselves and their profitability, many organizations have established information security awareness programs. In order for a security awareness program to add value to an organization and at the same time make a contribution to the field of information security it is necessary to have a set of methods to study and measure its effect. This paper gives an overview of a suggested framework for evaluating ICT security awareness. Following a brief description of the framework, a more detailed overview on the identification of areas to be evaluated, using a value focused assessment, will be presented. Comments on possible system generated information, that may be used to assist with the evaluation of security behavior of users, will also be presented.","author":[{"dropping-particle":"","family":"Kruger","given":"H.","non-dropping-particle":"","parse-names":false,"suffix":""},{"dropping-particle":"","family":"Drevin","given":"L.","non-dropping-particle":"","parse-names":false,"suffix":""},{"dropping-particle":"","family":"Steyn","given":"T.","non-dropping-particle":"","parse-names":false,"suffix":""}],"container-title":"Issa","id":"ITEM-2","issued":{"date-parts":[["2006"]]},"page":"1-11","title":"A framework for evaluating ICT security awareness","type":"article-journal"},"uris":["http://www.mendeley.com/documents/?uuid=7a989621-ae39-44ae-9d32-10a60a2a634d"]}],"mendeley":{"formattedCitation":"(Kruger et al., 2006; Parsons et al., 2017)","plainTextFormattedCitation":"(Kruger et al., 2006; Parsons et al., 2017)","previouslyFormattedCitation":"(Kruger et al., 2006; Parsons et al., 2017)"},"properties":{"noteIndex":0},"schema":"https://github.com/citation-style-language/schema/raw/master/csl-citation.json"}</w:instrText>
            </w:r>
            <w:r>
              <w:rPr>
                <w:rFonts w:eastAsia="Times New Roman" w:cs="Calibri"/>
                <w:kern w:val="0"/>
                <w:sz w:val="20"/>
                <w:szCs w:val="20"/>
                <w14:ligatures w14:val="none"/>
              </w:rPr>
              <w:fldChar w:fldCharType="separate"/>
            </w:r>
            <w:r w:rsidRPr="00A04558">
              <w:rPr>
                <w:rFonts w:eastAsia="Times New Roman" w:cs="Calibri"/>
                <w:noProof/>
                <w:kern w:val="0"/>
                <w:sz w:val="20"/>
                <w:szCs w:val="20"/>
                <w14:ligatures w14:val="none"/>
              </w:rPr>
              <w:t>(Kruger et al., 2006; Parsons et al., 2017)</w:t>
            </w:r>
            <w:r>
              <w:rPr>
                <w:rFonts w:eastAsia="Times New Roman" w:cs="Calibri"/>
                <w:kern w:val="0"/>
                <w:sz w:val="20"/>
                <w:szCs w:val="20"/>
                <w14:ligatures w14:val="none"/>
              </w:rPr>
              <w:fldChar w:fldCharType="end"/>
            </w:r>
          </w:p>
        </w:tc>
      </w:tr>
      <w:tr w:rsidR="00B17D28" w:rsidRPr="00F24926" w14:paraId="45405521" w14:textId="77777777" w:rsidTr="00B34980">
        <w:trPr>
          <w:tblCellSpacing w:w="15" w:type="dxa"/>
        </w:trPr>
        <w:tc>
          <w:tcPr>
            <w:tcW w:w="2655" w:type="dxa"/>
            <w:vAlign w:val="center"/>
            <w:hideMark/>
          </w:tcPr>
          <w:p w14:paraId="50293305" w14:textId="77777777" w:rsidR="00B17D28" w:rsidRPr="00F24926" w:rsidRDefault="00B17D28" w:rsidP="00B34980">
            <w:pPr>
              <w:spacing w:after="0" w:line="240" w:lineRule="auto"/>
              <w:rPr>
                <w:rFonts w:eastAsia="Times New Roman" w:cs="Calibri"/>
                <w:b/>
                <w:bCs/>
                <w:kern w:val="0"/>
                <w:sz w:val="20"/>
                <w:szCs w:val="20"/>
                <w14:ligatures w14:val="none"/>
              </w:rPr>
            </w:pPr>
          </w:p>
        </w:tc>
        <w:tc>
          <w:tcPr>
            <w:tcW w:w="1032" w:type="dxa"/>
            <w:vAlign w:val="center"/>
          </w:tcPr>
          <w:p w14:paraId="57971723" w14:textId="77777777" w:rsidR="00B17D28" w:rsidRPr="00F24926" w:rsidRDefault="00B17D28" w:rsidP="00B34980">
            <w:pPr>
              <w:spacing w:after="0" w:line="240" w:lineRule="auto"/>
              <w:rPr>
                <w:rFonts w:eastAsia="Times New Roman" w:cs="Calibri"/>
                <w:kern w:val="0"/>
                <w:sz w:val="20"/>
                <w:szCs w:val="20"/>
                <w14:ligatures w14:val="none"/>
              </w:rPr>
            </w:pPr>
            <w:r w:rsidRPr="00073B5D">
              <w:rPr>
                <w:rFonts w:eastAsia="Times New Roman" w:cs="Calibri"/>
                <w:kern w:val="0"/>
                <w:sz w:val="20"/>
                <w:szCs w:val="20"/>
                <w14:ligatures w14:val="none"/>
              </w:rPr>
              <w:t>AICA2</w:t>
            </w:r>
          </w:p>
        </w:tc>
        <w:tc>
          <w:tcPr>
            <w:tcW w:w="4856" w:type="dxa"/>
            <w:vAlign w:val="center"/>
          </w:tcPr>
          <w:p w14:paraId="5A5F8F20" w14:textId="77777777" w:rsidR="00B17D28" w:rsidRPr="00F24926" w:rsidRDefault="00B17D28" w:rsidP="00B34980">
            <w:pPr>
              <w:spacing w:after="0" w:line="240" w:lineRule="auto"/>
              <w:rPr>
                <w:rFonts w:eastAsia="Times New Roman" w:cs="Calibri"/>
                <w:kern w:val="0"/>
                <w:sz w:val="20"/>
                <w:szCs w:val="20"/>
                <w14:ligatures w14:val="none"/>
              </w:rPr>
            </w:pPr>
            <w:r w:rsidRPr="00073B5D">
              <w:rPr>
                <w:rFonts w:eastAsia="Times New Roman" w:cs="Calibri"/>
                <w:kern w:val="0"/>
                <w:sz w:val="20"/>
                <w:szCs w:val="20"/>
                <w14:ligatures w14:val="none"/>
              </w:rPr>
              <w:t>I know how AI improves cybersecurity threat detection.</w:t>
            </w:r>
          </w:p>
        </w:tc>
        <w:tc>
          <w:tcPr>
            <w:tcW w:w="2287" w:type="dxa"/>
            <w:vAlign w:val="center"/>
            <w:hideMark/>
          </w:tcPr>
          <w:p w14:paraId="1F02B0AB" w14:textId="77777777" w:rsidR="00B17D28" w:rsidRPr="00F24926" w:rsidRDefault="00B17D28" w:rsidP="00B34980">
            <w:pPr>
              <w:spacing w:after="0" w:line="240" w:lineRule="auto"/>
              <w:rPr>
                <w:rFonts w:eastAsia="Times New Roman" w:cs="Calibri"/>
                <w:kern w:val="0"/>
                <w:sz w:val="20"/>
                <w:szCs w:val="20"/>
                <w14:ligatures w14:val="none"/>
              </w:rPr>
            </w:pPr>
          </w:p>
        </w:tc>
      </w:tr>
      <w:tr w:rsidR="00B17D28" w:rsidRPr="00F24926" w14:paraId="23F60DC2" w14:textId="77777777" w:rsidTr="00B34980">
        <w:trPr>
          <w:tblCellSpacing w:w="15" w:type="dxa"/>
        </w:trPr>
        <w:tc>
          <w:tcPr>
            <w:tcW w:w="2655" w:type="dxa"/>
            <w:vAlign w:val="center"/>
            <w:hideMark/>
          </w:tcPr>
          <w:p w14:paraId="500EB7FE" w14:textId="77777777" w:rsidR="00B17D28" w:rsidRPr="00F24926" w:rsidRDefault="00B17D28" w:rsidP="00B34980">
            <w:pPr>
              <w:spacing w:after="0" w:line="240" w:lineRule="auto"/>
              <w:rPr>
                <w:rFonts w:eastAsia="Times New Roman" w:cs="Calibri"/>
                <w:b/>
                <w:bCs/>
                <w:kern w:val="0"/>
                <w:sz w:val="20"/>
                <w:szCs w:val="20"/>
                <w14:ligatures w14:val="none"/>
              </w:rPr>
            </w:pPr>
          </w:p>
        </w:tc>
        <w:tc>
          <w:tcPr>
            <w:tcW w:w="1032" w:type="dxa"/>
            <w:vAlign w:val="center"/>
          </w:tcPr>
          <w:p w14:paraId="5FB55F6B" w14:textId="77777777" w:rsidR="00B17D28" w:rsidRPr="00F24926" w:rsidRDefault="00B17D28" w:rsidP="00B34980">
            <w:pPr>
              <w:spacing w:after="0" w:line="240" w:lineRule="auto"/>
              <w:rPr>
                <w:rFonts w:eastAsia="Times New Roman" w:cs="Calibri"/>
                <w:kern w:val="0"/>
                <w:sz w:val="20"/>
                <w:szCs w:val="20"/>
                <w14:ligatures w14:val="none"/>
              </w:rPr>
            </w:pPr>
            <w:r w:rsidRPr="00073B5D">
              <w:rPr>
                <w:rFonts w:eastAsia="Times New Roman" w:cs="Calibri"/>
                <w:kern w:val="0"/>
                <w:sz w:val="20"/>
                <w:szCs w:val="20"/>
                <w14:ligatures w14:val="none"/>
              </w:rPr>
              <w:t>AICA3</w:t>
            </w:r>
          </w:p>
        </w:tc>
        <w:tc>
          <w:tcPr>
            <w:tcW w:w="4856" w:type="dxa"/>
            <w:vAlign w:val="center"/>
          </w:tcPr>
          <w:p w14:paraId="4C1A6509" w14:textId="77777777" w:rsidR="00B17D28" w:rsidRPr="00F24926" w:rsidRDefault="00B17D28" w:rsidP="00B34980">
            <w:pPr>
              <w:spacing w:after="0" w:line="240" w:lineRule="auto"/>
              <w:rPr>
                <w:rFonts w:eastAsia="Times New Roman" w:cs="Calibri"/>
                <w:kern w:val="0"/>
                <w:sz w:val="20"/>
                <w:szCs w:val="20"/>
                <w14:ligatures w14:val="none"/>
              </w:rPr>
            </w:pPr>
            <w:r w:rsidRPr="00073B5D">
              <w:rPr>
                <w:rFonts w:eastAsia="Times New Roman" w:cs="Calibri"/>
                <w:kern w:val="0"/>
                <w:sz w:val="20"/>
                <w:szCs w:val="20"/>
                <w14:ligatures w14:val="none"/>
              </w:rPr>
              <w:t>I understand the limitations of AI in cybersecurity.</w:t>
            </w:r>
          </w:p>
        </w:tc>
        <w:tc>
          <w:tcPr>
            <w:tcW w:w="2287" w:type="dxa"/>
            <w:vAlign w:val="center"/>
            <w:hideMark/>
          </w:tcPr>
          <w:p w14:paraId="2BA2E9F4" w14:textId="77777777" w:rsidR="00B17D28" w:rsidRPr="00F24926" w:rsidRDefault="00B17D28" w:rsidP="00B34980">
            <w:pPr>
              <w:spacing w:after="0" w:line="240" w:lineRule="auto"/>
              <w:rPr>
                <w:rFonts w:eastAsia="Times New Roman" w:cs="Calibri"/>
                <w:kern w:val="0"/>
                <w:sz w:val="20"/>
                <w:szCs w:val="20"/>
                <w14:ligatures w14:val="none"/>
              </w:rPr>
            </w:pPr>
          </w:p>
        </w:tc>
      </w:tr>
      <w:tr w:rsidR="00B17D28" w:rsidRPr="00F24926" w14:paraId="1AF09B08" w14:textId="77777777" w:rsidTr="00B34980">
        <w:trPr>
          <w:tblCellSpacing w:w="15" w:type="dxa"/>
        </w:trPr>
        <w:tc>
          <w:tcPr>
            <w:tcW w:w="2655" w:type="dxa"/>
            <w:vAlign w:val="center"/>
            <w:hideMark/>
          </w:tcPr>
          <w:p w14:paraId="317A9655" w14:textId="77777777" w:rsidR="00B17D28" w:rsidRPr="00F24926" w:rsidRDefault="00B17D28" w:rsidP="00B34980">
            <w:pPr>
              <w:spacing w:after="0" w:line="240" w:lineRule="auto"/>
              <w:rPr>
                <w:rFonts w:eastAsia="Times New Roman" w:cs="Calibri"/>
                <w:b/>
                <w:bCs/>
                <w:kern w:val="0"/>
                <w:sz w:val="20"/>
                <w:szCs w:val="20"/>
                <w14:ligatures w14:val="none"/>
              </w:rPr>
            </w:pPr>
          </w:p>
        </w:tc>
        <w:tc>
          <w:tcPr>
            <w:tcW w:w="1032" w:type="dxa"/>
            <w:vAlign w:val="center"/>
          </w:tcPr>
          <w:p w14:paraId="46E5FFF6" w14:textId="77777777" w:rsidR="00B17D28" w:rsidRPr="00F24926" w:rsidRDefault="00B17D28" w:rsidP="00B34980">
            <w:pPr>
              <w:spacing w:after="0" w:line="240" w:lineRule="auto"/>
              <w:rPr>
                <w:rFonts w:eastAsia="Times New Roman" w:cs="Calibri"/>
                <w:kern w:val="0"/>
                <w:sz w:val="20"/>
                <w:szCs w:val="20"/>
                <w14:ligatures w14:val="none"/>
              </w:rPr>
            </w:pPr>
            <w:r w:rsidRPr="00073B5D">
              <w:rPr>
                <w:rFonts w:eastAsia="Times New Roman" w:cs="Calibri"/>
                <w:kern w:val="0"/>
                <w:sz w:val="20"/>
                <w:szCs w:val="20"/>
                <w14:ligatures w14:val="none"/>
              </w:rPr>
              <w:t>AICA4</w:t>
            </w:r>
          </w:p>
        </w:tc>
        <w:tc>
          <w:tcPr>
            <w:tcW w:w="4856" w:type="dxa"/>
            <w:vAlign w:val="center"/>
          </w:tcPr>
          <w:p w14:paraId="00996C58" w14:textId="77777777" w:rsidR="00B17D28" w:rsidRPr="00F24926" w:rsidRDefault="00B17D28" w:rsidP="00B34980">
            <w:pPr>
              <w:spacing w:after="0" w:line="240" w:lineRule="auto"/>
              <w:rPr>
                <w:rFonts w:eastAsia="Times New Roman" w:cs="Calibri"/>
                <w:kern w:val="0"/>
                <w:sz w:val="20"/>
                <w:szCs w:val="20"/>
                <w14:ligatures w14:val="none"/>
              </w:rPr>
            </w:pPr>
            <w:r w:rsidRPr="00073B5D">
              <w:rPr>
                <w:rFonts w:eastAsia="Times New Roman" w:cs="Calibri"/>
                <w:kern w:val="0"/>
                <w:sz w:val="20"/>
                <w:szCs w:val="20"/>
                <w14:ligatures w14:val="none"/>
              </w:rPr>
              <w:t>I am aware of common cybersecurity threats such as phishing and malware.</w:t>
            </w:r>
          </w:p>
        </w:tc>
        <w:tc>
          <w:tcPr>
            <w:tcW w:w="2287" w:type="dxa"/>
            <w:vAlign w:val="center"/>
            <w:hideMark/>
          </w:tcPr>
          <w:p w14:paraId="18DE15A2" w14:textId="77777777" w:rsidR="00B17D28" w:rsidRPr="00F24926" w:rsidRDefault="00B17D28" w:rsidP="00B34980">
            <w:pPr>
              <w:spacing w:after="0" w:line="240" w:lineRule="auto"/>
              <w:rPr>
                <w:rFonts w:eastAsia="Times New Roman" w:cs="Calibri"/>
                <w:kern w:val="0"/>
                <w:sz w:val="20"/>
                <w:szCs w:val="20"/>
                <w14:ligatures w14:val="none"/>
              </w:rPr>
            </w:pPr>
          </w:p>
        </w:tc>
      </w:tr>
      <w:tr w:rsidR="00B17D28" w:rsidRPr="00F24926" w14:paraId="3F1EF939" w14:textId="77777777" w:rsidTr="00B34980">
        <w:trPr>
          <w:tblCellSpacing w:w="15" w:type="dxa"/>
        </w:trPr>
        <w:tc>
          <w:tcPr>
            <w:tcW w:w="2655" w:type="dxa"/>
            <w:vAlign w:val="center"/>
            <w:hideMark/>
          </w:tcPr>
          <w:p w14:paraId="1B784335" w14:textId="77777777" w:rsidR="00B17D28" w:rsidRPr="00F24926" w:rsidRDefault="00B17D28" w:rsidP="00B34980">
            <w:pPr>
              <w:spacing w:after="0" w:line="240" w:lineRule="auto"/>
              <w:rPr>
                <w:rFonts w:eastAsia="Times New Roman" w:cs="Calibri"/>
                <w:b/>
                <w:bCs/>
                <w:kern w:val="0"/>
                <w:sz w:val="20"/>
                <w:szCs w:val="20"/>
                <w14:ligatures w14:val="none"/>
              </w:rPr>
            </w:pPr>
          </w:p>
        </w:tc>
        <w:tc>
          <w:tcPr>
            <w:tcW w:w="1032" w:type="dxa"/>
            <w:vAlign w:val="center"/>
          </w:tcPr>
          <w:p w14:paraId="6FB71A69" w14:textId="77777777" w:rsidR="00B17D28" w:rsidRPr="00F24926" w:rsidRDefault="00B17D28" w:rsidP="00B34980">
            <w:pPr>
              <w:spacing w:after="0" w:line="240" w:lineRule="auto"/>
              <w:rPr>
                <w:rFonts w:eastAsia="Times New Roman" w:cs="Calibri"/>
                <w:kern w:val="0"/>
                <w:sz w:val="20"/>
                <w:szCs w:val="20"/>
                <w14:ligatures w14:val="none"/>
              </w:rPr>
            </w:pPr>
            <w:r w:rsidRPr="00073B5D">
              <w:rPr>
                <w:rFonts w:eastAsia="Times New Roman" w:cs="Calibri"/>
                <w:kern w:val="0"/>
                <w:sz w:val="20"/>
                <w:szCs w:val="20"/>
                <w14:ligatures w14:val="none"/>
              </w:rPr>
              <w:t>AICA5</w:t>
            </w:r>
          </w:p>
        </w:tc>
        <w:tc>
          <w:tcPr>
            <w:tcW w:w="4856" w:type="dxa"/>
            <w:vAlign w:val="center"/>
          </w:tcPr>
          <w:p w14:paraId="5E7D21A5" w14:textId="77777777" w:rsidR="00B17D28" w:rsidRPr="00F24926" w:rsidRDefault="00B17D28" w:rsidP="00B34980">
            <w:pPr>
              <w:spacing w:after="0" w:line="240" w:lineRule="auto"/>
              <w:rPr>
                <w:rFonts w:eastAsia="Times New Roman" w:cs="Calibri"/>
                <w:kern w:val="0"/>
                <w:sz w:val="20"/>
                <w:szCs w:val="20"/>
                <w14:ligatures w14:val="none"/>
              </w:rPr>
            </w:pPr>
            <w:r w:rsidRPr="00073B5D">
              <w:rPr>
                <w:rFonts w:eastAsia="Times New Roman" w:cs="Calibri"/>
                <w:kern w:val="0"/>
                <w:sz w:val="20"/>
                <w:szCs w:val="20"/>
                <w14:ligatures w14:val="none"/>
              </w:rPr>
              <w:t>I can identify suspicious online activities or messages.</w:t>
            </w:r>
          </w:p>
        </w:tc>
        <w:tc>
          <w:tcPr>
            <w:tcW w:w="2287" w:type="dxa"/>
            <w:vAlign w:val="center"/>
            <w:hideMark/>
          </w:tcPr>
          <w:p w14:paraId="0180A3F7" w14:textId="77777777" w:rsidR="00B17D28" w:rsidRPr="00F24926" w:rsidRDefault="00B17D28" w:rsidP="00B34980">
            <w:pPr>
              <w:spacing w:after="0" w:line="240" w:lineRule="auto"/>
              <w:rPr>
                <w:rFonts w:eastAsia="Times New Roman" w:cs="Calibri"/>
                <w:kern w:val="0"/>
                <w:sz w:val="20"/>
                <w:szCs w:val="20"/>
                <w14:ligatures w14:val="none"/>
              </w:rPr>
            </w:pPr>
          </w:p>
        </w:tc>
      </w:tr>
      <w:tr w:rsidR="00B17D28" w:rsidRPr="00F24926" w14:paraId="6C47C26A" w14:textId="77777777" w:rsidTr="00B34980">
        <w:trPr>
          <w:tblCellSpacing w:w="15" w:type="dxa"/>
        </w:trPr>
        <w:tc>
          <w:tcPr>
            <w:tcW w:w="2655" w:type="dxa"/>
            <w:vAlign w:val="center"/>
            <w:hideMark/>
          </w:tcPr>
          <w:p w14:paraId="224BC5EB" w14:textId="77777777" w:rsidR="00B17D28" w:rsidRPr="00F24926" w:rsidRDefault="00B17D28" w:rsidP="00B34980">
            <w:pPr>
              <w:spacing w:after="0" w:line="240" w:lineRule="auto"/>
              <w:rPr>
                <w:rFonts w:eastAsia="Times New Roman" w:cs="Calibri"/>
                <w:b/>
                <w:bCs/>
                <w:kern w:val="0"/>
                <w:sz w:val="20"/>
                <w:szCs w:val="20"/>
                <w14:ligatures w14:val="none"/>
              </w:rPr>
            </w:pPr>
          </w:p>
        </w:tc>
        <w:tc>
          <w:tcPr>
            <w:tcW w:w="1032" w:type="dxa"/>
            <w:vAlign w:val="center"/>
          </w:tcPr>
          <w:p w14:paraId="4FF48EE1" w14:textId="77777777" w:rsidR="00B17D28" w:rsidRPr="00F24926" w:rsidRDefault="00B17D28" w:rsidP="00B34980">
            <w:pPr>
              <w:spacing w:after="0" w:line="240" w:lineRule="auto"/>
              <w:rPr>
                <w:rFonts w:eastAsia="Times New Roman" w:cs="Calibri"/>
                <w:kern w:val="0"/>
                <w:sz w:val="20"/>
                <w:szCs w:val="20"/>
                <w14:ligatures w14:val="none"/>
              </w:rPr>
            </w:pPr>
            <w:r w:rsidRPr="00073B5D">
              <w:rPr>
                <w:rFonts w:eastAsia="Times New Roman" w:cs="Calibri"/>
                <w:kern w:val="0"/>
                <w:sz w:val="20"/>
                <w:szCs w:val="20"/>
                <w14:ligatures w14:val="none"/>
              </w:rPr>
              <w:t>AICA6</w:t>
            </w:r>
          </w:p>
        </w:tc>
        <w:tc>
          <w:tcPr>
            <w:tcW w:w="4856" w:type="dxa"/>
            <w:vAlign w:val="center"/>
          </w:tcPr>
          <w:p w14:paraId="741A24A7" w14:textId="77777777" w:rsidR="00B17D28" w:rsidRPr="00F24926" w:rsidRDefault="00B17D28" w:rsidP="00B34980">
            <w:pPr>
              <w:spacing w:after="0" w:line="240" w:lineRule="auto"/>
              <w:rPr>
                <w:rFonts w:eastAsia="Times New Roman" w:cs="Calibri"/>
                <w:kern w:val="0"/>
                <w:sz w:val="20"/>
                <w:szCs w:val="20"/>
                <w14:ligatures w14:val="none"/>
              </w:rPr>
            </w:pPr>
            <w:r w:rsidRPr="00073B5D">
              <w:rPr>
                <w:rFonts w:eastAsia="Times New Roman" w:cs="Calibri"/>
                <w:kern w:val="0"/>
                <w:sz w:val="20"/>
                <w:szCs w:val="20"/>
                <w14:ligatures w14:val="none"/>
              </w:rPr>
              <w:t>I regularly follow cybersecurity best practices.</w:t>
            </w:r>
          </w:p>
        </w:tc>
        <w:tc>
          <w:tcPr>
            <w:tcW w:w="2287" w:type="dxa"/>
            <w:vAlign w:val="center"/>
            <w:hideMark/>
          </w:tcPr>
          <w:p w14:paraId="29FD0F7C" w14:textId="77777777" w:rsidR="00B17D28" w:rsidRPr="00F24926" w:rsidRDefault="00B17D28" w:rsidP="00B34980">
            <w:pPr>
              <w:spacing w:after="0" w:line="240" w:lineRule="auto"/>
              <w:rPr>
                <w:rFonts w:eastAsia="Times New Roman" w:cs="Calibri"/>
                <w:kern w:val="0"/>
                <w:sz w:val="20"/>
                <w:szCs w:val="20"/>
                <w14:ligatures w14:val="none"/>
              </w:rPr>
            </w:pPr>
          </w:p>
        </w:tc>
      </w:tr>
      <w:tr w:rsidR="00B17D28" w:rsidRPr="00F24926" w14:paraId="4FED6399" w14:textId="77777777" w:rsidTr="00B34980">
        <w:trPr>
          <w:tblCellSpacing w:w="15" w:type="dxa"/>
        </w:trPr>
        <w:tc>
          <w:tcPr>
            <w:tcW w:w="2655" w:type="dxa"/>
            <w:vAlign w:val="center"/>
            <w:hideMark/>
          </w:tcPr>
          <w:p w14:paraId="17FA4975" w14:textId="77777777" w:rsidR="00B17D28" w:rsidRPr="00F24926" w:rsidRDefault="00B17D28" w:rsidP="00B34980">
            <w:pPr>
              <w:spacing w:after="0" w:line="240" w:lineRule="auto"/>
              <w:rPr>
                <w:rFonts w:eastAsia="Times New Roman" w:cs="Calibri"/>
                <w:b/>
                <w:bCs/>
                <w:kern w:val="0"/>
                <w:sz w:val="20"/>
                <w:szCs w:val="20"/>
                <w14:ligatures w14:val="none"/>
              </w:rPr>
            </w:pPr>
          </w:p>
        </w:tc>
        <w:tc>
          <w:tcPr>
            <w:tcW w:w="1032" w:type="dxa"/>
            <w:vAlign w:val="center"/>
          </w:tcPr>
          <w:p w14:paraId="77E0C52C" w14:textId="77777777" w:rsidR="00B17D28" w:rsidRPr="00F24926" w:rsidRDefault="00B17D28" w:rsidP="00B34980">
            <w:pPr>
              <w:spacing w:after="0" w:line="240" w:lineRule="auto"/>
              <w:rPr>
                <w:rFonts w:eastAsia="Times New Roman" w:cs="Calibri"/>
                <w:kern w:val="0"/>
                <w:sz w:val="20"/>
                <w:szCs w:val="20"/>
                <w14:ligatures w14:val="none"/>
              </w:rPr>
            </w:pPr>
            <w:r w:rsidRPr="00073B5D">
              <w:rPr>
                <w:rFonts w:eastAsia="Times New Roman" w:cs="Calibri"/>
                <w:kern w:val="0"/>
                <w:sz w:val="20"/>
                <w:szCs w:val="20"/>
                <w14:ligatures w14:val="none"/>
              </w:rPr>
              <w:t>AICA7</w:t>
            </w:r>
          </w:p>
        </w:tc>
        <w:tc>
          <w:tcPr>
            <w:tcW w:w="4856" w:type="dxa"/>
            <w:vAlign w:val="center"/>
          </w:tcPr>
          <w:p w14:paraId="04F9279E" w14:textId="77777777" w:rsidR="00B17D28" w:rsidRPr="00F24926" w:rsidRDefault="00B17D28" w:rsidP="00B34980">
            <w:pPr>
              <w:spacing w:after="0" w:line="240" w:lineRule="auto"/>
              <w:rPr>
                <w:rFonts w:eastAsia="Times New Roman" w:cs="Calibri"/>
                <w:kern w:val="0"/>
                <w:sz w:val="20"/>
                <w:szCs w:val="20"/>
                <w14:ligatures w14:val="none"/>
              </w:rPr>
            </w:pPr>
            <w:r w:rsidRPr="00073B5D">
              <w:rPr>
                <w:rFonts w:eastAsia="Times New Roman" w:cs="Calibri"/>
                <w:kern w:val="0"/>
                <w:sz w:val="20"/>
                <w:szCs w:val="20"/>
                <w14:ligatures w14:val="none"/>
              </w:rPr>
              <w:t>I stay informed about emerging cybersecurity risks and solutions.</w:t>
            </w:r>
          </w:p>
        </w:tc>
        <w:tc>
          <w:tcPr>
            <w:tcW w:w="2287" w:type="dxa"/>
            <w:vAlign w:val="center"/>
            <w:hideMark/>
          </w:tcPr>
          <w:p w14:paraId="65718AF9" w14:textId="77777777" w:rsidR="00B17D28" w:rsidRPr="00F24926" w:rsidRDefault="00B17D28" w:rsidP="00B34980">
            <w:pPr>
              <w:spacing w:after="0" w:line="240" w:lineRule="auto"/>
              <w:rPr>
                <w:rFonts w:eastAsia="Times New Roman" w:cs="Calibri"/>
                <w:kern w:val="0"/>
                <w:sz w:val="20"/>
                <w:szCs w:val="20"/>
                <w14:ligatures w14:val="none"/>
              </w:rPr>
            </w:pPr>
          </w:p>
        </w:tc>
      </w:tr>
      <w:tr w:rsidR="00B17D28" w:rsidRPr="00F24926" w14:paraId="3BF6AF45" w14:textId="77777777" w:rsidTr="00B34980">
        <w:trPr>
          <w:tblCellSpacing w:w="15" w:type="dxa"/>
        </w:trPr>
        <w:tc>
          <w:tcPr>
            <w:tcW w:w="2655" w:type="dxa"/>
            <w:vAlign w:val="center"/>
          </w:tcPr>
          <w:p w14:paraId="6112C90F" w14:textId="77777777" w:rsidR="00B17D28" w:rsidRPr="00F24926" w:rsidRDefault="00B17D28" w:rsidP="00B34980">
            <w:pPr>
              <w:spacing w:after="0" w:line="240" w:lineRule="auto"/>
              <w:rPr>
                <w:rFonts w:eastAsia="Times New Roman" w:cs="Calibri"/>
                <w:b/>
                <w:bCs/>
                <w:kern w:val="0"/>
                <w:sz w:val="20"/>
                <w:szCs w:val="20"/>
                <w14:ligatures w14:val="none"/>
              </w:rPr>
            </w:pPr>
          </w:p>
        </w:tc>
        <w:tc>
          <w:tcPr>
            <w:tcW w:w="1032" w:type="dxa"/>
            <w:vAlign w:val="center"/>
          </w:tcPr>
          <w:p w14:paraId="28B8348B" w14:textId="77777777" w:rsidR="00B17D28" w:rsidRPr="00F24926" w:rsidRDefault="00B17D28" w:rsidP="00B34980">
            <w:pPr>
              <w:spacing w:after="0" w:line="240" w:lineRule="auto"/>
              <w:rPr>
                <w:rFonts w:eastAsia="Times New Roman" w:cs="Calibri"/>
                <w:kern w:val="0"/>
                <w:sz w:val="20"/>
                <w:szCs w:val="20"/>
                <w14:ligatures w14:val="none"/>
              </w:rPr>
            </w:pPr>
            <w:r w:rsidRPr="00073B5D">
              <w:rPr>
                <w:rFonts w:eastAsia="Times New Roman" w:cs="Calibri"/>
                <w:kern w:val="0"/>
                <w:sz w:val="20"/>
                <w:szCs w:val="20"/>
                <w14:ligatures w14:val="none"/>
              </w:rPr>
              <w:t>AICA8</w:t>
            </w:r>
          </w:p>
        </w:tc>
        <w:tc>
          <w:tcPr>
            <w:tcW w:w="4856" w:type="dxa"/>
            <w:vAlign w:val="center"/>
          </w:tcPr>
          <w:p w14:paraId="3DC48825" w14:textId="77777777" w:rsidR="00B17D28" w:rsidRPr="00F24926" w:rsidRDefault="00B17D28" w:rsidP="00B34980">
            <w:pPr>
              <w:spacing w:after="0" w:line="240" w:lineRule="auto"/>
              <w:rPr>
                <w:rFonts w:eastAsia="Times New Roman" w:cs="Calibri"/>
                <w:kern w:val="0"/>
                <w:sz w:val="20"/>
                <w:szCs w:val="20"/>
                <w14:ligatures w14:val="none"/>
              </w:rPr>
            </w:pPr>
            <w:r w:rsidRPr="00073B5D">
              <w:rPr>
                <w:rFonts w:eastAsia="Times New Roman" w:cs="Calibri"/>
                <w:kern w:val="0"/>
                <w:sz w:val="20"/>
                <w:szCs w:val="20"/>
                <w14:ligatures w14:val="none"/>
              </w:rPr>
              <w:t>I understand how AI contributes to protecting digital systems.</w:t>
            </w:r>
          </w:p>
        </w:tc>
        <w:tc>
          <w:tcPr>
            <w:tcW w:w="2287" w:type="dxa"/>
            <w:vAlign w:val="center"/>
          </w:tcPr>
          <w:p w14:paraId="37A7D081" w14:textId="77777777" w:rsidR="00B17D28" w:rsidRPr="00F24926" w:rsidRDefault="00B17D28" w:rsidP="00B34980">
            <w:pPr>
              <w:spacing w:after="0" w:line="240" w:lineRule="auto"/>
              <w:rPr>
                <w:rFonts w:eastAsia="Times New Roman" w:cs="Calibri"/>
                <w:kern w:val="0"/>
                <w:sz w:val="20"/>
                <w:szCs w:val="20"/>
                <w14:ligatures w14:val="none"/>
              </w:rPr>
            </w:pPr>
          </w:p>
        </w:tc>
      </w:tr>
      <w:tr w:rsidR="00B17D28" w:rsidRPr="00F24926" w14:paraId="28575338" w14:textId="77777777" w:rsidTr="00B34980">
        <w:trPr>
          <w:tblCellSpacing w:w="15" w:type="dxa"/>
        </w:trPr>
        <w:tc>
          <w:tcPr>
            <w:tcW w:w="2655" w:type="dxa"/>
            <w:vAlign w:val="center"/>
            <w:hideMark/>
          </w:tcPr>
          <w:p w14:paraId="01AEABB5" w14:textId="77777777" w:rsidR="00B17D28" w:rsidRPr="00F24926" w:rsidRDefault="00B17D28" w:rsidP="00B34980">
            <w:pPr>
              <w:spacing w:after="0" w:line="240" w:lineRule="auto"/>
              <w:rPr>
                <w:rFonts w:eastAsia="Times New Roman" w:cs="Calibri"/>
                <w:b/>
                <w:bCs/>
                <w:kern w:val="0"/>
                <w:sz w:val="20"/>
                <w:szCs w:val="20"/>
                <w14:ligatures w14:val="none"/>
              </w:rPr>
            </w:pPr>
            <w:r w:rsidRPr="00F24926">
              <w:rPr>
                <w:rFonts w:eastAsia="Times New Roman" w:cs="Calibri"/>
                <w:b/>
                <w:bCs/>
                <w:kern w:val="0"/>
                <w:sz w:val="20"/>
                <w:szCs w:val="20"/>
                <w14:ligatures w14:val="none"/>
              </w:rPr>
              <w:t>Perceived Risk (PR)</w:t>
            </w:r>
          </w:p>
        </w:tc>
        <w:tc>
          <w:tcPr>
            <w:tcW w:w="1032" w:type="dxa"/>
            <w:vAlign w:val="center"/>
            <w:hideMark/>
          </w:tcPr>
          <w:p w14:paraId="24FDF6BA"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PR1</w:t>
            </w:r>
          </w:p>
        </w:tc>
        <w:tc>
          <w:tcPr>
            <w:tcW w:w="4856" w:type="dxa"/>
            <w:vAlign w:val="center"/>
            <w:hideMark/>
          </w:tcPr>
          <w:p w14:paraId="3DEF0B59"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Using AI-based cybersecurity systems involves potential risks.</w:t>
            </w:r>
          </w:p>
        </w:tc>
        <w:tc>
          <w:tcPr>
            <w:tcW w:w="2287" w:type="dxa"/>
            <w:vAlign w:val="center"/>
          </w:tcPr>
          <w:p w14:paraId="169334A5" w14:textId="77777777" w:rsidR="00B17D28" w:rsidRPr="00F24926" w:rsidRDefault="00B17D28" w:rsidP="00B34980">
            <w:pPr>
              <w:spacing w:after="0" w:line="240" w:lineRule="auto"/>
              <w:rPr>
                <w:rFonts w:eastAsia="Times New Roman" w:cs="Calibri"/>
                <w:kern w:val="0"/>
                <w:sz w:val="20"/>
                <w:szCs w:val="20"/>
                <w14:ligatures w14:val="none"/>
              </w:rPr>
            </w:pPr>
          </w:p>
        </w:tc>
      </w:tr>
      <w:tr w:rsidR="00B17D28" w:rsidRPr="00F24926" w14:paraId="214D2ED2" w14:textId="77777777" w:rsidTr="00B34980">
        <w:trPr>
          <w:tblCellSpacing w:w="15" w:type="dxa"/>
        </w:trPr>
        <w:tc>
          <w:tcPr>
            <w:tcW w:w="2655" w:type="dxa"/>
            <w:vAlign w:val="center"/>
            <w:hideMark/>
          </w:tcPr>
          <w:p w14:paraId="39204471" w14:textId="77777777" w:rsidR="00B17D28" w:rsidRPr="00F24926" w:rsidRDefault="00B17D28" w:rsidP="00B34980">
            <w:pPr>
              <w:spacing w:after="0" w:line="240" w:lineRule="auto"/>
              <w:rPr>
                <w:rFonts w:eastAsia="Times New Roman" w:cs="Calibri"/>
                <w:b/>
                <w:bCs/>
                <w:kern w:val="0"/>
                <w:sz w:val="20"/>
                <w:szCs w:val="20"/>
                <w14:ligatures w14:val="none"/>
              </w:rPr>
            </w:pPr>
          </w:p>
        </w:tc>
        <w:tc>
          <w:tcPr>
            <w:tcW w:w="1032" w:type="dxa"/>
            <w:vAlign w:val="center"/>
            <w:hideMark/>
          </w:tcPr>
          <w:p w14:paraId="25EE6643"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PR2</w:t>
            </w:r>
          </w:p>
        </w:tc>
        <w:tc>
          <w:tcPr>
            <w:tcW w:w="4856" w:type="dxa"/>
            <w:vAlign w:val="center"/>
            <w:hideMark/>
          </w:tcPr>
          <w:p w14:paraId="45D5EF8E"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I am concerned about privacy risks when using AI cybersecurity tools.</w:t>
            </w:r>
          </w:p>
        </w:tc>
        <w:tc>
          <w:tcPr>
            <w:tcW w:w="2287" w:type="dxa"/>
            <w:vAlign w:val="center"/>
            <w:hideMark/>
          </w:tcPr>
          <w:p w14:paraId="3B5404E9" w14:textId="77777777" w:rsidR="00B17D28" w:rsidRPr="00F24926" w:rsidRDefault="00B17D28" w:rsidP="00B34980">
            <w:pPr>
              <w:spacing w:after="0" w:line="240" w:lineRule="auto"/>
              <w:rPr>
                <w:rFonts w:eastAsia="Times New Roman" w:cs="Calibri"/>
                <w:kern w:val="0"/>
                <w:sz w:val="20"/>
                <w:szCs w:val="20"/>
                <w14:ligatures w14:val="none"/>
              </w:rPr>
            </w:pPr>
            <w:r>
              <w:rPr>
                <w:rFonts w:eastAsia="Times New Roman" w:cs="Calibri"/>
                <w:kern w:val="0"/>
                <w:sz w:val="20"/>
                <w:szCs w:val="20"/>
                <w14:ligatures w14:val="none"/>
              </w:rPr>
              <w:fldChar w:fldCharType="begin" w:fldLock="1"/>
            </w:r>
            <w:r>
              <w:rPr>
                <w:rFonts w:eastAsia="Times New Roman" w:cs="Calibri"/>
                <w:kern w:val="0"/>
                <w:sz w:val="20"/>
                <w:szCs w:val="20"/>
                <w14:ligatures w14:val="none"/>
              </w:rPr>
              <w:instrText>ADDIN CSL_CITATION {"citationItems":[{"id":"ITEM-1","itemData":{"DOI":"https://doi.org/10.1016/S1071-5819(03)00111-3","ISSN":"1071-5819","abstract":"Internet-delivered e-services are increasingly being made available to consumers; however, little is known about how consumers evaluate them for potential adoption. Past Technology Adoption Research has focused primarily on the positive utility gains attributable to system adoption. This research extends that approach to include measures of negative utility (potential losses) attributable to e-service adoption. Drawing from Perceived Risk Theory, specific risk facets were operationalized, integrated, and empirically tested within the Technology Acceptance Model resulting in a proposed e-services adoption model. Results indicated that e-services adoption is adversely affected primarily by performance-based risk perceptions, and perceived ease of use of the e-service reduced these risk concerns. Implications of integrating perceived risk into the proposed e-services adoption model are discussed.","author":[{"dropping-particle":"","family":"Featherman","given":"Mauricio S","non-dropping-particle":"","parse-names":false,"suffix":""},{"dropping-particle":"","family":"Pavlou","given":"Paul A","non-dropping-particle":"","parse-names":false,"suffix":""}],"container-title":"International Journal of Human-Computer Studies","id":"ITEM-1","issue":"4","issued":{"date-parts":[["2003"]]},"page":"451-474","title":"Predicting e-services adoption: a perceived risk facets perspective","type":"article-journal","volume":"59"},"uris":["http://www.mendeley.com/documents/?uuid=dd142c19-8387-481f-a713-184908ea061b"]},{"id":"ITEM-2","itemData":{"DOI":"https://doi.org/10.1016/j.dss.2007.07.001","ISSN":"0167-9236","abstract":"Are trust and risk important in consumers' electronic commerce purchasing decisions? What are the antecedents of trust and risk in this context? How do trust and risk affect an Internet consumer's purchasing decision? To answer these questions, we i) develop a theoretical framework describing the trust-based decision-making process a consumer uses when making a purchase from a given site, ii) test the proposed model using a Structural Equation Modeling technique on Internet consumer purchasing behavior data collected via a Web survey, and iii) consider the implications of the model. The results of the study show that Internet consumers' trust and perceived risk have strong impacts on their purchasing decisions. Consumer disposition to trust, reputation, privacy concerns, security concerns, the information quality of the Website, and the company's reputation, have strong effects on Internet consumers' trust in the Website. Interestingly, the presence of a third-party seal did not strongly influence consumers' trust.","author":[{"dropping-particle":"","family":"Kim","given":"Dan J","non-dropping-particle":"","parse-names":false,"suffix":""},{"dropping-particle":"","family":"Ferrin","given":"Donald L","non-dropping-particle":"","parse-names":false,"suffix":""},{"dropping-particle":"","family":"Rao","given":"H Raghav","non-dropping-particle":"","parse-names":false,"suffix":""}],"container-title":"Decision Support Systems","id":"ITEM-2","issue":"2","issued":{"date-parts":[["2008"]]},"page":"544-564","title":"A trust-based consumer decision-making model in electronic commerce: The role of trust, perceived risk, and their antecedents","type":"article-journal","volume":"44"},"uris":["http://www.mendeley.com/documents/?uuid=984069d5-aa28-4d8c-8aea-ef043b0b200f"]}],"mendeley":{"formattedCitation":"(Featherman &amp; Pavlou, 2003; Kim et al., 2008)","plainTextFormattedCitation":"(Featherman &amp; Pavlou, 2003; Kim et al., 2008)","previouslyFormattedCitation":"(Featherman &amp; Pavlou, 2003; Kim et al., 2008)"},"properties":{"noteIndex":0},"schema":"https://github.com/citation-style-language/schema/raw/master/csl-citation.json"}</w:instrText>
            </w:r>
            <w:r>
              <w:rPr>
                <w:rFonts w:eastAsia="Times New Roman" w:cs="Calibri"/>
                <w:kern w:val="0"/>
                <w:sz w:val="20"/>
                <w:szCs w:val="20"/>
                <w14:ligatures w14:val="none"/>
              </w:rPr>
              <w:fldChar w:fldCharType="separate"/>
            </w:r>
            <w:r w:rsidRPr="00C8267C">
              <w:rPr>
                <w:rFonts w:eastAsia="Times New Roman" w:cs="Calibri"/>
                <w:noProof/>
                <w:kern w:val="0"/>
                <w:sz w:val="20"/>
                <w:szCs w:val="20"/>
                <w14:ligatures w14:val="none"/>
              </w:rPr>
              <w:t>(Featherman &amp; Pavlou, 2003; Kim et al., 2008)</w:t>
            </w:r>
            <w:r>
              <w:rPr>
                <w:rFonts w:eastAsia="Times New Roman" w:cs="Calibri"/>
                <w:kern w:val="0"/>
                <w:sz w:val="20"/>
                <w:szCs w:val="20"/>
                <w14:ligatures w14:val="none"/>
              </w:rPr>
              <w:fldChar w:fldCharType="end"/>
            </w:r>
          </w:p>
        </w:tc>
      </w:tr>
      <w:tr w:rsidR="00B17D28" w:rsidRPr="00F24926" w14:paraId="4C1778BE" w14:textId="77777777" w:rsidTr="00B34980">
        <w:trPr>
          <w:tblCellSpacing w:w="15" w:type="dxa"/>
        </w:trPr>
        <w:tc>
          <w:tcPr>
            <w:tcW w:w="2655" w:type="dxa"/>
            <w:vAlign w:val="center"/>
            <w:hideMark/>
          </w:tcPr>
          <w:p w14:paraId="2909EF67" w14:textId="77777777" w:rsidR="00B17D28" w:rsidRPr="00F24926" w:rsidRDefault="00B17D28" w:rsidP="00B34980">
            <w:pPr>
              <w:spacing w:after="0" w:line="240" w:lineRule="auto"/>
              <w:rPr>
                <w:rFonts w:eastAsia="Times New Roman" w:cs="Calibri"/>
                <w:b/>
                <w:bCs/>
                <w:kern w:val="0"/>
                <w:sz w:val="20"/>
                <w:szCs w:val="20"/>
                <w14:ligatures w14:val="none"/>
              </w:rPr>
            </w:pPr>
          </w:p>
        </w:tc>
        <w:tc>
          <w:tcPr>
            <w:tcW w:w="1032" w:type="dxa"/>
            <w:vAlign w:val="center"/>
            <w:hideMark/>
          </w:tcPr>
          <w:p w14:paraId="7D321656"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PR3</w:t>
            </w:r>
          </w:p>
        </w:tc>
        <w:tc>
          <w:tcPr>
            <w:tcW w:w="4856" w:type="dxa"/>
            <w:vAlign w:val="center"/>
            <w:hideMark/>
          </w:tcPr>
          <w:p w14:paraId="058FCBDE"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I feel that AI systems may misuse my personal data.</w:t>
            </w:r>
          </w:p>
        </w:tc>
        <w:tc>
          <w:tcPr>
            <w:tcW w:w="2287" w:type="dxa"/>
            <w:vAlign w:val="center"/>
            <w:hideMark/>
          </w:tcPr>
          <w:p w14:paraId="788CC967" w14:textId="77777777" w:rsidR="00B17D28" w:rsidRPr="00F24926" w:rsidRDefault="00B17D28" w:rsidP="00B34980">
            <w:pPr>
              <w:spacing w:after="0" w:line="240" w:lineRule="auto"/>
              <w:rPr>
                <w:rFonts w:eastAsia="Times New Roman" w:cs="Calibri"/>
                <w:kern w:val="0"/>
                <w:sz w:val="20"/>
                <w:szCs w:val="20"/>
                <w14:ligatures w14:val="none"/>
              </w:rPr>
            </w:pPr>
          </w:p>
        </w:tc>
      </w:tr>
      <w:tr w:rsidR="00B17D28" w:rsidRPr="00F24926" w14:paraId="4703BECC" w14:textId="77777777" w:rsidTr="00B34980">
        <w:trPr>
          <w:tblCellSpacing w:w="15" w:type="dxa"/>
        </w:trPr>
        <w:tc>
          <w:tcPr>
            <w:tcW w:w="2655" w:type="dxa"/>
            <w:vAlign w:val="center"/>
            <w:hideMark/>
          </w:tcPr>
          <w:p w14:paraId="3B7FE279" w14:textId="77777777" w:rsidR="00B17D28" w:rsidRPr="00F24926" w:rsidRDefault="00B17D28" w:rsidP="00B34980">
            <w:pPr>
              <w:spacing w:after="0" w:line="240" w:lineRule="auto"/>
              <w:rPr>
                <w:rFonts w:eastAsia="Times New Roman" w:cs="Calibri"/>
                <w:b/>
                <w:bCs/>
                <w:kern w:val="0"/>
                <w:sz w:val="20"/>
                <w:szCs w:val="20"/>
                <w14:ligatures w14:val="none"/>
              </w:rPr>
            </w:pPr>
          </w:p>
        </w:tc>
        <w:tc>
          <w:tcPr>
            <w:tcW w:w="1032" w:type="dxa"/>
            <w:vAlign w:val="center"/>
            <w:hideMark/>
          </w:tcPr>
          <w:p w14:paraId="34200071"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PR4</w:t>
            </w:r>
          </w:p>
        </w:tc>
        <w:tc>
          <w:tcPr>
            <w:tcW w:w="4856" w:type="dxa"/>
            <w:vAlign w:val="center"/>
            <w:hideMark/>
          </w:tcPr>
          <w:p w14:paraId="4ABDC9A4"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There is uncertainty in relying on AI cybersecurity systems.</w:t>
            </w:r>
          </w:p>
        </w:tc>
        <w:tc>
          <w:tcPr>
            <w:tcW w:w="2287" w:type="dxa"/>
            <w:vAlign w:val="center"/>
            <w:hideMark/>
          </w:tcPr>
          <w:p w14:paraId="6DED6334" w14:textId="77777777" w:rsidR="00B17D28" w:rsidRPr="00F24926" w:rsidRDefault="00B17D28" w:rsidP="00B34980">
            <w:pPr>
              <w:spacing w:after="0" w:line="240" w:lineRule="auto"/>
              <w:rPr>
                <w:rFonts w:eastAsia="Times New Roman" w:cs="Calibri"/>
                <w:kern w:val="0"/>
                <w:sz w:val="20"/>
                <w:szCs w:val="20"/>
                <w14:ligatures w14:val="none"/>
              </w:rPr>
            </w:pPr>
          </w:p>
        </w:tc>
      </w:tr>
      <w:tr w:rsidR="00B17D28" w:rsidRPr="00F24926" w14:paraId="544A707D" w14:textId="77777777" w:rsidTr="00B34980">
        <w:trPr>
          <w:tblCellSpacing w:w="15" w:type="dxa"/>
        </w:trPr>
        <w:tc>
          <w:tcPr>
            <w:tcW w:w="2655" w:type="dxa"/>
            <w:vAlign w:val="center"/>
          </w:tcPr>
          <w:p w14:paraId="75BB6A27" w14:textId="77777777" w:rsidR="00B17D28" w:rsidRPr="00F24926" w:rsidRDefault="00B17D28" w:rsidP="00B34980">
            <w:pPr>
              <w:spacing w:after="0" w:line="240" w:lineRule="auto"/>
              <w:rPr>
                <w:rFonts w:eastAsia="Times New Roman" w:cs="Calibri"/>
                <w:b/>
                <w:bCs/>
                <w:kern w:val="0"/>
                <w:sz w:val="20"/>
                <w:szCs w:val="20"/>
                <w14:ligatures w14:val="none"/>
              </w:rPr>
            </w:pPr>
          </w:p>
        </w:tc>
        <w:tc>
          <w:tcPr>
            <w:tcW w:w="1032" w:type="dxa"/>
            <w:vAlign w:val="center"/>
            <w:hideMark/>
          </w:tcPr>
          <w:p w14:paraId="31E45666"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PR5</w:t>
            </w:r>
          </w:p>
        </w:tc>
        <w:tc>
          <w:tcPr>
            <w:tcW w:w="4856" w:type="dxa"/>
            <w:vAlign w:val="center"/>
            <w:hideMark/>
          </w:tcPr>
          <w:p w14:paraId="1FD36731"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Errors in AI systems could cause serious problems.</w:t>
            </w:r>
          </w:p>
        </w:tc>
        <w:tc>
          <w:tcPr>
            <w:tcW w:w="2287" w:type="dxa"/>
            <w:vAlign w:val="center"/>
            <w:hideMark/>
          </w:tcPr>
          <w:p w14:paraId="0C2A7801" w14:textId="77777777" w:rsidR="00B17D28" w:rsidRPr="00F24926" w:rsidRDefault="00B17D28" w:rsidP="00B34980">
            <w:pPr>
              <w:spacing w:after="0" w:line="240" w:lineRule="auto"/>
              <w:rPr>
                <w:rFonts w:eastAsia="Times New Roman" w:cs="Calibri"/>
                <w:kern w:val="0"/>
                <w:sz w:val="20"/>
                <w:szCs w:val="20"/>
                <w14:ligatures w14:val="none"/>
              </w:rPr>
            </w:pPr>
          </w:p>
        </w:tc>
      </w:tr>
      <w:tr w:rsidR="00B17D28" w:rsidRPr="00F24926" w14:paraId="71D288BB" w14:textId="77777777" w:rsidTr="00B34980">
        <w:trPr>
          <w:tblCellSpacing w:w="15" w:type="dxa"/>
        </w:trPr>
        <w:tc>
          <w:tcPr>
            <w:tcW w:w="2655" w:type="dxa"/>
            <w:vAlign w:val="center"/>
          </w:tcPr>
          <w:p w14:paraId="46CA591B" w14:textId="77777777" w:rsidR="00B17D28" w:rsidRPr="00F24926" w:rsidRDefault="00B17D28" w:rsidP="00B34980">
            <w:pPr>
              <w:spacing w:after="0" w:line="240" w:lineRule="auto"/>
              <w:rPr>
                <w:rFonts w:eastAsia="Times New Roman" w:cs="Calibri"/>
                <w:b/>
                <w:bCs/>
                <w:kern w:val="0"/>
                <w:sz w:val="20"/>
                <w:szCs w:val="20"/>
                <w14:ligatures w14:val="none"/>
              </w:rPr>
            </w:pPr>
          </w:p>
        </w:tc>
        <w:tc>
          <w:tcPr>
            <w:tcW w:w="1032" w:type="dxa"/>
            <w:vAlign w:val="center"/>
            <w:hideMark/>
          </w:tcPr>
          <w:p w14:paraId="5BC937A6"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PR6</w:t>
            </w:r>
          </w:p>
        </w:tc>
        <w:tc>
          <w:tcPr>
            <w:tcW w:w="4856" w:type="dxa"/>
            <w:vAlign w:val="center"/>
            <w:hideMark/>
          </w:tcPr>
          <w:p w14:paraId="5168C926"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I feel vulnerable when relying on AI cybersecurity technologies.</w:t>
            </w:r>
          </w:p>
        </w:tc>
        <w:tc>
          <w:tcPr>
            <w:tcW w:w="2287" w:type="dxa"/>
            <w:vAlign w:val="center"/>
            <w:hideMark/>
          </w:tcPr>
          <w:p w14:paraId="3BF99B95" w14:textId="77777777" w:rsidR="00B17D28" w:rsidRPr="00F24926" w:rsidRDefault="00B17D28" w:rsidP="00B34980">
            <w:pPr>
              <w:spacing w:after="0" w:line="240" w:lineRule="auto"/>
              <w:rPr>
                <w:rFonts w:eastAsia="Times New Roman" w:cs="Calibri"/>
                <w:kern w:val="0"/>
                <w:sz w:val="20"/>
                <w:szCs w:val="20"/>
                <w14:ligatures w14:val="none"/>
              </w:rPr>
            </w:pPr>
          </w:p>
        </w:tc>
      </w:tr>
      <w:tr w:rsidR="00B17D28" w:rsidRPr="00F24926" w14:paraId="23931F1D" w14:textId="77777777" w:rsidTr="00B34980">
        <w:trPr>
          <w:tblCellSpacing w:w="15" w:type="dxa"/>
        </w:trPr>
        <w:tc>
          <w:tcPr>
            <w:tcW w:w="2655" w:type="dxa"/>
            <w:vAlign w:val="center"/>
            <w:hideMark/>
          </w:tcPr>
          <w:p w14:paraId="34D45376" w14:textId="77777777" w:rsidR="00B17D28" w:rsidRPr="00F24926" w:rsidRDefault="00B17D28" w:rsidP="00B34980">
            <w:pPr>
              <w:spacing w:after="0" w:line="240" w:lineRule="auto"/>
              <w:rPr>
                <w:rFonts w:eastAsia="Times New Roman" w:cs="Calibri"/>
                <w:b/>
                <w:bCs/>
                <w:kern w:val="0"/>
                <w:sz w:val="20"/>
                <w:szCs w:val="20"/>
                <w14:ligatures w14:val="none"/>
              </w:rPr>
            </w:pPr>
            <w:r w:rsidRPr="00F24926">
              <w:rPr>
                <w:rFonts w:eastAsia="Times New Roman" w:cs="Calibri"/>
                <w:b/>
                <w:bCs/>
                <w:kern w:val="0"/>
                <w:sz w:val="20"/>
                <w:szCs w:val="20"/>
                <w14:ligatures w14:val="none"/>
              </w:rPr>
              <w:t>Prior Experience with Breaches (PEB)</w:t>
            </w:r>
          </w:p>
        </w:tc>
        <w:tc>
          <w:tcPr>
            <w:tcW w:w="1032" w:type="dxa"/>
            <w:vAlign w:val="center"/>
            <w:hideMark/>
          </w:tcPr>
          <w:p w14:paraId="5092B480"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PEB1</w:t>
            </w:r>
          </w:p>
        </w:tc>
        <w:tc>
          <w:tcPr>
            <w:tcW w:w="4856" w:type="dxa"/>
            <w:vAlign w:val="center"/>
            <w:hideMark/>
          </w:tcPr>
          <w:p w14:paraId="27237C27"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I have experienced a cybersecurity breach before.</w:t>
            </w:r>
          </w:p>
        </w:tc>
        <w:tc>
          <w:tcPr>
            <w:tcW w:w="2287" w:type="dxa"/>
            <w:vAlign w:val="center"/>
          </w:tcPr>
          <w:p w14:paraId="175E9BFE" w14:textId="77777777" w:rsidR="00B17D28" w:rsidRPr="00F24926" w:rsidRDefault="00B17D28" w:rsidP="00B34980">
            <w:pPr>
              <w:spacing w:after="0" w:line="240" w:lineRule="auto"/>
              <w:rPr>
                <w:rFonts w:eastAsia="Times New Roman" w:cs="Calibri"/>
                <w:kern w:val="0"/>
                <w:sz w:val="20"/>
                <w:szCs w:val="20"/>
                <w14:ligatures w14:val="none"/>
              </w:rPr>
            </w:pPr>
            <w:r>
              <w:rPr>
                <w:rFonts w:eastAsia="Times New Roman" w:cs="Calibri"/>
                <w:kern w:val="0"/>
                <w:sz w:val="20"/>
                <w:szCs w:val="20"/>
                <w14:ligatures w14:val="none"/>
              </w:rPr>
              <w:fldChar w:fldCharType="begin" w:fldLock="1"/>
            </w:r>
            <w:r>
              <w:rPr>
                <w:rFonts w:eastAsia="Times New Roman" w:cs="Calibri"/>
                <w:kern w:val="0"/>
                <w:sz w:val="20"/>
                <w:szCs w:val="20"/>
                <w14:ligatures w14:val="none"/>
              </w:rPr>
              <w:instrText>ADDIN CSL_CITATION {"citationItems":[{"id":"ITEM-1","itemData":{"DOI":"10.1108/ITP-07-2022-0516","ISSN":"0959-3845","abstract":"This paper aims to increase understanding of pertinent exogenous and endogenous antecedents that can reduce data privacy breaches.A cross-sectional survey was used to source participants' perceptions of relevant exogenous and endogenous antecedents developed from the Antecedents-Privacy Concerns-Outcomes (APCO) model and Social Cognitive Theory. A research model was proposed and tested with empirical data collected from 213 participants based in Canada.The exogenous factors of external privacy training and external privacy self-assessment tool significantly and positively impact the study's endogenous factors of individual privacy awareness, organizational resources allocated to privacy concerns, and group behavior concerning privacy laws. Further, the proximal determinants of data privacy breaches (dependent construct) are negatively influenced by individual privacy awareness, group behavior related to privacy laws, and organizational resources allocated to privacy concerns. The endogenous factors fully mediated the relationships between the exogenous factors and the dependent construct.This study contributes to the budding data privacy breach literature by highlighting the impacts of personal and environmental factors in the discourse.The results offer management insights on mitigating data privacy breach incidents arising from employees' actions. Roles of external privacy training and privacy self-assessment tools are signified.Antecedents of data privacy breaches have been underexplored. This paper is among the first to elucidate the roles of select exogenous and endogenous antecedents encompassing personal and environmental imperatives on data privacy breaches.","author":[{"dropping-particle":"","family":"Ifinedo","given":"Princely","non-dropping-particle":"","parse-names":false,"suffix":""},{"dropping-particle":"","family":"Vachon","given":"Francine","non-dropping-particle":"","parse-names":false,"suffix":""},{"dropping-particle":"","family":"Ayanso","given":"Anteneh","non-dropping-particle":"","parse-names":false,"suffix":""}],"container-title":"Information Technology &amp; People","id":"ITEM-1","issue":"4","issued":{"date-parts":[["2024","4","8"]]},"page":"1712-1734","title":"Reducing data privacy breaches: an empirical study of relevant antecedents and an outcome","type":"article-journal","volume":"38"},"uris":["http://www.mendeley.com/documents/?uuid=817388cb-c483-4c6c-a123-9189b9123bf6"]},{"id":"ITEM-2","itemData":{"abstract":"An empirical analysis of national culture, industry, organisation, and individual variables of (in)secure human behaviour Submitted as part of the requirements for the award of the MSc in Information Security of the University of London Student: Marten de Bruin (student number 190230551) Supervisor: Konstantinos Mersinas","author":[{"dropping-particle":"","family":"Bruin","given":"Marten","non-dropping-particle":"de","parse-names":false,"suffix":""}],"container-title":"arXiv.org","id":"ITEM-2","issue":"190230551","issued":{"date-parts":[["2022"]]},"title":"Individual and Contextual Variables of Cyber Security Behaviour","type":"article-journal"},"uris":["http://www.mendeley.com/documents/?uuid=91d92015-75ea-4e3b-9ffc-cb404eb9afa2"]}],"mendeley":{"formattedCitation":"(de Bruin, 2022; Ifinedo et al., 2024)","manualFormatting":"(Ifinedo et al., 2024)","plainTextFormattedCitation":"(de Bruin, 2022; Ifinedo et al., 2024)","previouslyFormattedCitation":"(de Bruin, 2022; Ifinedo et al., 2024)"},"properties":{"noteIndex":0},"schema":"https://github.com/citation-style-language/schema/raw/master/csl-citation.json"}</w:instrText>
            </w:r>
            <w:r>
              <w:rPr>
                <w:rFonts w:eastAsia="Times New Roman" w:cs="Calibri"/>
                <w:kern w:val="0"/>
                <w:sz w:val="20"/>
                <w:szCs w:val="20"/>
                <w14:ligatures w14:val="none"/>
              </w:rPr>
              <w:fldChar w:fldCharType="separate"/>
            </w:r>
            <w:r w:rsidRPr="00E955D7">
              <w:rPr>
                <w:rFonts w:eastAsia="Times New Roman" w:cs="Calibri"/>
                <w:noProof/>
                <w:kern w:val="0"/>
                <w:sz w:val="20"/>
                <w:szCs w:val="20"/>
                <w14:ligatures w14:val="none"/>
              </w:rPr>
              <w:t>(Ifinedo et al., 2024)</w:t>
            </w:r>
            <w:r>
              <w:rPr>
                <w:rFonts w:eastAsia="Times New Roman" w:cs="Calibri"/>
                <w:kern w:val="0"/>
                <w:sz w:val="20"/>
                <w:szCs w:val="20"/>
                <w14:ligatures w14:val="none"/>
              </w:rPr>
              <w:fldChar w:fldCharType="end"/>
            </w:r>
          </w:p>
        </w:tc>
      </w:tr>
      <w:tr w:rsidR="00B17D28" w:rsidRPr="00F24926" w14:paraId="76B27051" w14:textId="77777777" w:rsidTr="00B34980">
        <w:trPr>
          <w:tblCellSpacing w:w="15" w:type="dxa"/>
        </w:trPr>
        <w:tc>
          <w:tcPr>
            <w:tcW w:w="2655" w:type="dxa"/>
            <w:vAlign w:val="center"/>
            <w:hideMark/>
          </w:tcPr>
          <w:p w14:paraId="5E1D6C15" w14:textId="77777777" w:rsidR="00B17D28" w:rsidRPr="00F24926" w:rsidRDefault="00B17D28" w:rsidP="00B34980">
            <w:pPr>
              <w:spacing w:after="0" w:line="240" w:lineRule="auto"/>
              <w:rPr>
                <w:rFonts w:eastAsia="Times New Roman" w:cs="Calibri"/>
                <w:b/>
                <w:bCs/>
                <w:kern w:val="0"/>
                <w:sz w:val="20"/>
                <w:szCs w:val="20"/>
                <w14:ligatures w14:val="none"/>
              </w:rPr>
            </w:pPr>
          </w:p>
        </w:tc>
        <w:tc>
          <w:tcPr>
            <w:tcW w:w="1032" w:type="dxa"/>
            <w:vAlign w:val="center"/>
            <w:hideMark/>
          </w:tcPr>
          <w:p w14:paraId="29C84596"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PEB2</w:t>
            </w:r>
          </w:p>
        </w:tc>
        <w:tc>
          <w:tcPr>
            <w:tcW w:w="4856" w:type="dxa"/>
            <w:vAlign w:val="center"/>
            <w:hideMark/>
          </w:tcPr>
          <w:p w14:paraId="03224AD0"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I have lost data due to a cyberattack.</w:t>
            </w:r>
          </w:p>
        </w:tc>
        <w:tc>
          <w:tcPr>
            <w:tcW w:w="2287" w:type="dxa"/>
            <w:vAlign w:val="center"/>
            <w:hideMark/>
          </w:tcPr>
          <w:p w14:paraId="559CAD55" w14:textId="77777777" w:rsidR="00B17D28" w:rsidRPr="00F24926" w:rsidRDefault="00B17D28" w:rsidP="00B34980">
            <w:pPr>
              <w:spacing w:after="0" w:line="240" w:lineRule="auto"/>
              <w:rPr>
                <w:rFonts w:eastAsia="Times New Roman" w:cs="Calibri"/>
                <w:kern w:val="0"/>
                <w:sz w:val="20"/>
                <w:szCs w:val="20"/>
                <w14:ligatures w14:val="none"/>
              </w:rPr>
            </w:pPr>
          </w:p>
        </w:tc>
      </w:tr>
      <w:tr w:rsidR="00B17D28" w:rsidRPr="00F24926" w14:paraId="2B093016" w14:textId="77777777" w:rsidTr="00B34980">
        <w:trPr>
          <w:tblCellSpacing w:w="15" w:type="dxa"/>
        </w:trPr>
        <w:tc>
          <w:tcPr>
            <w:tcW w:w="2655" w:type="dxa"/>
            <w:vAlign w:val="center"/>
            <w:hideMark/>
          </w:tcPr>
          <w:p w14:paraId="368BCD7C" w14:textId="77777777" w:rsidR="00B17D28" w:rsidRPr="00F24926" w:rsidRDefault="00B17D28" w:rsidP="00B34980">
            <w:pPr>
              <w:spacing w:after="0" w:line="240" w:lineRule="auto"/>
              <w:rPr>
                <w:rFonts w:eastAsia="Times New Roman" w:cs="Calibri"/>
                <w:b/>
                <w:bCs/>
                <w:kern w:val="0"/>
                <w:sz w:val="20"/>
                <w:szCs w:val="20"/>
                <w14:ligatures w14:val="none"/>
              </w:rPr>
            </w:pPr>
          </w:p>
        </w:tc>
        <w:tc>
          <w:tcPr>
            <w:tcW w:w="1032" w:type="dxa"/>
            <w:vAlign w:val="center"/>
            <w:hideMark/>
          </w:tcPr>
          <w:p w14:paraId="2C56E3D7"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PEB3</w:t>
            </w:r>
          </w:p>
        </w:tc>
        <w:tc>
          <w:tcPr>
            <w:tcW w:w="4856" w:type="dxa"/>
            <w:vAlign w:val="center"/>
            <w:hideMark/>
          </w:tcPr>
          <w:p w14:paraId="1C6F881F"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I have dealt with unauthorized access to my accounts.</w:t>
            </w:r>
          </w:p>
        </w:tc>
        <w:tc>
          <w:tcPr>
            <w:tcW w:w="2287" w:type="dxa"/>
            <w:vAlign w:val="center"/>
            <w:hideMark/>
          </w:tcPr>
          <w:p w14:paraId="7DC5DF01" w14:textId="77777777" w:rsidR="00B17D28" w:rsidRPr="00F24926" w:rsidRDefault="00B17D28" w:rsidP="00B34980">
            <w:pPr>
              <w:spacing w:after="0" w:line="240" w:lineRule="auto"/>
              <w:rPr>
                <w:rFonts w:eastAsia="Times New Roman" w:cs="Calibri"/>
                <w:kern w:val="0"/>
                <w:sz w:val="20"/>
                <w:szCs w:val="20"/>
                <w14:ligatures w14:val="none"/>
              </w:rPr>
            </w:pPr>
          </w:p>
        </w:tc>
      </w:tr>
      <w:tr w:rsidR="00B17D28" w:rsidRPr="00F24926" w14:paraId="28EE57D8" w14:textId="77777777" w:rsidTr="00B34980">
        <w:trPr>
          <w:tblCellSpacing w:w="15" w:type="dxa"/>
        </w:trPr>
        <w:tc>
          <w:tcPr>
            <w:tcW w:w="2655" w:type="dxa"/>
            <w:vAlign w:val="center"/>
            <w:hideMark/>
          </w:tcPr>
          <w:p w14:paraId="1A868640" w14:textId="77777777" w:rsidR="00B17D28" w:rsidRPr="00F24926" w:rsidRDefault="00B17D28" w:rsidP="00B34980">
            <w:pPr>
              <w:spacing w:after="0" w:line="240" w:lineRule="auto"/>
              <w:rPr>
                <w:rFonts w:eastAsia="Times New Roman" w:cs="Calibri"/>
                <w:b/>
                <w:bCs/>
                <w:kern w:val="0"/>
                <w:sz w:val="20"/>
                <w:szCs w:val="20"/>
                <w14:ligatures w14:val="none"/>
              </w:rPr>
            </w:pPr>
          </w:p>
        </w:tc>
        <w:tc>
          <w:tcPr>
            <w:tcW w:w="1032" w:type="dxa"/>
            <w:vAlign w:val="center"/>
            <w:hideMark/>
          </w:tcPr>
          <w:p w14:paraId="35D8F8F4"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PEB4</w:t>
            </w:r>
          </w:p>
        </w:tc>
        <w:tc>
          <w:tcPr>
            <w:tcW w:w="4856" w:type="dxa"/>
            <w:vAlign w:val="center"/>
            <w:hideMark/>
          </w:tcPr>
          <w:p w14:paraId="5FD368DA"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I have faced security issues that affected my trust in technology.</w:t>
            </w:r>
          </w:p>
        </w:tc>
        <w:tc>
          <w:tcPr>
            <w:tcW w:w="2287" w:type="dxa"/>
            <w:vAlign w:val="center"/>
            <w:hideMark/>
          </w:tcPr>
          <w:p w14:paraId="4C6A6696" w14:textId="77777777" w:rsidR="00B17D28" w:rsidRPr="00F24926" w:rsidRDefault="00B17D28" w:rsidP="00B34980">
            <w:pPr>
              <w:spacing w:after="0" w:line="240" w:lineRule="auto"/>
              <w:rPr>
                <w:rFonts w:eastAsia="Times New Roman" w:cs="Calibri"/>
                <w:kern w:val="0"/>
                <w:sz w:val="20"/>
                <w:szCs w:val="20"/>
                <w14:ligatures w14:val="none"/>
              </w:rPr>
            </w:pPr>
          </w:p>
        </w:tc>
      </w:tr>
      <w:tr w:rsidR="00B17D28" w:rsidRPr="00F24926" w14:paraId="251CD2CC" w14:textId="77777777" w:rsidTr="00B34980">
        <w:trPr>
          <w:trHeight w:val="627"/>
          <w:tblCellSpacing w:w="15" w:type="dxa"/>
        </w:trPr>
        <w:tc>
          <w:tcPr>
            <w:tcW w:w="2655" w:type="dxa"/>
            <w:vAlign w:val="center"/>
            <w:hideMark/>
          </w:tcPr>
          <w:p w14:paraId="5AACBAA8" w14:textId="77777777" w:rsidR="00B17D28" w:rsidRPr="00F24926" w:rsidRDefault="00B17D28" w:rsidP="00B34980">
            <w:pPr>
              <w:spacing w:after="0" w:line="240" w:lineRule="auto"/>
              <w:rPr>
                <w:rFonts w:eastAsia="Times New Roman" w:cs="Calibri"/>
                <w:b/>
                <w:bCs/>
                <w:kern w:val="0"/>
                <w:sz w:val="20"/>
                <w:szCs w:val="20"/>
                <w14:ligatures w14:val="none"/>
              </w:rPr>
            </w:pPr>
            <w:r w:rsidRPr="00F24926">
              <w:rPr>
                <w:rFonts w:eastAsia="Times New Roman" w:cs="Calibri"/>
                <w:b/>
                <w:bCs/>
                <w:kern w:val="0"/>
                <w:sz w:val="20"/>
                <w:szCs w:val="20"/>
                <w14:ligatures w14:val="none"/>
              </w:rPr>
              <w:t>Trust in AI-Based Cybersecurity Systems (TRUST)</w:t>
            </w:r>
          </w:p>
        </w:tc>
        <w:tc>
          <w:tcPr>
            <w:tcW w:w="1032" w:type="dxa"/>
            <w:vAlign w:val="center"/>
            <w:hideMark/>
          </w:tcPr>
          <w:p w14:paraId="2F8199EC"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TRUST1</w:t>
            </w:r>
          </w:p>
        </w:tc>
        <w:tc>
          <w:tcPr>
            <w:tcW w:w="4856" w:type="dxa"/>
            <w:vAlign w:val="center"/>
            <w:hideMark/>
          </w:tcPr>
          <w:p w14:paraId="19FAB2E0"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I trust AI-based cybersecurity systems to perform reliably.</w:t>
            </w:r>
          </w:p>
        </w:tc>
        <w:tc>
          <w:tcPr>
            <w:tcW w:w="2287" w:type="dxa"/>
            <w:vAlign w:val="center"/>
            <w:hideMark/>
          </w:tcPr>
          <w:p w14:paraId="41AD016F" w14:textId="77777777" w:rsidR="00B17D28" w:rsidRPr="00F24926" w:rsidRDefault="00B17D28" w:rsidP="00B34980">
            <w:pPr>
              <w:spacing w:after="0" w:line="240" w:lineRule="auto"/>
              <w:rPr>
                <w:rFonts w:eastAsia="Times New Roman" w:cs="Calibri"/>
                <w:kern w:val="0"/>
                <w:sz w:val="20"/>
                <w:szCs w:val="20"/>
                <w14:ligatures w14:val="none"/>
              </w:rPr>
            </w:pPr>
            <w:r>
              <w:rPr>
                <w:rFonts w:eastAsia="Times New Roman" w:cs="Calibri"/>
                <w:kern w:val="0"/>
                <w:sz w:val="20"/>
                <w:szCs w:val="20"/>
                <w14:ligatures w14:val="none"/>
              </w:rPr>
              <w:fldChar w:fldCharType="begin" w:fldLock="1"/>
            </w:r>
            <w:r>
              <w:rPr>
                <w:rFonts w:eastAsia="Times New Roman" w:cs="Calibri"/>
                <w:kern w:val="0"/>
                <w:sz w:val="20"/>
                <w:szCs w:val="20"/>
                <w14:ligatures w14:val="none"/>
              </w:rPr>
              <w:instrText>ADDIN CSL_CITATION {"citationItems":[{"id":"ITEM-1","itemData":{"DOI":"10.2307/30036519","ISSN":"0276-7783","abstract":"A separate and distinct interaction with both the actual e-vendor and with its IT Web site interface is at the heart of online shopping. Previous research has established, accordingly, that online purchase intentions are the product of both consumer assessments of the IT itself—specifically its perceived usefulness and ease-of-use (TAM)—and trust in the e-vendor. But these perspectives have been examined independently by IS researchers. Integrating these two perspectives and examining the factors that build online trust in an environment that lacks the typical human interaction that often leads to trust in other circumstances advances our understanding of these constructs and their linkages to behavior.Our research on experienced repeat online shoppers shows that consumer trust is as important to online commerce as the widely accepted TAM use-antecedents, perceived usefulness and perceived ease of use. Together these variable sets explain a considerable proportion of variance in intended behavior. The study also provides evidence that online trust is built through (1) a belief that the vendor has nothing to gain by cheating, (2) a belief that there are safety mechanisms built into the Web site, and (3) by having a typical interface, (4) one that is, moreover, easy to use.","author":[{"dropping-particle":"","family":"Gefen","given":"David","non-dropping-particle":"","parse-names":false,"suffix":""},{"dropping-particle":"","family":"Karahanna","given":"Elena","non-dropping-particle":"","parse-names":false,"suffix":""},{"dropping-particle":"","family":"Straub","given":"Detmar W","non-dropping-particle":"","parse-names":false,"suffix":""}],"container-title":"Management Information Systems Quarterly","id":"ITEM-1","issue":"1","issued":{"date-parts":[["2003","3","1"]]},"page":"51-90","title":"Trust and TAM in Online Shopping: An Integrated Model1","type":"article-journal","volume":"27"},"uris":["http://www.mendeley.com/documents/?uuid=c9657ced-87ad-45e2-8293-33b1c757009d"]},{"id":"ITEM-2","itemData":{"DOI":"10.1287/isre.13.3.334.81","ISSN":"10477047","abstract":"Evidence suggests that consumers often hesitate to transact with Web-based vendors because of uncertainty about vendor behavior or the perceived risk of having personal information stolen by hackers. Trust plays a central role in helping consumers overcome perceptions of risk and insecurity. Trust makes consumers comfortable sharing personal information, making purchases, and acting on Web vendor advice - behaviors essential to widespread adoption of e-commerce. Therefore, trust is critical to both researchers and practitioners. Prior research on e-commerce trust has used diverse, incomplete, and inconsistent definitions of trust, making it difficult to compare results across studies. This paper contributes by proposing and validating measures for a multidisciplinary, multidimensional model of trust in e-commerce. The model includes four high-level constructs - disposition to trust, institution-based trust, trusting beliefs, and trusting intentions - which are further delineated into 16 measurable, literature-grounded subconstructs. The psychometric properties of the measures are demonstrated through use of a hypothetical, legal advice Web site. The results show that trust is indeed a multidimensional concept. Proposed relationships among the trust constructs are tested (for internal nomological validity), as are relationships between the trust constructs and three other e-commerce constructs (for external nomological validity) - Web experience, personal innovativeness, and Web site quality. Suggestions for future research as well as implications for practice are discussed.","author":[{"dropping-particle":"","family":"McKnight","given":"D. Harrison","non-dropping-particle":"","parse-names":false,"suffix":""},{"dropping-particle":"","family":"Choudhury","given":"Vivek","non-dropping-particle":"","parse-names":false,"suffix":""},{"dropping-particle":"","family":"Kacmar","given":"Charles","non-dropping-particle":"","parse-names":false,"suffix":""}],"container-title":"Information Systems Research","id":"ITEM-2","issue":"3","issued":{"date-parts":[["2002"]]},"page":"334-359","title":"Developing and validating trust measures for e-commerce: An integrative typology","type":"article-journal","volume":"13"},"uris":["http://www.mendeley.com/documents/?uuid=35265bb3-a26c-41b5-8749-ded4c1dcf7a9"]}],"mendeley":{"formattedCitation":"(Gefen et al., 2003; McKnight et al., 2002)","plainTextFormattedCitation":"(Gefen et al., 2003; McKnight et al., 2002)","previouslyFormattedCitation":"(Gefen et al., 2003; McKnight et al., 2002)"},"properties":{"noteIndex":0},"schema":"https://github.com/citation-style-language/schema/raw/master/csl-citation.json"}</w:instrText>
            </w:r>
            <w:r>
              <w:rPr>
                <w:rFonts w:eastAsia="Times New Roman" w:cs="Calibri"/>
                <w:kern w:val="0"/>
                <w:sz w:val="20"/>
                <w:szCs w:val="20"/>
                <w14:ligatures w14:val="none"/>
              </w:rPr>
              <w:fldChar w:fldCharType="separate"/>
            </w:r>
            <w:r w:rsidRPr="001E1251">
              <w:rPr>
                <w:rFonts w:eastAsia="Times New Roman" w:cs="Calibri"/>
                <w:noProof/>
                <w:kern w:val="0"/>
                <w:sz w:val="20"/>
                <w:szCs w:val="20"/>
                <w14:ligatures w14:val="none"/>
              </w:rPr>
              <w:t>(Gefen et al., 2003; McKnight et al., 2002)</w:t>
            </w:r>
            <w:r>
              <w:rPr>
                <w:rFonts w:eastAsia="Times New Roman" w:cs="Calibri"/>
                <w:kern w:val="0"/>
                <w:sz w:val="20"/>
                <w:szCs w:val="20"/>
                <w14:ligatures w14:val="none"/>
              </w:rPr>
              <w:fldChar w:fldCharType="end"/>
            </w:r>
          </w:p>
        </w:tc>
      </w:tr>
      <w:tr w:rsidR="00B17D28" w:rsidRPr="00F24926" w14:paraId="2323AD62" w14:textId="77777777" w:rsidTr="00B34980">
        <w:trPr>
          <w:tblCellSpacing w:w="15" w:type="dxa"/>
        </w:trPr>
        <w:tc>
          <w:tcPr>
            <w:tcW w:w="2655" w:type="dxa"/>
            <w:vAlign w:val="center"/>
            <w:hideMark/>
          </w:tcPr>
          <w:p w14:paraId="5DCF9CEC" w14:textId="77777777" w:rsidR="00B17D28" w:rsidRPr="00F24926" w:rsidRDefault="00B17D28" w:rsidP="00B34980">
            <w:pPr>
              <w:spacing w:after="0" w:line="240" w:lineRule="auto"/>
              <w:rPr>
                <w:rFonts w:eastAsia="Times New Roman" w:cs="Calibri"/>
                <w:b/>
                <w:bCs/>
                <w:kern w:val="0"/>
                <w:sz w:val="20"/>
                <w:szCs w:val="20"/>
                <w14:ligatures w14:val="none"/>
              </w:rPr>
            </w:pPr>
          </w:p>
        </w:tc>
        <w:tc>
          <w:tcPr>
            <w:tcW w:w="1032" w:type="dxa"/>
            <w:vAlign w:val="center"/>
            <w:hideMark/>
          </w:tcPr>
          <w:p w14:paraId="00C3E826"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TRUST2</w:t>
            </w:r>
          </w:p>
        </w:tc>
        <w:tc>
          <w:tcPr>
            <w:tcW w:w="4856" w:type="dxa"/>
            <w:vAlign w:val="center"/>
            <w:hideMark/>
          </w:tcPr>
          <w:p w14:paraId="76ADA82F"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I believe AI cybersecurity systems are dependable.</w:t>
            </w:r>
          </w:p>
        </w:tc>
        <w:tc>
          <w:tcPr>
            <w:tcW w:w="2287" w:type="dxa"/>
            <w:vAlign w:val="center"/>
            <w:hideMark/>
          </w:tcPr>
          <w:p w14:paraId="7F19FD9F" w14:textId="77777777" w:rsidR="00B17D28" w:rsidRPr="00F24926" w:rsidRDefault="00B17D28" w:rsidP="00B34980">
            <w:pPr>
              <w:spacing w:after="0" w:line="240" w:lineRule="auto"/>
              <w:rPr>
                <w:rFonts w:eastAsia="Times New Roman" w:cs="Calibri"/>
                <w:kern w:val="0"/>
                <w:sz w:val="20"/>
                <w:szCs w:val="20"/>
                <w14:ligatures w14:val="none"/>
              </w:rPr>
            </w:pPr>
          </w:p>
        </w:tc>
      </w:tr>
      <w:tr w:rsidR="00B17D28" w:rsidRPr="00F24926" w14:paraId="7EA3C480" w14:textId="77777777" w:rsidTr="00B34980">
        <w:trPr>
          <w:tblCellSpacing w:w="15" w:type="dxa"/>
        </w:trPr>
        <w:tc>
          <w:tcPr>
            <w:tcW w:w="2655" w:type="dxa"/>
            <w:vAlign w:val="center"/>
            <w:hideMark/>
          </w:tcPr>
          <w:p w14:paraId="2ABF3C61" w14:textId="77777777" w:rsidR="00B17D28" w:rsidRPr="00F24926" w:rsidRDefault="00B17D28" w:rsidP="00B34980">
            <w:pPr>
              <w:spacing w:after="0" w:line="240" w:lineRule="auto"/>
              <w:rPr>
                <w:rFonts w:eastAsia="Times New Roman" w:cs="Calibri"/>
                <w:b/>
                <w:bCs/>
                <w:kern w:val="0"/>
                <w:sz w:val="20"/>
                <w:szCs w:val="20"/>
                <w14:ligatures w14:val="none"/>
              </w:rPr>
            </w:pPr>
          </w:p>
        </w:tc>
        <w:tc>
          <w:tcPr>
            <w:tcW w:w="1032" w:type="dxa"/>
            <w:vAlign w:val="center"/>
            <w:hideMark/>
          </w:tcPr>
          <w:p w14:paraId="057C1C6D"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TRUST3</w:t>
            </w:r>
          </w:p>
        </w:tc>
        <w:tc>
          <w:tcPr>
            <w:tcW w:w="4856" w:type="dxa"/>
            <w:vAlign w:val="center"/>
            <w:hideMark/>
          </w:tcPr>
          <w:p w14:paraId="055B2425"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I feel confident in decisions made by AI systems.</w:t>
            </w:r>
          </w:p>
        </w:tc>
        <w:tc>
          <w:tcPr>
            <w:tcW w:w="2287" w:type="dxa"/>
            <w:vAlign w:val="center"/>
            <w:hideMark/>
          </w:tcPr>
          <w:p w14:paraId="148648CE" w14:textId="77777777" w:rsidR="00B17D28" w:rsidRPr="00F24926" w:rsidRDefault="00B17D28" w:rsidP="00B34980">
            <w:pPr>
              <w:spacing w:after="0" w:line="240" w:lineRule="auto"/>
              <w:rPr>
                <w:rFonts w:eastAsia="Times New Roman" w:cs="Calibri"/>
                <w:kern w:val="0"/>
                <w:sz w:val="20"/>
                <w:szCs w:val="20"/>
                <w14:ligatures w14:val="none"/>
              </w:rPr>
            </w:pPr>
          </w:p>
        </w:tc>
      </w:tr>
      <w:tr w:rsidR="00B17D28" w:rsidRPr="00F24926" w14:paraId="3554C6A4" w14:textId="77777777" w:rsidTr="00B34980">
        <w:trPr>
          <w:tblCellSpacing w:w="15" w:type="dxa"/>
        </w:trPr>
        <w:tc>
          <w:tcPr>
            <w:tcW w:w="2655" w:type="dxa"/>
            <w:vAlign w:val="center"/>
            <w:hideMark/>
          </w:tcPr>
          <w:p w14:paraId="6BB64F25" w14:textId="77777777" w:rsidR="00B17D28" w:rsidRPr="00F24926" w:rsidRDefault="00B17D28" w:rsidP="00B34980">
            <w:pPr>
              <w:spacing w:after="0" w:line="240" w:lineRule="auto"/>
              <w:rPr>
                <w:rFonts w:eastAsia="Times New Roman" w:cs="Calibri"/>
                <w:b/>
                <w:bCs/>
                <w:kern w:val="0"/>
                <w:sz w:val="20"/>
                <w:szCs w:val="20"/>
                <w14:ligatures w14:val="none"/>
              </w:rPr>
            </w:pPr>
          </w:p>
        </w:tc>
        <w:tc>
          <w:tcPr>
            <w:tcW w:w="1032" w:type="dxa"/>
            <w:vAlign w:val="center"/>
            <w:hideMark/>
          </w:tcPr>
          <w:p w14:paraId="4C0726F7"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TRUST4</w:t>
            </w:r>
          </w:p>
        </w:tc>
        <w:tc>
          <w:tcPr>
            <w:tcW w:w="4856" w:type="dxa"/>
            <w:vAlign w:val="center"/>
            <w:hideMark/>
          </w:tcPr>
          <w:p w14:paraId="496EBA8E"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AI-based cybersecurity systems are trustworthy.</w:t>
            </w:r>
          </w:p>
        </w:tc>
        <w:tc>
          <w:tcPr>
            <w:tcW w:w="2287" w:type="dxa"/>
            <w:vAlign w:val="center"/>
            <w:hideMark/>
          </w:tcPr>
          <w:p w14:paraId="37F7B7D9" w14:textId="77777777" w:rsidR="00B17D28" w:rsidRPr="00F24926" w:rsidRDefault="00B17D28" w:rsidP="00B34980">
            <w:pPr>
              <w:spacing w:after="0" w:line="240" w:lineRule="auto"/>
              <w:rPr>
                <w:rFonts w:eastAsia="Times New Roman" w:cs="Calibri"/>
                <w:kern w:val="0"/>
                <w:sz w:val="20"/>
                <w:szCs w:val="20"/>
                <w14:ligatures w14:val="none"/>
              </w:rPr>
            </w:pPr>
          </w:p>
        </w:tc>
      </w:tr>
      <w:tr w:rsidR="00B17D28" w:rsidRPr="00F24926" w14:paraId="56356701" w14:textId="77777777" w:rsidTr="00B34980">
        <w:trPr>
          <w:tblCellSpacing w:w="15" w:type="dxa"/>
        </w:trPr>
        <w:tc>
          <w:tcPr>
            <w:tcW w:w="2655" w:type="dxa"/>
            <w:vAlign w:val="center"/>
            <w:hideMark/>
          </w:tcPr>
          <w:p w14:paraId="10554E02" w14:textId="77777777" w:rsidR="00B17D28" w:rsidRPr="00F24926" w:rsidRDefault="00B17D28" w:rsidP="00B34980">
            <w:pPr>
              <w:spacing w:after="0" w:line="240" w:lineRule="auto"/>
              <w:rPr>
                <w:rFonts w:eastAsia="Times New Roman" w:cs="Calibri"/>
                <w:b/>
                <w:bCs/>
                <w:kern w:val="0"/>
                <w:sz w:val="20"/>
                <w:szCs w:val="20"/>
                <w14:ligatures w14:val="none"/>
              </w:rPr>
            </w:pPr>
          </w:p>
        </w:tc>
        <w:tc>
          <w:tcPr>
            <w:tcW w:w="1032" w:type="dxa"/>
            <w:vAlign w:val="center"/>
            <w:hideMark/>
          </w:tcPr>
          <w:p w14:paraId="339E60B1"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TRUST6</w:t>
            </w:r>
          </w:p>
        </w:tc>
        <w:tc>
          <w:tcPr>
            <w:tcW w:w="4856" w:type="dxa"/>
            <w:vAlign w:val="center"/>
            <w:hideMark/>
          </w:tcPr>
          <w:p w14:paraId="5DF04875"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I rely on AI cybersecurity systems for protecting my digital assets.</w:t>
            </w:r>
          </w:p>
        </w:tc>
        <w:tc>
          <w:tcPr>
            <w:tcW w:w="2287" w:type="dxa"/>
            <w:vAlign w:val="center"/>
            <w:hideMark/>
          </w:tcPr>
          <w:p w14:paraId="66188865" w14:textId="77777777" w:rsidR="00B17D28" w:rsidRPr="00F24926" w:rsidRDefault="00B17D28" w:rsidP="00B34980">
            <w:pPr>
              <w:spacing w:after="0" w:line="240" w:lineRule="auto"/>
              <w:rPr>
                <w:rFonts w:eastAsia="Times New Roman" w:cs="Calibri"/>
                <w:kern w:val="0"/>
                <w:sz w:val="20"/>
                <w:szCs w:val="20"/>
                <w14:ligatures w14:val="none"/>
              </w:rPr>
            </w:pPr>
          </w:p>
        </w:tc>
      </w:tr>
      <w:tr w:rsidR="00B17D28" w:rsidRPr="00F24926" w14:paraId="143C86D4" w14:textId="77777777" w:rsidTr="00B34980">
        <w:trPr>
          <w:trHeight w:val="438"/>
          <w:tblCellSpacing w:w="15" w:type="dxa"/>
        </w:trPr>
        <w:tc>
          <w:tcPr>
            <w:tcW w:w="2655" w:type="dxa"/>
            <w:vAlign w:val="center"/>
            <w:hideMark/>
          </w:tcPr>
          <w:p w14:paraId="59BD62CF" w14:textId="77777777" w:rsidR="00B17D28" w:rsidRPr="00F24926" w:rsidRDefault="00B17D28" w:rsidP="00B34980">
            <w:pPr>
              <w:spacing w:after="0" w:line="240" w:lineRule="auto"/>
              <w:rPr>
                <w:rFonts w:eastAsia="Times New Roman" w:cs="Calibri"/>
                <w:b/>
                <w:bCs/>
                <w:kern w:val="0"/>
                <w:sz w:val="20"/>
                <w:szCs w:val="20"/>
                <w14:ligatures w14:val="none"/>
              </w:rPr>
            </w:pPr>
            <w:r>
              <w:rPr>
                <w:rFonts w:eastAsia="Times New Roman" w:cs="Calibri"/>
                <w:b/>
                <w:bCs/>
                <w:kern w:val="0"/>
                <w:sz w:val="20"/>
                <w:szCs w:val="20"/>
                <w14:ligatures w14:val="none"/>
              </w:rPr>
              <w:t xml:space="preserve">Digital literacy </w:t>
            </w:r>
            <w:r w:rsidRPr="00F24926">
              <w:rPr>
                <w:rFonts w:eastAsia="Times New Roman" w:cs="Calibri"/>
                <w:b/>
                <w:bCs/>
                <w:kern w:val="0"/>
                <w:sz w:val="20"/>
                <w:szCs w:val="20"/>
                <w14:ligatures w14:val="none"/>
              </w:rPr>
              <w:t>(TL)</w:t>
            </w:r>
          </w:p>
        </w:tc>
        <w:tc>
          <w:tcPr>
            <w:tcW w:w="1032" w:type="dxa"/>
            <w:vAlign w:val="center"/>
            <w:hideMark/>
          </w:tcPr>
          <w:p w14:paraId="51848A0C"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TL1</w:t>
            </w:r>
          </w:p>
        </w:tc>
        <w:tc>
          <w:tcPr>
            <w:tcW w:w="4856" w:type="dxa"/>
            <w:vAlign w:val="center"/>
            <w:hideMark/>
          </w:tcPr>
          <w:p w14:paraId="64B0C8F2"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 xml:space="preserve">I can troubleshoot basic </w:t>
            </w:r>
            <w:r>
              <w:rPr>
                <w:rFonts w:eastAsia="Times New Roman" w:cs="Calibri"/>
                <w:kern w:val="0"/>
                <w:sz w:val="20"/>
                <w:szCs w:val="20"/>
                <w14:ligatures w14:val="none"/>
              </w:rPr>
              <w:t>Digital</w:t>
            </w:r>
            <w:r w:rsidRPr="00F24926">
              <w:rPr>
                <w:rFonts w:eastAsia="Times New Roman" w:cs="Calibri"/>
                <w:kern w:val="0"/>
                <w:sz w:val="20"/>
                <w:szCs w:val="20"/>
                <w14:ligatures w14:val="none"/>
              </w:rPr>
              <w:t>problems.</w:t>
            </w:r>
          </w:p>
        </w:tc>
        <w:tc>
          <w:tcPr>
            <w:tcW w:w="2287" w:type="dxa"/>
            <w:vAlign w:val="center"/>
          </w:tcPr>
          <w:p w14:paraId="6D19DCE7" w14:textId="77777777" w:rsidR="00B17D28" w:rsidRPr="00F24926" w:rsidRDefault="00B17D28" w:rsidP="00B34980">
            <w:pPr>
              <w:spacing w:after="0" w:line="240" w:lineRule="auto"/>
              <w:rPr>
                <w:rFonts w:eastAsia="Times New Roman" w:cs="Calibri"/>
                <w:kern w:val="0"/>
                <w:sz w:val="20"/>
                <w:szCs w:val="20"/>
                <w14:ligatures w14:val="none"/>
              </w:rPr>
            </w:pPr>
            <w:r>
              <w:rPr>
                <w:rFonts w:eastAsia="Times New Roman" w:cs="Calibri"/>
                <w:kern w:val="0"/>
                <w:sz w:val="20"/>
                <w:szCs w:val="20"/>
                <w14:ligatures w14:val="none"/>
              </w:rPr>
              <w:fldChar w:fldCharType="begin" w:fldLock="1"/>
            </w:r>
            <w:r>
              <w:rPr>
                <w:rFonts w:eastAsia="Times New Roman" w:cs="Calibri"/>
                <w:kern w:val="0"/>
                <w:sz w:val="20"/>
                <w:szCs w:val="20"/>
                <w14:ligatures w14:val="none"/>
              </w:rPr>
              <w:instrText>ADDIN CSL_CITATION {"citationItems":[{"id":"ITEM-1","itemData":{"author":[{"dropping-particle":"","family":"Elmy","given":"Jessnor","non-dropping-particle":"","parse-names":false,"suffix":""},{"dropping-particle":"","family":"Jizat","given":"Mat","non-dropping-particle":"","parse-names":false,"suffix":""}],"id":"ITEM-1","issue":"August","issued":{"date-parts":[["2012"]]},"title":"Investigating ICT-literacy assessment tools : Developing and validating a new assessment instrument for trainee teachers in Malaysia","type":"article-journal"},"uris":["http://www.mendeley.com/documents/?uuid=e5f53d20-c7ab-4896-927f-a09be3c16e4b"]},{"id":"ITEM-2","itemData":{"DOI":"10.1007/978-3-031-61194-0_2","ISBN":"978-3-031-61194-0","abstract":"The assessment of computer and information literacy (CIL) is at the core of the International Computer and Information Literacy Study (ICILS). In this chapter we define and describe the CIL construct that underpins the assessment used in ICILS. Computer and information literacy was first defined and described for use in ICILS 2013, and is reviewed at the beginning of each new ICILS cycle, with reference to developments in CIL-related research, policies and curriculums, and with respect to its operationalization in previous ICILS cycles. In the chapter we trace the history of the CIL construct from its origins in the second half of last century through to its contemporary instantiation as a combination of technological proficiency with facets of information literacy and communication. In ICILS, the term “Computer and Information Literacy” underscores the significance of internet-based information search and evaluation within the broader competency of utilizing contemporary technology. We continue with an explanation of the process of deriving the CIL construct definition and structure from preexisting and preeminent definitions of related constructs. We then describe the structure of the CIL constructs and elaborate on the content of the four strands divided into eight aspects that comprise the CIL construct.","author":[{"dropping-particle":"","family":"Fraillon","given":"Julian","non-dropping-particle":"","parse-names":false,"suffix":""},{"dropping-particle":"","family":"Duckworth","given":"Daniel","non-dropping-particle":"","parse-names":false,"suffix":""}],"editor":[{"dropping-particle":"","family":"Fraillon","given":"Julian","non-dropping-particle":"","parse-names":false,"suffix":""},{"dropping-particle":"","family":"Rožman","given":"Mojca","non-dropping-particle":"","parse-names":false,"suffix":""}],"id":"ITEM-2","issued":{"date-parts":[["2025"]]},"page":"21-34","publisher":"Springer Nature Switzerland","publisher-place":"Cham","title":"Computer and Information Literacy Framework BT  - IEA International Computer and Information Literacy Study 2023: Assessment Framework","type":"chapter"},"uris":["http://www.mendeley.com/documents/?uuid=8193cdcb-d504-4c0f-aa47-174fc1968a89"]}],"mendeley":{"formattedCitation":"(Elmy &amp; Jizat, 2012; Fraillon &amp; Duckworth, 2025)","plainTextFormattedCitation":"(Elmy &amp; Jizat, 2012; Fraillon &amp; Duckworth, 2025)","previouslyFormattedCitation":"(Elmy &amp; Jizat, 2012; Fraillon &amp; Duckworth, 2025)"},"properties":{"noteIndex":0},"schema":"https://github.com/citation-style-language/schema/raw/master/csl-citation.json"}</w:instrText>
            </w:r>
            <w:r>
              <w:rPr>
                <w:rFonts w:eastAsia="Times New Roman" w:cs="Calibri"/>
                <w:kern w:val="0"/>
                <w:sz w:val="20"/>
                <w:szCs w:val="20"/>
                <w14:ligatures w14:val="none"/>
              </w:rPr>
              <w:fldChar w:fldCharType="separate"/>
            </w:r>
            <w:r w:rsidRPr="00573F47">
              <w:rPr>
                <w:rFonts w:eastAsia="Times New Roman" w:cs="Calibri"/>
                <w:noProof/>
                <w:kern w:val="0"/>
                <w:sz w:val="20"/>
                <w:szCs w:val="20"/>
                <w14:ligatures w14:val="none"/>
              </w:rPr>
              <w:t>(Elmy &amp; Jizat, 2012; Fraillon &amp; Duckworth, 2025)</w:t>
            </w:r>
            <w:r>
              <w:rPr>
                <w:rFonts w:eastAsia="Times New Roman" w:cs="Calibri"/>
                <w:kern w:val="0"/>
                <w:sz w:val="20"/>
                <w:szCs w:val="20"/>
                <w14:ligatures w14:val="none"/>
              </w:rPr>
              <w:fldChar w:fldCharType="end"/>
            </w:r>
          </w:p>
        </w:tc>
      </w:tr>
      <w:tr w:rsidR="00B17D28" w:rsidRPr="00F24926" w14:paraId="4082C2F9" w14:textId="77777777" w:rsidTr="00B34980">
        <w:trPr>
          <w:tblCellSpacing w:w="15" w:type="dxa"/>
        </w:trPr>
        <w:tc>
          <w:tcPr>
            <w:tcW w:w="2655" w:type="dxa"/>
            <w:vAlign w:val="center"/>
            <w:hideMark/>
          </w:tcPr>
          <w:p w14:paraId="710D1EB2" w14:textId="77777777" w:rsidR="00B17D28" w:rsidRPr="00F24926" w:rsidRDefault="00B17D28" w:rsidP="00B34980">
            <w:pPr>
              <w:spacing w:after="0" w:line="240" w:lineRule="auto"/>
              <w:rPr>
                <w:rFonts w:eastAsia="Times New Roman" w:cs="Calibri"/>
                <w:b/>
                <w:bCs/>
                <w:kern w:val="0"/>
                <w:sz w:val="20"/>
                <w:szCs w:val="20"/>
                <w14:ligatures w14:val="none"/>
              </w:rPr>
            </w:pPr>
          </w:p>
        </w:tc>
        <w:tc>
          <w:tcPr>
            <w:tcW w:w="1032" w:type="dxa"/>
            <w:vAlign w:val="center"/>
            <w:hideMark/>
          </w:tcPr>
          <w:p w14:paraId="1F5F8EE6"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TL2</w:t>
            </w:r>
          </w:p>
        </w:tc>
        <w:tc>
          <w:tcPr>
            <w:tcW w:w="4856" w:type="dxa"/>
            <w:vAlign w:val="center"/>
            <w:hideMark/>
          </w:tcPr>
          <w:p w14:paraId="2FF9C753"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I understand how cybersecurity tools work.</w:t>
            </w:r>
          </w:p>
        </w:tc>
        <w:tc>
          <w:tcPr>
            <w:tcW w:w="2287" w:type="dxa"/>
            <w:vAlign w:val="center"/>
            <w:hideMark/>
          </w:tcPr>
          <w:p w14:paraId="1C6096B8" w14:textId="77777777" w:rsidR="00B17D28" w:rsidRPr="00F24926" w:rsidRDefault="00B17D28" w:rsidP="00B34980">
            <w:pPr>
              <w:spacing w:after="0" w:line="240" w:lineRule="auto"/>
              <w:rPr>
                <w:rFonts w:eastAsia="Times New Roman" w:cs="Calibri"/>
                <w:kern w:val="0"/>
                <w:sz w:val="20"/>
                <w:szCs w:val="20"/>
                <w14:ligatures w14:val="none"/>
              </w:rPr>
            </w:pPr>
          </w:p>
        </w:tc>
      </w:tr>
      <w:tr w:rsidR="00B17D28" w:rsidRPr="00F24926" w14:paraId="3769A27F" w14:textId="77777777" w:rsidTr="00B34980">
        <w:trPr>
          <w:tblCellSpacing w:w="15" w:type="dxa"/>
        </w:trPr>
        <w:tc>
          <w:tcPr>
            <w:tcW w:w="2655" w:type="dxa"/>
            <w:vAlign w:val="center"/>
            <w:hideMark/>
          </w:tcPr>
          <w:p w14:paraId="737E91C9" w14:textId="77777777" w:rsidR="00B17D28" w:rsidRPr="00F24926" w:rsidRDefault="00B17D28" w:rsidP="00B34980">
            <w:pPr>
              <w:spacing w:after="0" w:line="240" w:lineRule="auto"/>
              <w:rPr>
                <w:rFonts w:eastAsia="Times New Roman" w:cs="Calibri"/>
                <w:b/>
                <w:bCs/>
                <w:kern w:val="0"/>
                <w:sz w:val="20"/>
                <w:szCs w:val="20"/>
                <w14:ligatures w14:val="none"/>
              </w:rPr>
            </w:pPr>
          </w:p>
        </w:tc>
        <w:tc>
          <w:tcPr>
            <w:tcW w:w="1032" w:type="dxa"/>
            <w:vAlign w:val="center"/>
            <w:hideMark/>
          </w:tcPr>
          <w:p w14:paraId="59ABC939"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TL3</w:t>
            </w:r>
          </w:p>
        </w:tc>
        <w:tc>
          <w:tcPr>
            <w:tcW w:w="4856" w:type="dxa"/>
            <w:vAlign w:val="center"/>
            <w:hideMark/>
          </w:tcPr>
          <w:p w14:paraId="2E537DA1"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I can configure security settings on my devices.</w:t>
            </w:r>
          </w:p>
        </w:tc>
        <w:tc>
          <w:tcPr>
            <w:tcW w:w="2287" w:type="dxa"/>
            <w:vAlign w:val="center"/>
            <w:hideMark/>
          </w:tcPr>
          <w:p w14:paraId="54074EDF" w14:textId="77777777" w:rsidR="00B17D28" w:rsidRPr="00F24926" w:rsidRDefault="00B17D28" w:rsidP="00B34980">
            <w:pPr>
              <w:spacing w:after="0" w:line="240" w:lineRule="auto"/>
              <w:rPr>
                <w:rFonts w:eastAsia="Times New Roman" w:cs="Calibri"/>
                <w:kern w:val="0"/>
                <w:sz w:val="20"/>
                <w:szCs w:val="20"/>
                <w14:ligatures w14:val="none"/>
              </w:rPr>
            </w:pPr>
          </w:p>
        </w:tc>
      </w:tr>
      <w:tr w:rsidR="00B17D28" w:rsidRPr="00F24926" w14:paraId="2AC31149" w14:textId="77777777" w:rsidTr="00B34980">
        <w:trPr>
          <w:tblCellSpacing w:w="15" w:type="dxa"/>
        </w:trPr>
        <w:tc>
          <w:tcPr>
            <w:tcW w:w="2655" w:type="dxa"/>
            <w:vAlign w:val="center"/>
            <w:hideMark/>
          </w:tcPr>
          <w:p w14:paraId="6A8BA1AC" w14:textId="77777777" w:rsidR="00B17D28" w:rsidRPr="00F24926" w:rsidRDefault="00B17D28" w:rsidP="00B34980">
            <w:pPr>
              <w:spacing w:after="0" w:line="240" w:lineRule="auto"/>
              <w:rPr>
                <w:rFonts w:eastAsia="Times New Roman" w:cs="Calibri"/>
                <w:b/>
                <w:bCs/>
                <w:kern w:val="0"/>
                <w:sz w:val="20"/>
                <w:szCs w:val="20"/>
                <w14:ligatures w14:val="none"/>
              </w:rPr>
            </w:pPr>
          </w:p>
        </w:tc>
        <w:tc>
          <w:tcPr>
            <w:tcW w:w="1032" w:type="dxa"/>
            <w:vAlign w:val="center"/>
            <w:hideMark/>
          </w:tcPr>
          <w:p w14:paraId="09C644E4"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TL4</w:t>
            </w:r>
          </w:p>
        </w:tc>
        <w:tc>
          <w:tcPr>
            <w:tcW w:w="4856" w:type="dxa"/>
            <w:vAlign w:val="center"/>
            <w:hideMark/>
          </w:tcPr>
          <w:p w14:paraId="164D868B"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I am comfortable using advanced digital technologies.</w:t>
            </w:r>
          </w:p>
        </w:tc>
        <w:tc>
          <w:tcPr>
            <w:tcW w:w="2287" w:type="dxa"/>
            <w:vAlign w:val="center"/>
            <w:hideMark/>
          </w:tcPr>
          <w:p w14:paraId="372F4050" w14:textId="77777777" w:rsidR="00B17D28" w:rsidRPr="00F24926" w:rsidRDefault="00B17D28" w:rsidP="00B34980">
            <w:pPr>
              <w:spacing w:after="0" w:line="240" w:lineRule="auto"/>
              <w:rPr>
                <w:rFonts w:eastAsia="Times New Roman" w:cs="Calibri"/>
                <w:kern w:val="0"/>
                <w:sz w:val="20"/>
                <w:szCs w:val="20"/>
                <w14:ligatures w14:val="none"/>
              </w:rPr>
            </w:pPr>
          </w:p>
        </w:tc>
      </w:tr>
      <w:tr w:rsidR="00B17D28" w:rsidRPr="00F24926" w14:paraId="3AD632E1" w14:textId="77777777" w:rsidTr="00B34980">
        <w:trPr>
          <w:tblCellSpacing w:w="15" w:type="dxa"/>
        </w:trPr>
        <w:tc>
          <w:tcPr>
            <w:tcW w:w="2655" w:type="dxa"/>
            <w:vAlign w:val="center"/>
            <w:hideMark/>
          </w:tcPr>
          <w:p w14:paraId="187AD74B" w14:textId="77777777" w:rsidR="00B17D28" w:rsidRPr="00F24926" w:rsidRDefault="00B17D28" w:rsidP="00B34980">
            <w:pPr>
              <w:spacing w:after="0" w:line="240" w:lineRule="auto"/>
              <w:rPr>
                <w:rFonts w:eastAsia="Times New Roman" w:cs="Calibri"/>
                <w:b/>
                <w:bCs/>
                <w:kern w:val="0"/>
                <w:sz w:val="20"/>
                <w:szCs w:val="20"/>
                <w14:ligatures w14:val="none"/>
              </w:rPr>
            </w:pPr>
          </w:p>
        </w:tc>
        <w:tc>
          <w:tcPr>
            <w:tcW w:w="1032" w:type="dxa"/>
            <w:vAlign w:val="center"/>
            <w:hideMark/>
          </w:tcPr>
          <w:p w14:paraId="3BA20D72"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TL5</w:t>
            </w:r>
          </w:p>
        </w:tc>
        <w:tc>
          <w:tcPr>
            <w:tcW w:w="4856" w:type="dxa"/>
            <w:vAlign w:val="center"/>
            <w:hideMark/>
          </w:tcPr>
          <w:p w14:paraId="52EAA6E7"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I can identify potential security vulnerabilities.</w:t>
            </w:r>
          </w:p>
        </w:tc>
        <w:tc>
          <w:tcPr>
            <w:tcW w:w="2287" w:type="dxa"/>
            <w:vAlign w:val="center"/>
            <w:hideMark/>
          </w:tcPr>
          <w:p w14:paraId="0F11D99E" w14:textId="77777777" w:rsidR="00B17D28" w:rsidRPr="00F24926" w:rsidRDefault="00B17D28" w:rsidP="00B34980">
            <w:pPr>
              <w:spacing w:after="0" w:line="240" w:lineRule="auto"/>
              <w:rPr>
                <w:rFonts w:eastAsia="Times New Roman" w:cs="Calibri"/>
                <w:kern w:val="0"/>
                <w:sz w:val="20"/>
                <w:szCs w:val="20"/>
                <w14:ligatures w14:val="none"/>
              </w:rPr>
            </w:pPr>
          </w:p>
        </w:tc>
      </w:tr>
      <w:tr w:rsidR="00B17D28" w:rsidRPr="00F24926" w14:paraId="5381E11F" w14:textId="77777777" w:rsidTr="00B34980">
        <w:trPr>
          <w:tblCellSpacing w:w="15" w:type="dxa"/>
        </w:trPr>
        <w:tc>
          <w:tcPr>
            <w:tcW w:w="2655" w:type="dxa"/>
            <w:vAlign w:val="center"/>
            <w:hideMark/>
          </w:tcPr>
          <w:p w14:paraId="466AA938" w14:textId="77777777" w:rsidR="00B17D28" w:rsidRPr="00F24926" w:rsidRDefault="00B17D28" w:rsidP="00B34980">
            <w:pPr>
              <w:spacing w:after="0" w:line="240" w:lineRule="auto"/>
              <w:rPr>
                <w:rFonts w:eastAsia="Times New Roman" w:cs="Calibri"/>
                <w:b/>
                <w:bCs/>
                <w:kern w:val="0"/>
                <w:sz w:val="20"/>
                <w:szCs w:val="20"/>
                <w14:ligatures w14:val="none"/>
              </w:rPr>
            </w:pPr>
          </w:p>
        </w:tc>
        <w:tc>
          <w:tcPr>
            <w:tcW w:w="1032" w:type="dxa"/>
            <w:vAlign w:val="center"/>
            <w:hideMark/>
          </w:tcPr>
          <w:p w14:paraId="04EAAE20"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TL6</w:t>
            </w:r>
          </w:p>
        </w:tc>
        <w:tc>
          <w:tcPr>
            <w:tcW w:w="4856" w:type="dxa"/>
            <w:vAlign w:val="center"/>
            <w:hideMark/>
          </w:tcPr>
          <w:p w14:paraId="3A26C0DD"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I can evaluate the effectiveness of cybersecurity tools.</w:t>
            </w:r>
          </w:p>
        </w:tc>
        <w:tc>
          <w:tcPr>
            <w:tcW w:w="2287" w:type="dxa"/>
            <w:vAlign w:val="center"/>
            <w:hideMark/>
          </w:tcPr>
          <w:p w14:paraId="7BC1C3CF" w14:textId="77777777" w:rsidR="00B17D28" w:rsidRPr="00F24926" w:rsidRDefault="00B17D28" w:rsidP="00B34980">
            <w:pPr>
              <w:spacing w:after="0" w:line="240" w:lineRule="auto"/>
              <w:rPr>
                <w:rFonts w:eastAsia="Times New Roman" w:cs="Calibri"/>
                <w:kern w:val="0"/>
                <w:sz w:val="20"/>
                <w:szCs w:val="20"/>
                <w14:ligatures w14:val="none"/>
              </w:rPr>
            </w:pPr>
          </w:p>
        </w:tc>
      </w:tr>
      <w:tr w:rsidR="00B17D28" w:rsidRPr="00F24926" w14:paraId="5DDECA34" w14:textId="77777777" w:rsidTr="00B34980">
        <w:trPr>
          <w:tblCellSpacing w:w="15" w:type="dxa"/>
        </w:trPr>
        <w:tc>
          <w:tcPr>
            <w:tcW w:w="2655" w:type="dxa"/>
            <w:vAlign w:val="center"/>
            <w:hideMark/>
          </w:tcPr>
          <w:p w14:paraId="38A64518" w14:textId="77777777" w:rsidR="00B17D28" w:rsidRPr="00F24926" w:rsidRDefault="00B17D28" w:rsidP="00B34980">
            <w:pPr>
              <w:spacing w:after="0" w:line="240" w:lineRule="auto"/>
              <w:rPr>
                <w:rFonts w:eastAsia="Times New Roman" w:cs="Calibri"/>
                <w:b/>
                <w:bCs/>
                <w:kern w:val="0"/>
                <w:sz w:val="20"/>
                <w:szCs w:val="20"/>
                <w14:ligatures w14:val="none"/>
              </w:rPr>
            </w:pPr>
          </w:p>
        </w:tc>
        <w:tc>
          <w:tcPr>
            <w:tcW w:w="1032" w:type="dxa"/>
            <w:vAlign w:val="center"/>
            <w:hideMark/>
          </w:tcPr>
          <w:p w14:paraId="5DB57399"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TL7</w:t>
            </w:r>
          </w:p>
        </w:tc>
        <w:tc>
          <w:tcPr>
            <w:tcW w:w="4856" w:type="dxa"/>
            <w:vAlign w:val="center"/>
            <w:hideMark/>
          </w:tcPr>
          <w:p w14:paraId="1520922C"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I am skilled at managing my online security.</w:t>
            </w:r>
          </w:p>
        </w:tc>
        <w:tc>
          <w:tcPr>
            <w:tcW w:w="2287" w:type="dxa"/>
            <w:vAlign w:val="center"/>
            <w:hideMark/>
          </w:tcPr>
          <w:p w14:paraId="1D945071" w14:textId="77777777" w:rsidR="00B17D28" w:rsidRPr="00F24926" w:rsidRDefault="00B17D28" w:rsidP="00B34980">
            <w:pPr>
              <w:spacing w:after="0" w:line="240" w:lineRule="auto"/>
              <w:rPr>
                <w:rFonts w:eastAsia="Times New Roman" w:cs="Calibri"/>
                <w:kern w:val="0"/>
                <w:sz w:val="20"/>
                <w:szCs w:val="20"/>
                <w14:ligatures w14:val="none"/>
              </w:rPr>
            </w:pPr>
          </w:p>
        </w:tc>
      </w:tr>
      <w:tr w:rsidR="00B17D28" w:rsidRPr="00F24926" w14:paraId="4C9EF66C" w14:textId="77777777" w:rsidTr="00B34980">
        <w:trPr>
          <w:tblCellSpacing w:w="15" w:type="dxa"/>
        </w:trPr>
        <w:tc>
          <w:tcPr>
            <w:tcW w:w="2655" w:type="dxa"/>
            <w:vAlign w:val="center"/>
            <w:hideMark/>
          </w:tcPr>
          <w:p w14:paraId="47000DD9" w14:textId="77777777" w:rsidR="00B17D28" w:rsidRPr="00F24926" w:rsidRDefault="00B17D28" w:rsidP="00B34980">
            <w:pPr>
              <w:spacing w:after="0" w:line="240" w:lineRule="auto"/>
              <w:rPr>
                <w:rFonts w:eastAsia="Times New Roman" w:cs="Calibri"/>
                <w:b/>
                <w:bCs/>
                <w:kern w:val="0"/>
                <w:sz w:val="20"/>
                <w:szCs w:val="20"/>
                <w14:ligatures w14:val="none"/>
              </w:rPr>
            </w:pPr>
          </w:p>
        </w:tc>
        <w:tc>
          <w:tcPr>
            <w:tcW w:w="1032" w:type="dxa"/>
            <w:vAlign w:val="center"/>
            <w:hideMark/>
          </w:tcPr>
          <w:p w14:paraId="68201951"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TL8</w:t>
            </w:r>
          </w:p>
        </w:tc>
        <w:tc>
          <w:tcPr>
            <w:tcW w:w="4856" w:type="dxa"/>
            <w:vAlign w:val="center"/>
            <w:hideMark/>
          </w:tcPr>
          <w:p w14:paraId="32783050"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I can use AI-based tools confidently.</w:t>
            </w:r>
          </w:p>
        </w:tc>
        <w:tc>
          <w:tcPr>
            <w:tcW w:w="2287" w:type="dxa"/>
            <w:vAlign w:val="center"/>
            <w:hideMark/>
          </w:tcPr>
          <w:p w14:paraId="47E23884" w14:textId="77777777" w:rsidR="00B17D28" w:rsidRPr="00F24926" w:rsidRDefault="00B17D28" w:rsidP="00B34980">
            <w:pPr>
              <w:spacing w:after="0" w:line="240" w:lineRule="auto"/>
              <w:rPr>
                <w:rFonts w:eastAsia="Times New Roman" w:cs="Calibri"/>
                <w:kern w:val="0"/>
                <w:sz w:val="20"/>
                <w:szCs w:val="20"/>
                <w14:ligatures w14:val="none"/>
              </w:rPr>
            </w:pPr>
          </w:p>
        </w:tc>
      </w:tr>
      <w:tr w:rsidR="00B17D28" w:rsidRPr="00F24926" w14:paraId="24FA8726" w14:textId="77777777" w:rsidTr="00B34980">
        <w:trPr>
          <w:tblCellSpacing w:w="15" w:type="dxa"/>
        </w:trPr>
        <w:tc>
          <w:tcPr>
            <w:tcW w:w="2655" w:type="dxa"/>
            <w:vAlign w:val="center"/>
            <w:hideMark/>
          </w:tcPr>
          <w:p w14:paraId="0960583E" w14:textId="77777777" w:rsidR="00B17D28" w:rsidRPr="00F24926" w:rsidRDefault="00B17D28" w:rsidP="00B34980">
            <w:pPr>
              <w:spacing w:after="0" w:line="240" w:lineRule="auto"/>
              <w:rPr>
                <w:rFonts w:eastAsia="Times New Roman" w:cs="Calibri"/>
                <w:b/>
                <w:bCs/>
                <w:kern w:val="0"/>
                <w:sz w:val="20"/>
                <w:szCs w:val="20"/>
                <w14:ligatures w14:val="none"/>
              </w:rPr>
            </w:pPr>
            <w:r w:rsidRPr="00F24926">
              <w:rPr>
                <w:rFonts w:eastAsia="Times New Roman" w:cs="Calibri"/>
                <w:b/>
                <w:bCs/>
                <w:kern w:val="0"/>
                <w:sz w:val="20"/>
                <w:szCs w:val="20"/>
                <w14:ligatures w14:val="none"/>
              </w:rPr>
              <w:t>Behavioral Intention to Use (BI)</w:t>
            </w:r>
          </w:p>
        </w:tc>
        <w:tc>
          <w:tcPr>
            <w:tcW w:w="1032" w:type="dxa"/>
            <w:vAlign w:val="center"/>
            <w:hideMark/>
          </w:tcPr>
          <w:p w14:paraId="5025EF2E"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BI1</w:t>
            </w:r>
          </w:p>
        </w:tc>
        <w:tc>
          <w:tcPr>
            <w:tcW w:w="4856" w:type="dxa"/>
            <w:vAlign w:val="center"/>
            <w:hideMark/>
          </w:tcPr>
          <w:p w14:paraId="5A559B70"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I intend to use AI-based cybersecurity systems in the future.</w:t>
            </w:r>
          </w:p>
        </w:tc>
        <w:tc>
          <w:tcPr>
            <w:tcW w:w="2287" w:type="dxa"/>
            <w:vAlign w:val="center"/>
            <w:hideMark/>
          </w:tcPr>
          <w:p w14:paraId="21390ED3"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Davis, 1989; Venkatesh et al., 2003</w:t>
            </w:r>
          </w:p>
        </w:tc>
      </w:tr>
      <w:tr w:rsidR="00B17D28" w:rsidRPr="00F24926" w14:paraId="3A74CAD3" w14:textId="77777777" w:rsidTr="00B34980">
        <w:trPr>
          <w:tblCellSpacing w:w="15" w:type="dxa"/>
        </w:trPr>
        <w:tc>
          <w:tcPr>
            <w:tcW w:w="2655" w:type="dxa"/>
            <w:vAlign w:val="center"/>
            <w:hideMark/>
          </w:tcPr>
          <w:p w14:paraId="3A1F961F" w14:textId="77777777" w:rsidR="00B17D28" w:rsidRPr="00F24926" w:rsidRDefault="00B17D28" w:rsidP="00B34980">
            <w:pPr>
              <w:spacing w:after="0" w:line="240" w:lineRule="auto"/>
              <w:rPr>
                <w:rFonts w:eastAsia="Times New Roman" w:cs="Calibri"/>
                <w:b/>
                <w:bCs/>
                <w:kern w:val="0"/>
                <w:sz w:val="20"/>
                <w:szCs w:val="20"/>
                <w14:ligatures w14:val="none"/>
              </w:rPr>
            </w:pPr>
          </w:p>
        </w:tc>
        <w:tc>
          <w:tcPr>
            <w:tcW w:w="1032" w:type="dxa"/>
            <w:vAlign w:val="center"/>
            <w:hideMark/>
          </w:tcPr>
          <w:p w14:paraId="68CEEA84"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BI2</w:t>
            </w:r>
          </w:p>
        </w:tc>
        <w:tc>
          <w:tcPr>
            <w:tcW w:w="4856" w:type="dxa"/>
            <w:vAlign w:val="center"/>
            <w:hideMark/>
          </w:tcPr>
          <w:p w14:paraId="6507C030"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I will frequently use AI cybersecurity tools when available.</w:t>
            </w:r>
          </w:p>
        </w:tc>
        <w:tc>
          <w:tcPr>
            <w:tcW w:w="2287" w:type="dxa"/>
            <w:vAlign w:val="center"/>
            <w:hideMark/>
          </w:tcPr>
          <w:p w14:paraId="7564E367" w14:textId="77777777" w:rsidR="00B17D28" w:rsidRPr="00F24926" w:rsidRDefault="00B17D28" w:rsidP="00B34980">
            <w:pPr>
              <w:spacing w:after="0" w:line="240" w:lineRule="auto"/>
              <w:rPr>
                <w:rFonts w:eastAsia="Times New Roman" w:cs="Calibri"/>
                <w:kern w:val="0"/>
                <w:sz w:val="20"/>
                <w:szCs w:val="20"/>
                <w14:ligatures w14:val="none"/>
              </w:rPr>
            </w:pPr>
          </w:p>
        </w:tc>
      </w:tr>
      <w:tr w:rsidR="00B17D28" w:rsidRPr="00F24926" w14:paraId="07D143EB" w14:textId="77777777" w:rsidTr="00B34980">
        <w:trPr>
          <w:tblCellSpacing w:w="15" w:type="dxa"/>
        </w:trPr>
        <w:tc>
          <w:tcPr>
            <w:tcW w:w="2655" w:type="dxa"/>
            <w:vAlign w:val="center"/>
            <w:hideMark/>
          </w:tcPr>
          <w:p w14:paraId="2D95C36A" w14:textId="77777777" w:rsidR="00B17D28" w:rsidRPr="00F24926" w:rsidRDefault="00B17D28" w:rsidP="00B34980">
            <w:pPr>
              <w:spacing w:after="0" w:line="240" w:lineRule="auto"/>
              <w:rPr>
                <w:rFonts w:eastAsia="Times New Roman" w:cs="Calibri"/>
                <w:b/>
                <w:bCs/>
                <w:kern w:val="0"/>
                <w:sz w:val="20"/>
                <w:szCs w:val="20"/>
                <w14:ligatures w14:val="none"/>
              </w:rPr>
            </w:pPr>
          </w:p>
        </w:tc>
        <w:tc>
          <w:tcPr>
            <w:tcW w:w="1032" w:type="dxa"/>
            <w:vAlign w:val="center"/>
            <w:hideMark/>
          </w:tcPr>
          <w:p w14:paraId="65768D47"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BI3</w:t>
            </w:r>
          </w:p>
        </w:tc>
        <w:tc>
          <w:tcPr>
            <w:tcW w:w="4856" w:type="dxa"/>
            <w:vAlign w:val="center"/>
            <w:hideMark/>
          </w:tcPr>
          <w:p w14:paraId="1016B97C"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I plan to adopt AI cybersecurity systems for use.</w:t>
            </w:r>
          </w:p>
        </w:tc>
        <w:tc>
          <w:tcPr>
            <w:tcW w:w="2287" w:type="dxa"/>
            <w:vAlign w:val="center"/>
            <w:hideMark/>
          </w:tcPr>
          <w:p w14:paraId="52D6719C" w14:textId="77777777" w:rsidR="00B17D28" w:rsidRPr="00F24926" w:rsidRDefault="00B17D28" w:rsidP="00B34980">
            <w:pPr>
              <w:spacing w:after="0" w:line="240" w:lineRule="auto"/>
              <w:rPr>
                <w:rFonts w:eastAsia="Times New Roman" w:cs="Calibri"/>
                <w:kern w:val="0"/>
                <w:sz w:val="20"/>
                <w:szCs w:val="20"/>
                <w14:ligatures w14:val="none"/>
              </w:rPr>
            </w:pPr>
          </w:p>
        </w:tc>
      </w:tr>
      <w:tr w:rsidR="00B17D28" w:rsidRPr="00F24926" w14:paraId="18EF4A39" w14:textId="77777777" w:rsidTr="00B34980">
        <w:trPr>
          <w:tblCellSpacing w:w="15" w:type="dxa"/>
        </w:trPr>
        <w:tc>
          <w:tcPr>
            <w:tcW w:w="2655" w:type="dxa"/>
            <w:vAlign w:val="center"/>
            <w:hideMark/>
          </w:tcPr>
          <w:p w14:paraId="02274479" w14:textId="77777777" w:rsidR="00B17D28" w:rsidRPr="00F24926" w:rsidRDefault="00B17D28" w:rsidP="00B34980">
            <w:pPr>
              <w:spacing w:after="0" w:line="240" w:lineRule="auto"/>
              <w:rPr>
                <w:rFonts w:eastAsia="Times New Roman" w:cs="Calibri"/>
                <w:b/>
                <w:bCs/>
                <w:kern w:val="0"/>
                <w:sz w:val="20"/>
                <w:szCs w:val="20"/>
                <w14:ligatures w14:val="none"/>
              </w:rPr>
            </w:pPr>
          </w:p>
        </w:tc>
        <w:tc>
          <w:tcPr>
            <w:tcW w:w="1032" w:type="dxa"/>
            <w:vAlign w:val="center"/>
            <w:hideMark/>
          </w:tcPr>
          <w:p w14:paraId="377A8EFA"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BI4</w:t>
            </w:r>
          </w:p>
        </w:tc>
        <w:tc>
          <w:tcPr>
            <w:tcW w:w="4856" w:type="dxa"/>
            <w:vAlign w:val="center"/>
            <w:hideMark/>
          </w:tcPr>
          <w:p w14:paraId="73CBEF6D"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I would recommend AI cybersecurity systems to others.</w:t>
            </w:r>
          </w:p>
        </w:tc>
        <w:tc>
          <w:tcPr>
            <w:tcW w:w="2287" w:type="dxa"/>
            <w:vAlign w:val="center"/>
            <w:hideMark/>
          </w:tcPr>
          <w:p w14:paraId="71AD1AEF" w14:textId="77777777" w:rsidR="00B17D28" w:rsidRPr="00F24926" w:rsidRDefault="00B17D28" w:rsidP="00B34980">
            <w:pPr>
              <w:spacing w:after="0" w:line="240" w:lineRule="auto"/>
              <w:rPr>
                <w:rFonts w:eastAsia="Times New Roman" w:cs="Calibri"/>
                <w:kern w:val="0"/>
                <w:sz w:val="20"/>
                <w:szCs w:val="20"/>
                <w14:ligatures w14:val="none"/>
              </w:rPr>
            </w:pPr>
          </w:p>
        </w:tc>
      </w:tr>
      <w:tr w:rsidR="00B17D28" w:rsidRPr="00F24926" w14:paraId="2AD214E0" w14:textId="77777777" w:rsidTr="00B34980">
        <w:trPr>
          <w:tblCellSpacing w:w="15" w:type="dxa"/>
        </w:trPr>
        <w:tc>
          <w:tcPr>
            <w:tcW w:w="2655" w:type="dxa"/>
            <w:vAlign w:val="center"/>
            <w:hideMark/>
          </w:tcPr>
          <w:p w14:paraId="2EFF28E0" w14:textId="77777777" w:rsidR="00B17D28" w:rsidRPr="00F24926" w:rsidRDefault="00B17D28" w:rsidP="00B34980">
            <w:pPr>
              <w:spacing w:after="0" w:line="240" w:lineRule="auto"/>
              <w:rPr>
                <w:rFonts w:eastAsia="Times New Roman" w:cs="Calibri"/>
                <w:b/>
                <w:bCs/>
                <w:kern w:val="0"/>
                <w:sz w:val="20"/>
                <w:szCs w:val="20"/>
                <w14:ligatures w14:val="none"/>
              </w:rPr>
            </w:pPr>
          </w:p>
        </w:tc>
        <w:tc>
          <w:tcPr>
            <w:tcW w:w="1032" w:type="dxa"/>
            <w:vAlign w:val="center"/>
            <w:hideMark/>
          </w:tcPr>
          <w:p w14:paraId="0DCFEDBF"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BI5</w:t>
            </w:r>
          </w:p>
        </w:tc>
        <w:tc>
          <w:tcPr>
            <w:tcW w:w="4856" w:type="dxa"/>
            <w:vAlign w:val="center"/>
            <w:hideMark/>
          </w:tcPr>
          <w:p w14:paraId="7CE08017"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I am willing to depend on AI systems for cybersecurity protection.</w:t>
            </w:r>
          </w:p>
        </w:tc>
        <w:tc>
          <w:tcPr>
            <w:tcW w:w="2287" w:type="dxa"/>
            <w:vAlign w:val="center"/>
            <w:hideMark/>
          </w:tcPr>
          <w:p w14:paraId="4B9EEC0A" w14:textId="77777777" w:rsidR="00B17D28" w:rsidRPr="00F24926" w:rsidRDefault="00B17D28" w:rsidP="00B34980">
            <w:pPr>
              <w:spacing w:after="0" w:line="240" w:lineRule="auto"/>
              <w:rPr>
                <w:rFonts w:eastAsia="Times New Roman" w:cs="Calibri"/>
                <w:kern w:val="0"/>
                <w:sz w:val="20"/>
                <w:szCs w:val="20"/>
                <w14:ligatures w14:val="none"/>
              </w:rPr>
            </w:pPr>
          </w:p>
        </w:tc>
      </w:tr>
      <w:tr w:rsidR="00B17D28" w:rsidRPr="00F24926" w14:paraId="57AA9AC6" w14:textId="77777777" w:rsidTr="00B34980">
        <w:trPr>
          <w:tblCellSpacing w:w="15" w:type="dxa"/>
        </w:trPr>
        <w:tc>
          <w:tcPr>
            <w:tcW w:w="2655" w:type="dxa"/>
            <w:tcBorders>
              <w:bottom w:val="single" w:sz="4" w:space="0" w:color="auto"/>
            </w:tcBorders>
            <w:vAlign w:val="center"/>
            <w:hideMark/>
          </w:tcPr>
          <w:p w14:paraId="587795AA" w14:textId="77777777" w:rsidR="00B17D28" w:rsidRPr="00F24926" w:rsidRDefault="00B17D28" w:rsidP="00B34980">
            <w:pPr>
              <w:spacing w:after="0" w:line="240" w:lineRule="auto"/>
              <w:rPr>
                <w:rFonts w:eastAsia="Times New Roman" w:cs="Calibri"/>
                <w:b/>
                <w:bCs/>
                <w:kern w:val="0"/>
                <w:sz w:val="20"/>
                <w:szCs w:val="20"/>
                <w14:ligatures w14:val="none"/>
              </w:rPr>
            </w:pPr>
          </w:p>
        </w:tc>
        <w:tc>
          <w:tcPr>
            <w:tcW w:w="1032" w:type="dxa"/>
            <w:tcBorders>
              <w:bottom w:val="single" w:sz="4" w:space="0" w:color="auto"/>
            </w:tcBorders>
            <w:vAlign w:val="center"/>
            <w:hideMark/>
          </w:tcPr>
          <w:p w14:paraId="7EB56EC0"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BI6</w:t>
            </w:r>
          </w:p>
        </w:tc>
        <w:tc>
          <w:tcPr>
            <w:tcW w:w="4856" w:type="dxa"/>
            <w:tcBorders>
              <w:bottom w:val="single" w:sz="4" w:space="0" w:color="auto"/>
            </w:tcBorders>
            <w:vAlign w:val="center"/>
            <w:hideMark/>
          </w:tcPr>
          <w:p w14:paraId="1166AD58" w14:textId="77777777" w:rsidR="00B17D28" w:rsidRPr="00F24926" w:rsidRDefault="00B17D28" w:rsidP="00B34980">
            <w:pPr>
              <w:spacing w:after="0" w:line="240" w:lineRule="auto"/>
              <w:rPr>
                <w:rFonts w:eastAsia="Times New Roman" w:cs="Calibri"/>
                <w:kern w:val="0"/>
                <w:sz w:val="20"/>
                <w:szCs w:val="20"/>
                <w14:ligatures w14:val="none"/>
              </w:rPr>
            </w:pPr>
            <w:r w:rsidRPr="00F24926">
              <w:rPr>
                <w:rFonts w:eastAsia="Times New Roman" w:cs="Calibri"/>
                <w:kern w:val="0"/>
                <w:sz w:val="20"/>
                <w:szCs w:val="20"/>
                <w14:ligatures w14:val="none"/>
              </w:rPr>
              <w:t>I expect to increase my use of AI cybersecurity systems.</w:t>
            </w:r>
          </w:p>
        </w:tc>
        <w:tc>
          <w:tcPr>
            <w:tcW w:w="2287" w:type="dxa"/>
            <w:tcBorders>
              <w:bottom w:val="single" w:sz="4" w:space="0" w:color="auto"/>
            </w:tcBorders>
            <w:vAlign w:val="center"/>
            <w:hideMark/>
          </w:tcPr>
          <w:p w14:paraId="2B14CA88" w14:textId="77777777" w:rsidR="00B17D28" w:rsidRPr="00F24926" w:rsidRDefault="00B17D28" w:rsidP="00B34980">
            <w:pPr>
              <w:spacing w:after="0" w:line="240" w:lineRule="auto"/>
              <w:rPr>
                <w:rFonts w:eastAsia="Times New Roman" w:cs="Calibri"/>
                <w:kern w:val="0"/>
                <w:sz w:val="20"/>
                <w:szCs w:val="20"/>
                <w14:ligatures w14:val="none"/>
              </w:rPr>
            </w:pPr>
          </w:p>
        </w:tc>
      </w:tr>
    </w:tbl>
    <w:p w14:paraId="47006FD4" w14:textId="77777777" w:rsidR="00B17D28" w:rsidRPr="00F24926" w:rsidRDefault="00B17D28" w:rsidP="00B17D28">
      <w:pPr>
        <w:spacing w:after="0" w:line="240" w:lineRule="auto"/>
        <w:rPr>
          <w:rFonts w:eastAsia="Times New Roman" w:cs="Calibri"/>
          <w:b/>
          <w:bCs/>
          <w:kern w:val="0"/>
          <w:sz w:val="20"/>
          <w:szCs w:val="20"/>
          <w14:ligatures w14:val="none"/>
        </w:rPr>
      </w:pPr>
    </w:p>
    <w:p w14:paraId="4E56556F" w14:textId="77777777" w:rsidR="00EB4A2D" w:rsidRDefault="00EB4A2D"/>
    <w:sectPr w:rsidR="00EB4A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D28"/>
    <w:rsid w:val="001D3053"/>
    <w:rsid w:val="002C7D54"/>
    <w:rsid w:val="0033371E"/>
    <w:rsid w:val="005C0D39"/>
    <w:rsid w:val="0070406C"/>
    <w:rsid w:val="00724754"/>
    <w:rsid w:val="007C6295"/>
    <w:rsid w:val="00B17D28"/>
    <w:rsid w:val="00C321FA"/>
    <w:rsid w:val="00C97210"/>
    <w:rsid w:val="00EB4A2D"/>
    <w:rsid w:val="00EE513F"/>
    <w:rsid w:val="00FC50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43830"/>
  <w15:chartTrackingRefBased/>
  <w15:docId w15:val="{68943F49-C49C-44B8-BD29-7B62A5B82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D28"/>
    <w:rPr>
      <w:lang w:val="en-US"/>
    </w:rPr>
  </w:style>
  <w:style w:type="paragraph" w:styleId="Heading1">
    <w:name w:val="heading 1"/>
    <w:basedOn w:val="Normal"/>
    <w:next w:val="Normal"/>
    <w:link w:val="Heading1Char"/>
    <w:uiPriority w:val="9"/>
    <w:qFormat/>
    <w:rsid w:val="00B17D28"/>
    <w:pPr>
      <w:keepNext/>
      <w:keepLines/>
      <w:spacing w:before="360" w:after="80"/>
      <w:outlineLvl w:val="0"/>
    </w:pPr>
    <w:rPr>
      <w:rFonts w:asciiTheme="majorHAnsi" w:eastAsiaTheme="majorEastAsia" w:hAnsiTheme="majorHAnsi" w:cstheme="majorBidi"/>
      <w:color w:val="0F4761" w:themeColor="accent1" w:themeShade="BF"/>
      <w:sz w:val="40"/>
      <w:szCs w:val="40"/>
      <w:lang w:val="en-IN"/>
    </w:rPr>
  </w:style>
  <w:style w:type="paragraph" w:styleId="Heading2">
    <w:name w:val="heading 2"/>
    <w:basedOn w:val="Normal"/>
    <w:next w:val="Normal"/>
    <w:link w:val="Heading2Char"/>
    <w:uiPriority w:val="9"/>
    <w:semiHidden/>
    <w:unhideWhenUsed/>
    <w:qFormat/>
    <w:rsid w:val="00B17D28"/>
    <w:pPr>
      <w:keepNext/>
      <w:keepLines/>
      <w:spacing w:before="160" w:after="80"/>
      <w:outlineLvl w:val="1"/>
    </w:pPr>
    <w:rPr>
      <w:rFonts w:asciiTheme="majorHAnsi" w:eastAsiaTheme="majorEastAsia" w:hAnsiTheme="majorHAnsi" w:cstheme="majorBidi"/>
      <w:color w:val="0F4761" w:themeColor="accent1" w:themeShade="BF"/>
      <w:sz w:val="32"/>
      <w:szCs w:val="32"/>
      <w:lang w:val="en-IN"/>
    </w:rPr>
  </w:style>
  <w:style w:type="paragraph" w:styleId="Heading3">
    <w:name w:val="heading 3"/>
    <w:basedOn w:val="Normal"/>
    <w:next w:val="Normal"/>
    <w:link w:val="Heading3Char"/>
    <w:uiPriority w:val="9"/>
    <w:semiHidden/>
    <w:unhideWhenUsed/>
    <w:qFormat/>
    <w:rsid w:val="00B17D28"/>
    <w:pPr>
      <w:keepNext/>
      <w:keepLines/>
      <w:spacing w:before="160" w:after="80"/>
      <w:outlineLvl w:val="2"/>
    </w:pPr>
    <w:rPr>
      <w:rFonts w:eastAsiaTheme="majorEastAsia" w:cstheme="majorBidi"/>
      <w:color w:val="0F4761" w:themeColor="accent1" w:themeShade="BF"/>
      <w:sz w:val="28"/>
      <w:szCs w:val="28"/>
      <w:lang w:val="en-IN"/>
    </w:rPr>
  </w:style>
  <w:style w:type="paragraph" w:styleId="Heading4">
    <w:name w:val="heading 4"/>
    <w:basedOn w:val="Normal"/>
    <w:next w:val="Normal"/>
    <w:link w:val="Heading4Char"/>
    <w:uiPriority w:val="9"/>
    <w:semiHidden/>
    <w:unhideWhenUsed/>
    <w:qFormat/>
    <w:rsid w:val="00B17D28"/>
    <w:pPr>
      <w:keepNext/>
      <w:keepLines/>
      <w:spacing w:before="80" w:after="40"/>
      <w:outlineLvl w:val="3"/>
    </w:pPr>
    <w:rPr>
      <w:rFonts w:eastAsiaTheme="majorEastAsia" w:cstheme="majorBidi"/>
      <w:i/>
      <w:iCs/>
      <w:color w:val="0F4761" w:themeColor="accent1" w:themeShade="BF"/>
      <w:lang w:val="en-IN"/>
    </w:rPr>
  </w:style>
  <w:style w:type="paragraph" w:styleId="Heading5">
    <w:name w:val="heading 5"/>
    <w:basedOn w:val="Normal"/>
    <w:next w:val="Normal"/>
    <w:link w:val="Heading5Char"/>
    <w:uiPriority w:val="9"/>
    <w:semiHidden/>
    <w:unhideWhenUsed/>
    <w:qFormat/>
    <w:rsid w:val="00B17D28"/>
    <w:pPr>
      <w:keepNext/>
      <w:keepLines/>
      <w:spacing w:before="80" w:after="40"/>
      <w:outlineLvl w:val="4"/>
    </w:pPr>
    <w:rPr>
      <w:rFonts w:eastAsiaTheme="majorEastAsia" w:cstheme="majorBidi"/>
      <w:color w:val="0F4761" w:themeColor="accent1" w:themeShade="BF"/>
      <w:lang w:val="en-IN"/>
    </w:rPr>
  </w:style>
  <w:style w:type="paragraph" w:styleId="Heading6">
    <w:name w:val="heading 6"/>
    <w:basedOn w:val="Normal"/>
    <w:next w:val="Normal"/>
    <w:link w:val="Heading6Char"/>
    <w:uiPriority w:val="9"/>
    <w:semiHidden/>
    <w:unhideWhenUsed/>
    <w:qFormat/>
    <w:rsid w:val="00B17D28"/>
    <w:pPr>
      <w:keepNext/>
      <w:keepLines/>
      <w:spacing w:before="40" w:after="0"/>
      <w:outlineLvl w:val="5"/>
    </w:pPr>
    <w:rPr>
      <w:rFonts w:eastAsiaTheme="majorEastAsia" w:cstheme="majorBidi"/>
      <w:i/>
      <w:iCs/>
      <w:color w:val="595959" w:themeColor="text1" w:themeTint="A6"/>
      <w:lang w:val="en-IN"/>
    </w:rPr>
  </w:style>
  <w:style w:type="paragraph" w:styleId="Heading7">
    <w:name w:val="heading 7"/>
    <w:basedOn w:val="Normal"/>
    <w:next w:val="Normal"/>
    <w:link w:val="Heading7Char"/>
    <w:uiPriority w:val="9"/>
    <w:semiHidden/>
    <w:unhideWhenUsed/>
    <w:qFormat/>
    <w:rsid w:val="00B17D28"/>
    <w:pPr>
      <w:keepNext/>
      <w:keepLines/>
      <w:spacing w:before="40" w:after="0"/>
      <w:outlineLvl w:val="6"/>
    </w:pPr>
    <w:rPr>
      <w:rFonts w:eastAsiaTheme="majorEastAsia" w:cstheme="majorBidi"/>
      <w:color w:val="595959" w:themeColor="text1" w:themeTint="A6"/>
      <w:lang w:val="en-IN"/>
    </w:rPr>
  </w:style>
  <w:style w:type="paragraph" w:styleId="Heading8">
    <w:name w:val="heading 8"/>
    <w:basedOn w:val="Normal"/>
    <w:next w:val="Normal"/>
    <w:link w:val="Heading8Char"/>
    <w:uiPriority w:val="9"/>
    <w:semiHidden/>
    <w:unhideWhenUsed/>
    <w:qFormat/>
    <w:rsid w:val="00B17D28"/>
    <w:pPr>
      <w:keepNext/>
      <w:keepLines/>
      <w:spacing w:after="0"/>
      <w:outlineLvl w:val="7"/>
    </w:pPr>
    <w:rPr>
      <w:rFonts w:eastAsiaTheme="majorEastAsia" w:cstheme="majorBidi"/>
      <w:i/>
      <w:iCs/>
      <w:color w:val="272727" w:themeColor="text1" w:themeTint="D8"/>
      <w:lang w:val="en-IN"/>
    </w:rPr>
  </w:style>
  <w:style w:type="paragraph" w:styleId="Heading9">
    <w:name w:val="heading 9"/>
    <w:basedOn w:val="Normal"/>
    <w:next w:val="Normal"/>
    <w:link w:val="Heading9Char"/>
    <w:uiPriority w:val="9"/>
    <w:semiHidden/>
    <w:unhideWhenUsed/>
    <w:qFormat/>
    <w:rsid w:val="00B17D28"/>
    <w:pPr>
      <w:keepNext/>
      <w:keepLines/>
      <w:spacing w:after="0"/>
      <w:outlineLvl w:val="8"/>
    </w:pPr>
    <w:rPr>
      <w:rFonts w:eastAsiaTheme="majorEastAsia" w:cstheme="majorBidi"/>
      <w:color w:val="272727" w:themeColor="text1" w:themeTint="D8"/>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7D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7D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7D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7D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7D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7D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D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D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D28"/>
    <w:rPr>
      <w:rFonts w:eastAsiaTheme="majorEastAsia" w:cstheme="majorBidi"/>
      <w:color w:val="272727" w:themeColor="text1" w:themeTint="D8"/>
    </w:rPr>
  </w:style>
  <w:style w:type="paragraph" w:styleId="Title">
    <w:name w:val="Title"/>
    <w:basedOn w:val="Normal"/>
    <w:next w:val="Normal"/>
    <w:link w:val="TitleChar"/>
    <w:uiPriority w:val="10"/>
    <w:qFormat/>
    <w:rsid w:val="00B17D28"/>
    <w:pPr>
      <w:spacing w:after="80" w:line="240" w:lineRule="auto"/>
      <w:contextualSpacing/>
    </w:pPr>
    <w:rPr>
      <w:rFonts w:asciiTheme="majorHAnsi" w:eastAsiaTheme="majorEastAsia" w:hAnsiTheme="majorHAnsi" w:cstheme="majorBidi"/>
      <w:spacing w:val="-10"/>
      <w:kern w:val="28"/>
      <w:sz w:val="56"/>
      <w:szCs w:val="56"/>
      <w:lang w:val="en-IN"/>
    </w:rPr>
  </w:style>
  <w:style w:type="character" w:customStyle="1" w:styleId="TitleChar">
    <w:name w:val="Title Char"/>
    <w:basedOn w:val="DefaultParagraphFont"/>
    <w:link w:val="Title"/>
    <w:uiPriority w:val="10"/>
    <w:rsid w:val="00B17D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D28"/>
    <w:pPr>
      <w:numPr>
        <w:ilvl w:val="1"/>
      </w:numPr>
    </w:pPr>
    <w:rPr>
      <w:rFonts w:eastAsiaTheme="majorEastAsia" w:cstheme="majorBidi"/>
      <w:color w:val="595959" w:themeColor="text1" w:themeTint="A6"/>
      <w:spacing w:val="15"/>
      <w:sz w:val="28"/>
      <w:szCs w:val="28"/>
      <w:lang w:val="en-IN"/>
    </w:rPr>
  </w:style>
  <w:style w:type="character" w:customStyle="1" w:styleId="SubtitleChar">
    <w:name w:val="Subtitle Char"/>
    <w:basedOn w:val="DefaultParagraphFont"/>
    <w:link w:val="Subtitle"/>
    <w:uiPriority w:val="11"/>
    <w:rsid w:val="00B17D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D28"/>
    <w:pPr>
      <w:spacing w:before="160"/>
      <w:jc w:val="center"/>
    </w:pPr>
    <w:rPr>
      <w:i/>
      <w:iCs/>
      <w:color w:val="404040" w:themeColor="text1" w:themeTint="BF"/>
      <w:lang w:val="en-IN"/>
    </w:rPr>
  </w:style>
  <w:style w:type="character" w:customStyle="1" w:styleId="QuoteChar">
    <w:name w:val="Quote Char"/>
    <w:basedOn w:val="DefaultParagraphFont"/>
    <w:link w:val="Quote"/>
    <w:uiPriority w:val="29"/>
    <w:rsid w:val="00B17D28"/>
    <w:rPr>
      <w:i/>
      <w:iCs/>
      <w:color w:val="404040" w:themeColor="text1" w:themeTint="BF"/>
    </w:rPr>
  </w:style>
  <w:style w:type="paragraph" w:styleId="ListParagraph">
    <w:name w:val="List Paragraph"/>
    <w:basedOn w:val="Normal"/>
    <w:uiPriority w:val="34"/>
    <w:qFormat/>
    <w:rsid w:val="00B17D28"/>
    <w:pPr>
      <w:ind w:left="720"/>
      <w:contextualSpacing/>
    </w:pPr>
    <w:rPr>
      <w:lang w:val="en-IN"/>
    </w:rPr>
  </w:style>
  <w:style w:type="character" w:styleId="IntenseEmphasis">
    <w:name w:val="Intense Emphasis"/>
    <w:basedOn w:val="DefaultParagraphFont"/>
    <w:uiPriority w:val="21"/>
    <w:qFormat/>
    <w:rsid w:val="00B17D28"/>
    <w:rPr>
      <w:i/>
      <w:iCs/>
      <w:color w:val="0F4761" w:themeColor="accent1" w:themeShade="BF"/>
    </w:rPr>
  </w:style>
  <w:style w:type="paragraph" w:styleId="IntenseQuote">
    <w:name w:val="Intense Quote"/>
    <w:basedOn w:val="Normal"/>
    <w:next w:val="Normal"/>
    <w:link w:val="IntenseQuoteChar"/>
    <w:uiPriority w:val="30"/>
    <w:qFormat/>
    <w:rsid w:val="00B17D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IN"/>
    </w:rPr>
  </w:style>
  <w:style w:type="character" w:customStyle="1" w:styleId="IntenseQuoteChar">
    <w:name w:val="Intense Quote Char"/>
    <w:basedOn w:val="DefaultParagraphFont"/>
    <w:link w:val="IntenseQuote"/>
    <w:uiPriority w:val="30"/>
    <w:rsid w:val="00B17D28"/>
    <w:rPr>
      <w:i/>
      <w:iCs/>
      <w:color w:val="0F4761" w:themeColor="accent1" w:themeShade="BF"/>
    </w:rPr>
  </w:style>
  <w:style w:type="character" w:styleId="IntenseReference">
    <w:name w:val="Intense Reference"/>
    <w:basedOn w:val="DefaultParagraphFont"/>
    <w:uiPriority w:val="32"/>
    <w:qFormat/>
    <w:rsid w:val="00B17D28"/>
    <w:rPr>
      <w:b/>
      <w:bCs/>
      <w:smallCaps/>
      <w:color w:val="0F4761" w:themeColor="accent1" w:themeShade="BF"/>
      <w:spacing w:val="5"/>
    </w:rPr>
  </w:style>
  <w:style w:type="table" w:styleId="TableGrid">
    <w:name w:val="Table Grid"/>
    <w:basedOn w:val="TableNormal"/>
    <w:uiPriority w:val="39"/>
    <w:rsid w:val="00B17D2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5004</Words>
  <Characters>28527</Characters>
  <Application>Microsoft Office Word</Application>
  <DocSecurity>0</DocSecurity>
  <Lines>237</Lines>
  <Paragraphs>66</Paragraphs>
  <ScaleCrop>false</ScaleCrop>
  <Company/>
  <LinksUpToDate>false</LinksUpToDate>
  <CharactersWithSpaces>33465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 Gaikwad</dc:creator>
  <cp:keywords/>
  <dc:description/>
  <cp:lastModifiedBy>Pradeep Gaikwad</cp:lastModifiedBy>
  <cp:revision>1</cp:revision>
  <dcterms:created xsi:type="dcterms:W3CDTF">2026-07-08T11:40:00Z</dcterms:created>
  <dcterms:modified xsi:type="dcterms:W3CDTF">2026-07-08T11:40:00Z</dcterms:modified>
</cp:coreProperties>
</file>