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100"/>
      </w:pPr>
      <w:r>
        <w:t xml:space="preserve"/>
      </w:r>
    </w:p>
    <w:p>
      <w:pPr>
        <w:spacing w:after="240"/>
        <w:jc w:val="center"/>
      </w:pPr>
      <w:r>
        <w:rPr>
          <w:rFonts w:ascii="Arial" w:cs="Arial" w:eastAsia="Arial" w:hAnsi="Arial"/>
          <w:b/>
          <w:bCs/>
          <w:color w:val="0D2B4E"/>
          <w:sz w:val="30"/>
          <w:szCs w:val="30"/>
        </w:rPr>
        <w:t xml:space="preserve">Electronic Supplementary Material</w:t>
      </w:r>
    </w:p>
    <w:p>
      <w:pPr>
        <w:spacing w:after="120"/>
        <w:jc w:val="center"/>
      </w:pPr>
      <w:r>
        <w:rPr>
          <w:rFonts w:ascii="Times New Roman" w:cs="Times New Roman" w:eastAsia="Times New Roman" w:hAnsi="Times New Roman"/>
          <w:i/>
          <w:iCs/>
          <w:color w:val="1A1A1A"/>
          <w:sz w:val="22"/>
          <w:szCs w:val="22"/>
        </w:rPr>
        <w:t xml:space="preserve">Assessment of Groundwater Storage Variability and Recharge Dynamics in Nigeria's Major Aquifer Systems (2002-2024): An Integrated GRACE/GRACE-FO, GLDAS, and Borehole-Validated Satellite Gravimetry Analysis</w:t>
      </w:r>
    </w:p>
    <w:p>
      <w:pPr>
        <w:spacing w:after="60"/>
        <w:jc w:val="center"/>
      </w:pPr>
      <w:r>
        <w:rPr>
          <w:rFonts w:ascii="Times New Roman" w:cs="Times New Roman" w:eastAsia="Times New Roman" w:hAnsi="Times New Roman"/>
          <w:b/>
          <w:bCs/>
          <w:color w:val="1A1A1A"/>
          <w:sz w:val="22"/>
          <w:szCs w:val="22"/>
        </w:rPr>
        <w:t xml:space="preserve">Samuel Olaide Okediji</w:t>
      </w:r>
    </w:p>
    <w:p>
      <w:pPr>
        <w:spacing w:after="60"/>
        <w:jc w:val="center"/>
      </w:pPr>
      <w:r>
        <w:rPr>
          <w:rFonts w:ascii="Times New Roman" w:cs="Times New Roman" w:eastAsia="Times New Roman" w:hAnsi="Times New Roman"/>
          <w:i/>
          <w:iCs/>
          <w:color w:val="1A1A1A"/>
          <w:sz w:val="19"/>
          <w:szCs w:val="19"/>
        </w:rPr>
        <w:t xml:space="preserve">Department of Applied Geophysics, Federal University of Agriculture Abeokuta, Nigeria</w:t>
      </w:r>
    </w:p>
    <w:p>
      <w:pPr>
        <w:spacing w:after="60"/>
        <w:jc w:val="center"/>
      </w:pPr>
      <w:r>
        <w:rPr>
          <w:rFonts w:ascii="Times New Roman" w:cs="Times New Roman" w:eastAsia="Times New Roman" w:hAnsi="Times New Roman"/>
          <w:color w:val="1565C0"/>
          <w:sz w:val="18"/>
          <w:szCs w:val="18"/>
        </w:rPr>
        <w:t xml:space="preserve">samuelolaideokediji@gmail.com | ORCID: 0009-0001-3220-971X</w:t>
      </w:r>
    </w:p>
    <w:p>
      <w:pPr>
        <w:spacing w:after="100"/>
      </w:pPr>
      <w:r>
        <w:t xml:space="preserve"/>
      </w:r>
    </w:p>
    <w:p>
      <w:pPr>
        <w:spacing w:after="100"/>
      </w:pPr>
      <w:r>
        <w:t xml:space="preserve"/>
      </w:r>
    </w:p>
    <w:p>
      <w:pPr>
        <w:pStyle w:val="Heading1"/>
        <w:spacing w:after="160" w:before="380"/>
      </w:pPr>
      <w:r>
        <w:rPr>
          <w:rFonts w:ascii="Arial" w:cs="Arial" w:eastAsia="Arial" w:hAnsi="Arial"/>
          <w:b/>
          <w:bCs/>
          <w:color w:val="0D2B4E"/>
          <w:sz w:val="28"/>
          <w:szCs w:val="28"/>
        </w:rPr>
        <w:t xml:space="preserve">ESM Table S1</w:t>
      </w:r>
    </w:p>
    <w:p>
      <w:pPr>
        <w:spacing w:after="260" w:before="40"/>
        <w:jc w:val="left"/>
      </w:pPr>
      <w:r>
        <w:rPr>
          <w:rFonts w:ascii="Times New Roman" w:cs="Times New Roman" w:eastAsia="Times New Roman" w:hAnsi="Times New Roman"/>
          <w:b/>
          <w:bCs/>
          <w:color w:val="455A64"/>
          <w:sz w:val="19"/>
          <w:szCs w:val="19"/>
        </w:rPr>
        <w:t xml:space="preserve">Table S1 </w:t>
      </w:r>
      <w:r>
        <w:rPr>
          <w:rFonts w:ascii="Times New Roman" w:cs="Times New Roman" w:eastAsia="Times New Roman" w:hAnsi="Times New Roman"/>
          <w:color w:val="455A64"/>
          <w:sz w:val="19"/>
          <w:szCs w:val="19"/>
        </w:rPr>
        <w:t xml:space="preserve">Chad Basin observation borehole water level decline 1960-2012. Positive values indicate artesian head above ground surface; negative values indicate water level below ground. Source: Miller et al. (1968) and Adamu et al. (2017).</w:t>
      </w:r>
    </w:p>
    <w:tbl>
      <w:tblPr>
        <w:tblW w:type="dxa" w:w="86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700"/>
        <w:gridCol w:w="2300"/>
        <w:gridCol w:w="2300"/>
        <w:gridCol w:w="2300"/>
      </w:tblGrid>
      <w:tr>
        <w:trPr>
          <w:tblHeader/>
        </w:trPr>
        <w:tc>
          <w:tcPr>
            <w:tcW w:type="dxa" w:w="1700"/>
            <w:tcBorders>
              <w:top w:val="single" w:color="0D2B4E" w:sz="6"/>
              <w:left w:val="nil"/>
              <w:bottom w:val="single" w:color="0D2B4E" w:sz="6"/>
              <w:right w:val="nil"/>
            </w:tcBorders>
            <w:shd w:fill="FFFFFF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/>
                <w:bCs/>
                <w:sz w:val="18"/>
                <w:szCs w:val="18"/>
              </w:rPr>
              <w:t xml:space="preserve">Year</w:t>
            </w:r>
          </w:p>
        </w:tc>
        <w:tc>
          <w:tcPr>
            <w:tcW w:type="dxa" w:w="2300"/>
            <w:tcBorders>
              <w:top w:val="single" w:color="0D2B4E" w:sz="6"/>
              <w:left w:val="nil"/>
              <w:bottom w:val="single" w:color="0D2B4E" w:sz="6"/>
              <w:right w:val="nil"/>
            </w:tcBorders>
            <w:shd w:fill="FFFFFF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/>
                <w:bCs/>
                <w:sz w:val="18"/>
                <w:szCs w:val="18"/>
              </w:rPr>
              <w:t xml:space="preserve">Dalori (Middle Zone)</w:t>
            </w:r>
          </w:p>
        </w:tc>
        <w:tc>
          <w:tcPr>
            <w:tcW w:type="dxa" w:w="2300"/>
            <w:tcBorders>
              <w:top w:val="single" w:color="0D2B4E" w:sz="6"/>
              <w:left w:val="nil"/>
              <w:bottom w:val="single" w:color="0D2B4E" w:sz="6"/>
              <w:right w:val="nil"/>
            </w:tcBorders>
            <w:shd w:fill="FFFFFF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/>
                <w:bCs/>
                <w:sz w:val="18"/>
                <w:szCs w:val="18"/>
              </w:rPr>
              <w:t xml:space="preserve">Sabsawa (Middle Zone)</w:t>
            </w:r>
          </w:p>
        </w:tc>
        <w:tc>
          <w:tcPr>
            <w:tcW w:type="dxa" w:w="2300"/>
            <w:tcBorders>
              <w:top w:val="single" w:color="0D2B4E" w:sz="6"/>
              <w:left w:val="nil"/>
              <w:bottom w:val="single" w:color="0D2B4E" w:sz="6"/>
              <w:right w:val="nil"/>
            </w:tcBorders>
            <w:shd w:fill="FFFFFF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/>
                <w:bCs/>
                <w:sz w:val="18"/>
                <w:szCs w:val="18"/>
              </w:rPr>
              <w:t xml:space="preserve">Gajibo (Lower Zone)</w:t>
            </w:r>
          </w:p>
        </w:tc>
      </w:tr>
      <w:tr>
        <w:tc>
          <w:tcPr>
            <w:tcW w:type="dxa" w:w="17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8F9FA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1960</w:t>
            </w:r>
          </w:p>
        </w:tc>
        <w:tc>
          <w:tcPr>
            <w:tcW w:type="dxa" w:w="23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8F9FA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+5.8 m (artesian)</w:t>
            </w:r>
          </w:p>
        </w:tc>
        <w:tc>
          <w:tcPr>
            <w:tcW w:type="dxa" w:w="23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8F9FA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+12.5 m (artesian)</w:t>
            </w:r>
          </w:p>
        </w:tc>
        <w:tc>
          <w:tcPr>
            <w:tcW w:type="dxa" w:w="23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8F9FA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+12.5 m (artesian)</w:t>
            </w:r>
          </w:p>
        </w:tc>
      </w:tr>
      <w:tr>
        <w:tc>
          <w:tcPr>
            <w:tcW w:type="dxa" w:w="17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FFFFF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1965</w:t>
            </w:r>
          </w:p>
        </w:tc>
        <w:tc>
          <w:tcPr>
            <w:tcW w:type="dxa" w:w="23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FFFFF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-18.2 m</w:t>
            </w:r>
          </w:p>
        </w:tc>
        <w:tc>
          <w:tcPr>
            <w:tcW w:type="dxa" w:w="23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FFFFF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+3.9 m (artesian)</w:t>
            </w:r>
          </w:p>
        </w:tc>
        <w:tc>
          <w:tcPr>
            <w:tcW w:type="dxa" w:w="23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FFFFF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+10.2 m (artesian)</w:t>
            </w:r>
          </w:p>
        </w:tc>
      </w:tr>
      <w:tr>
        <w:tc>
          <w:tcPr>
            <w:tcW w:type="dxa" w:w="17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8F9FA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2007</w:t>
            </w:r>
          </w:p>
        </w:tc>
        <w:tc>
          <w:tcPr>
            <w:tcW w:type="dxa" w:w="23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8F9FA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-36.2 m</w:t>
            </w:r>
          </w:p>
        </w:tc>
        <w:tc>
          <w:tcPr>
            <w:tcW w:type="dxa" w:w="23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8F9FA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-4.0 m</w:t>
            </w:r>
          </w:p>
        </w:tc>
        <w:tc>
          <w:tcPr>
            <w:tcW w:type="dxa" w:w="23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8F9FA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+1.2 m (artesian)</w:t>
            </w:r>
          </w:p>
        </w:tc>
      </w:tr>
      <w:tr>
        <w:tc>
          <w:tcPr>
            <w:tcW w:type="dxa" w:w="17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FFFFF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2012</w:t>
            </w:r>
          </w:p>
        </w:tc>
        <w:tc>
          <w:tcPr>
            <w:tcW w:type="dxa" w:w="23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FFFFF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-43.2 m</w:t>
            </w:r>
          </w:p>
        </w:tc>
        <w:tc>
          <w:tcPr>
            <w:tcW w:type="dxa" w:w="23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FFFFF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-6.8 m</w:t>
            </w:r>
          </w:p>
        </w:tc>
        <w:tc>
          <w:tcPr>
            <w:tcW w:type="dxa" w:w="23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FFFFF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+0.3 m</w:t>
            </w:r>
          </w:p>
        </w:tc>
      </w:tr>
      <w:tr>
        <w:tc>
          <w:tcPr>
            <w:tcW w:type="dxa" w:w="17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8F9FA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Net 1960-2012</w:t>
            </w:r>
          </w:p>
        </w:tc>
        <w:tc>
          <w:tcPr>
            <w:tcW w:type="dxa" w:w="23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8F9FA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-49.0 m</w:t>
            </w:r>
          </w:p>
        </w:tc>
        <w:tc>
          <w:tcPr>
            <w:tcW w:type="dxa" w:w="23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8F9FA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-19.3 m</w:t>
            </w:r>
          </w:p>
        </w:tc>
        <w:tc>
          <w:tcPr>
            <w:tcW w:type="dxa" w:w="23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8F9FA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-12.2 m</w:t>
            </w:r>
          </w:p>
        </w:tc>
      </w:tr>
      <w:tr>
        <w:tc>
          <w:tcPr>
            <w:tcW w:type="dxa" w:w="17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FFFFF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Annual rate</w:t>
            </w:r>
          </w:p>
        </w:tc>
        <w:tc>
          <w:tcPr>
            <w:tcW w:type="dxa" w:w="23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FFFFF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-0.94 m yr-1</w:t>
            </w:r>
          </w:p>
        </w:tc>
        <w:tc>
          <w:tcPr>
            <w:tcW w:type="dxa" w:w="23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FFFFF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-0.37 m yr-1</w:t>
            </w:r>
          </w:p>
        </w:tc>
        <w:tc>
          <w:tcPr>
            <w:tcW w:type="dxa" w:w="23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FFFFF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-0.23 m yr-1</w:t>
            </w:r>
          </w:p>
        </w:tc>
      </w:tr>
    </w:tbl>
    <w:p>
      <w:pPr>
        <w:spacing w:after="100"/>
      </w:pPr>
      <w:r>
        <w:t xml:space="preserve"/>
      </w:r>
    </w:p>
    <w:p>
      <w:pPr>
        <w:spacing w:after="100"/>
      </w:pPr>
      <w:r>
        <w:t xml:space="preserve"/>
      </w:r>
    </w:p>
    <w:p>
      <w:pPr>
        <w:pStyle w:val="Heading1"/>
        <w:spacing w:after="160" w:before="380"/>
      </w:pPr>
      <w:r>
        <w:rPr>
          <w:rFonts w:ascii="Arial" w:cs="Arial" w:eastAsia="Arial" w:hAnsi="Arial"/>
          <w:b/>
          <w:bCs/>
          <w:color w:val="0D2B4E"/>
          <w:sz w:val="28"/>
          <w:szCs w:val="28"/>
        </w:rPr>
        <w:t xml:space="preserve">ESM Table S2</w:t>
      </w:r>
    </w:p>
    <w:p>
      <w:pPr>
        <w:spacing w:after="260" w:before="40"/>
        <w:jc w:val="left"/>
      </w:pPr>
      <w:r>
        <w:rPr>
          <w:rFonts w:ascii="Times New Roman" w:cs="Times New Roman" w:eastAsia="Times New Roman" w:hAnsi="Times New Roman"/>
          <w:b/>
          <w:bCs/>
          <w:color w:val="455A64"/>
          <w:sz w:val="19"/>
          <w:szCs w:val="19"/>
        </w:rPr>
        <w:t xml:space="preserve">Table S2 </w:t>
      </w:r>
      <w:r>
        <w:rPr>
          <w:rFonts w:ascii="Times New Roman" w:cs="Times New Roman" w:eastAsia="Times New Roman" w:hAnsi="Times New Roman"/>
          <w:color w:val="455A64"/>
          <w:sz w:val="19"/>
          <w:szCs w:val="19"/>
        </w:rPr>
        <w:t xml:space="preserve">Borehole validation summary across the six aquifer zones. Direct validation: monthly time series correlation against satellite anomalies. Indirect validation: formation-specific hydraulic parameters constraining Sy and aquifer geometry assumptions.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500"/>
        <w:gridCol w:w="1700"/>
        <w:gridCol w:w="1300"/>
        <w:gridCol w:w="1100"/>
        <w:gridCol w:w="1500"/>
        <w:gridCol w:w="1900"/>
      </w:tblGrid>
      <w:tr>
        <w:trPr>
          <w:tblHeader/>
        </w:trPr>
        <w:tc>
          <w:tcPr>
            <w:tcW w:type="dxa" w:w="1500"/>
            <w:tcBorders>
              <w:top w:val="single" w:color="0D2B4E" w:sz="6"/>
              <w:left w:val="nil"/>
              <w:bottom w:val="single" w:color="0D2B4E" w:sz="6"/>
              <w:right w:val="nil"/>
            </w:tcBorders>
            <w:shd w:fill="FFFFFF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/>
                <w:bCs/>
                <w:sz w:val="18"/>
                <w:szCs w:val="18"/>
              </w:rPr>
              <w:t xml:space="preserve">Zone</w:t>
            </w:r>
          </w:p>
        </w:tc>
        <w:tc>
          <w:tcPr>
            <w:tcW w:type="dxa" w:w="1700"/>
            <w:tcBorders>
              <w:top w:val="single" w:color="0D2B4E" w:sz="6"/>
              <w:left w:val="nil"/>
              <w:bottom w:val="single" w:color="0D2B4E" w:sz="6"/>
              <w:right w:val="nil"/>
            </w:tcBorders>
            <w:shd w:fill="FFFFFF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/>
                <w:bCs/>
                <w:sz w:val="18"/>
                <w:szCs w:val="18"/>
              </w:rPr>
              <w:t xml:space="preserve">Sample Boreholes</w:t>
            </w:r>
          </w:p>
        </w:tc>
        <w:tc>
          <w:tcPr>
            <w:tcW w:type="dxa" w:w="1300"/>
            <w:tcBorders>
              <w:top w:val="single" w:color="0D2B4E" w:sz="6"/>
              <w:left w:val="nil"/>
              <w:bottom w:val="single" w:color="0D2B4E" w:sz="6"/>
              <w:right w:val="nil"/>
            </w:tcBorders>
            <w:shd w:fill="FFFFFF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/>
                <w:bCs/>
                <w:sz w:val="18"/>
                <w:szCs w:val="18"/>
              </w:rPr>
              <w:t xml:space="preserve">Source Period</w:t>
            </w:r>
          </w:p>
        </w:tc>
        <w:tc>
          <w:tcPr>
            <w:tcW w:type="dxa" w:w="1100"/>
            <w:tcBorders>
              <w:top w:val="single" w:color="0D2B4E" w:sz="6"/>
              <w:left w:val="nil"/>
              <w:bottom w:val="single" w:color="0D2B4E" w:sz="6"/>
              <w:right w:val="nil"/>
            </w:tcBorders>
            <w:shd w:fill="FFFFFF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/>
                <w:bCs/>
                <w:sz w:val="18"/>
                <w:szCs w:val="18"/>
              </w:rPr>
              <w:t xml:space="preserve">Depth Range (m)</w:t>
            </w:r>
          </w:p>
        </w:tc>
        <w:tc>
          <w:tcPr>
            <w:tcW w:type="dxa" w:w="1500"/>
            <w:tcBorders>
              <w:top w:val="single" w:color="0D2B4E" w:sz="6"/>
              <w:left w:val="nil"/>
              <w:bottom w:val="single" w:color="0D2B4E" w:sz="6"/>
              <w:right w:val="nil"/>
            </w:tcBorders>
            <w:shd w:fill="FFFFFF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/>
                <w:bCs/>
                <w:sz w:val="18"/>
                <w:szCs w:val="18"/>
              </w:rPr>
              <w:t xml:space="preserve">T Range (m2 day-1)</w:t>
            </w:r>
          </w:p>
        </w:tc>
        <w:tc>
          <w:tcPr>
            <w:tcW w:type="dxa" w:w="1900"/>
            <w:tcBorders>
              <w:top w:val="single" w:color="0D2B4E" w:sz="6"/>
              <w:left w:val="nil"/>
              <w:bottom w:val="single" w:color="0D2B4E" w:sz="6"/>
              <w:right w:val="nil"/>
            </w:tcBorders>
            <w:shd w:fill="FFFFFF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/>
                <w:bCs/>
                <w:sz w:val="18"/>
                <w:szCs w:val="18"/>
              </w:rPr>
              <w:t xml:space="preserve">Validation Type</w:t>
            </w:r>
          </w:p>
        </w:tc>
      </w:tr>
      <w:tr>
        <w:tc>
          <w:tcPr>
            <w:tcW w:type="dxa" w:w="15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8F9FA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Chad Basin</w:t>
            </w:r>
          </w:p>
        </w:tc>
        <w:tc>
          <w:tcPr>
            <w:tcW w:type="dxa" w:w="17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8F9FA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15 USGS + 3 long-term</w:t>
            </w:r>
          </w:p>
        </w:tc>
        <w:tc>
          <w:tcPr>
            <w:tcW w:type="dxa" w:w="13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8F9FA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1963-2012</w:t>
            </w:r>
          </w:p>
        </w:tc>
        <w:tc>
          <w:tcPr>
            <w:tcW w:type="dxa" w:w="11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8F9FA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55-400+</w:t>
            </w:r>
          </w:p>
        </w:tc>
        <w:tc>
          <w:tcPr>
            <w:tcW w:type="dxa" w:w="15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8F9FA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5.5-10,800</w:t>
            </w:r>
          </w:p>
        </w:tc>
        <w:tc>
          <w:tcPr>
            <w:tcW w:type="dxa" w:w="19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8F9FA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Direct (1960-2012 time series)</w:t>
            </w:r>
          </w:p>
        </w:tc>
      </w:tr>
      <w:tr>
        <w:tc>
          <w:tcPr>
            <w:tcW w:type="dxa" w:w="15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FFFFF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Sokoto Basin</w:t>
            </w:r>
          </w:p>
        </w:tc>
        <w:tc>
          <w:tcPr>
            <w:tcW w:type="dxa" w:w="17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FFFFF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40 hydrochemical</w:t>
            </w:r>
          </w:p>
        </w:tc>
        <w:tc>
          <w:tcPr>
            <w:tcW w:type="dxa" w:w="13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FFFFF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2017</w:t>
            </w:r>
          </w:p>
        </w:tc>
        <w:tc>
          <w:tcPr>
            <w:tcW w:type="dxa" w:w="11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FFFFF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30-250</w:t>
            </w:r>
          </w:p>
        </w:tc>
        <w:tc>
          <w:tcPr>
            <w:tcW w:type="dxa" w:w="15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FFFFF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300-5,000</w:t>
            </w:r>
          </w:p>
        </w:tc>
        <w:tc>
          <w:tcPr>
            <w:tcW w:type="dxa" w:w="19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FFFFF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Indirect (formation parameters)</w:t>
            </w:r>
          </w:p>
        </w:tc>
      </w:tr>
      <w:tr>
        <w:tc>
          <w:tcPr>
            <w:tcW w:type="dxa" w:w="15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8F9FA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Basement Complex</w:t>
            </w:r>
          </w:p>
        </w:tc>
        <w:tc>
          <w:tcPr>
            <w:tcW w:type="dxa" w:w="17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8F9FA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34 VES sites</w:t>
            </w:r>
          </w:p>
        </w:tc>
        <w:tc>
          <w:tcPr>
            <w:tcW w:type="dxa" w:w="13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8F9FA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2009-2020</w:t>
            </w:r>
          </w:p>
        </w:tc>
        <w:tc>
          <w:tcPr>
            <w:tcW w:type="dxa" w:w="11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8F9FA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2.45-37.88</w:t>
            </w:r>
          </w:p>
        </w:tc>
        <w:tc>
          <w:tcPr>
            <w:tcW w:type="dxa" w:w="15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8F9FA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0.01-50</w:t>
            </w:r>
          </w:p>
        </w:tc>
        <w:tc>
          <w:tcPr>
            <w:tcW w:type="dxa" w:w="19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8F9FA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Indirect (geometry, Sy)</w:t>
            </w:r>
          </w:p>
        </w:tc>
      </w:tr>
      <w:tr>
        <w:tc>
          <w:tcPr>
            <w:tcW w:type="dxa" w:w="15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FFFFF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Niger Delta</w:t>
            </w:r>
          </w:p>
        </w:tc>
        <w:tc>
          <w:tcPr>
            <w:tcW w:type="dxa" w:w="17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FFFFF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10 coastal boreholes</w:t>
            </w:r>
          </w:p>
        </w:tc>
        <w:tc>
          <w:tcPr>
            <w:tcW w:type="dxa" w:w="13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FFFFF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2021</w:t>
            </w:r>
          </w:p>
        </w:tc>
        <w:tc>
          <w:tcPr>
            <w:tcW w:type="dxa" w:w="11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FFFFF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195-265</w:t>
            </w:r>
          </w:p>
        </w:tc>
        <w:tc>
          <w:tcPr>
            <w:tcW w:type="dxa" w:w="15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FFFFF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50-8,000</w:t>
            </w:r>
          </w:p>
        </w:tc>
        <w:tc>
          <w:tcPr>
            <w:tcW w:type="dxa" w:w="19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FFFFF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Indirect (formation parameters)</w:t>
            </w:r>
          </w:p>
        </w:tc>
      </w:tr>
      <w:tr>
        <w:tc>
          <w:tcPr>
            <w:tcW w:type="dxa" w:w="15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8F9FA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Middle Niger</w:t>
            </w:r>
          </w:p>
        </w:tc>
        <w:tc>
          <w:tcPr>
            <w:tcW w:type="dxa" w:w="17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8F9FA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17 VES at Lokoja</w:t>
            </w:r>
          </w:p>
        </w:tc>
        <w:tc>
          <w:tcPr>
            <w:tcW w:type="dxa" w:w="13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8F9FA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2019</w:t>
            </w:r>
          </w:p>
        </w:tc>
        <w:tc>
          <w:tcPr>
            <w:tcW w:type="dxa" w:w="11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8F9FA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15-55</w:t>
            </w:r>
          </w:p>
        </w:tc>
        <w:tc>
          <w:tcPr>
            <w:tcW w:type="dxa" w:w="15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8F9FA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38-146,440</w:t>
            </w:r>
          </w:p>
        </w:tc>
        <w:tc>
          <w:tcPr>
            <w:tcW w:type="dxa" w:w="19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8F9FA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Indirect (geometry, Sy)</w:t>
            </w:r>
          </w:p>
        </w:tc>
      </w:tr>
      <w:tr>
        <w:tc>
          <w:tcPr>
            <w:tcW w:type="dxa" w:w="15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FFFFF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Benue Trough</w:t>
            </w:r>
          </w:p>
        </w:tc>
        <w:tc>
          <w:tcPr>
            <w:tcW w:type="dxa" w:w="17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FFFFF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30 VES + 12 LGAs</w:t>
            </w:r>
          </w:p>
        </w:tc>
        <w:tc>
          <w:tcPr>
            <w:tcW w:type="dxa" w:w="13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FFFFF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2018, 2020, 2022</w:t>
            </w:r>
          </w:p>
        </w:tc>
        <w:tc>
          <w:tcPr>
            <w:tcW w:type="dxa" w:w="11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FFFFF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3-65</w:t>
            </w:r>
          </w:p>
        </w:tc>
        <w:tc>
          <w:tcPr>
            <w:tcW w:type="dxa" w:w="15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FFFFF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0.19-684</w:t>
            </w:r>
          </w:p>
        </w:tc>
        <w:tc>
          <w:tcPr>
            <w:tcW w:type="dxa" w:w="1900"/>
            <w:tcBorders>
              <w:top w:val="single" w:color="B0BEC5" w:sz="1"/>
              <w:left w:val="nil"/>
              <w:bottom w:val="single" w:color="B0BEC5" w:sz="1"/>
              <w:right w:val="nil"/>
            </w:tcBorders>
            <w:shd w:fill="FFFFFF" w:val="clear"/>
            <w:tcMar>
              <w:top w:type="dxa" w:w="100"/>
              <w:left w:type="dxa" w:w="120"/>
              <w:bottom w:type="dxa" w:w="100"/>
              <w:right w:type="dxa" w:w="120"/>
            </w:tcMar>
          </w:tcPr>
          <w:p>
            <w:r>
              <w:rPr>
                <w:rFonts w:ascii="Arial" w:cs="Arial" w:eastAsia="Arial" w:hAnsi="Arial"/>
                <w:b w:val="false"/>
                <w:bCs w:val="false"/>
                <w:sz w:val="18"/>
                <w:szCs w:val="18"/>
              </w:rPr>
              <w:t xml:space="preserve">Indirect (geometry, Sy)</w:t>
            </w:r>
          </w:p>
        </w:tc>
      </w:tr>
    </w:tbl>
    <w:p>
      <w:pPr>
        <w:spacing w:after="100"/>
      </w:pPr>
      <w:r>
        <w:t xml:space="preserve"/>
      </w:r>
    </w:p>
    <w:p>
      <w:pPr>
        <w:spacing w:after="100"/>
      </w:pPr>
      <w:r>
        <w:t xml:space="preserve"/>
      </w:r>
    </w:p>
    <w:p>
      <w:pPr>
        <w:pStyle w:val="Heading1"/>
        <w:spacing w:after="160" w:before="380"/>
      </w:pPr>
      <w:r>
        <w:rPr>
          <w:rFonts w:ascii="Arial" w:cs="Arial" w:eastAsia="Arial" w:hAnsi="Arial"/>
          <w:b/>
          <w:bCs/>
          <w:color w:val="0D2B4E"/>
          <w:sz w:val="28"/>
          <w:szCs w:val="28"/>
        </w:rPr>
        <w:t xml:space="preserve">ESM Fig S1</w:t>
      </w:r>
    </w:p>
    <w:p>
      <w:pPr>
        <w:spacing w:after="60" w:before="220"/>
        <w:jc w:val="center"/>
      </w:pPr>
      <w:r>
        <w:drawing>
          <wp:inline distT="0" distB="0" distL="0" distR="0">
            <wp:extent cx="5429250" cy="325755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80" w:before="40"/>
        <w:jc w:val="left"/>
      </w:pPr>
      <w:r>
        <w:rPr>
          <w:rFonts w:ascii="Times New Roman" w:cs="Times New Roman" w:eastAsia="Times New Roman" w:hAnsi="Times New Roman"/>
          <w:b/>
          <w:bCs/>
          <w:color w:val="455A64"/>
          <w:sz w:val="19"/>
          <w:szCs w:val="19"/>
        </w:rPr>
        <w:t xml:space="preserve">Fig. S1 </w:t>
      </w:r>
      <w:r>
        <w:rPr>
          <w:rFonts w:ascii="Times New Roman" w:cs="Times New Roman" w:eastAsia="Times New Roman" w:hAnsi="Times New Roman"/>
          <w:color w:val="455A64"/>
          <w:sz w:val="19"/>
          <w:szCs w:val="19"/>
        </w:rPr>
        <w:t xml:space="preserve">Scatter plots of GRACE TWS anomaly versus GLDAS GWS proxy anomaly per aquifer zone (n = 238 overlapping months). Pearson correlations are weak (r = -0.34 to +0.09), with five of six zones showing weak negative correlation. RMSE 70-186 mm; NSE uniformly negative across all zones. Systematic departure from the 1:1 line quantifies the non-groundwater component in the GRACE TWS signal.</w:t>
      </w:r>
    </w:p>
    <w:p>
      <w:pPr>
        <w:spacing w:after="100"/>
      </w:pPr>
      <w:r>
        <w:t xml:space="preserve"/>
      </w:r>
    </w:p>
    <w:p>
      <w:pPr>
        <w:spacing w:after="100"/>
      </w:pPr>
      <w:r>
        <w:t xml:space="preserve"/>
      </w:r>
    </w:p>
    <w:p>
      <w:pPr>
        <w:pStyle w:val="Heading1"/>
        <w:spacing w:after="160" w:before="380"/>
      </w:pPr>
      <w:r>
        <w:rPr>
          <w:rFonts w:ascii="Arial" w:cs="Arial" w:eastAsia="Arial" w:hAnsi="Arial"/>
          <w:b/>
          <w:bCs/>
          <w:color w:val="0D2B4E"/>
          <w:sz w:val="28"/>
          <w:szCs w:val="28"/>
        </w:rPr>
        <w:t xml:space="preserve">ESM Fig S2</w:t>
      </w:r>
    </w:p>
    <w:p>
      <w:pPr>
        <w:spacing w:after="60" w:before="220"/>
        <w:jc w:val="center"/>
      </w:pPr>
      <w:r>
        <w:drawing>
          <wp:inline distT="0" distB="0" distL="0" distR="0">
            <wp:extent cx="5429250" cy="221932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80" w:before="40"/>
        <w:jc w:val="left"/>
      </w:pPr>
      <w:r>
        <w:rPr>
          <w:rFonts w:ascii="Times New Roman" w:cs="Times New Roman" w:eastAsia="Times New Roman" w:hAnsi="Times New Roman"/>
          <w:b/>
          <w:bCs/>
          <w:color w:val="455A64"/>
          <w:sz w:val="19"/>
          <w:szCs w:val="19"/>
        </w:rPr>
        <w:t xml:space="preserve">Fig. S2 </w:t>
      </w:r>
      <w:r>
        <w:rPr>
          <w:rFonts w:ascii="Times New Roman" w:cs="Times New Roman" w:eastAsia="Times New Roman" w:hAnsi="Times New Roman"/>
          <w:color w:val="455A64"/>
          <w:sz w:val="19"/>
          <w:szCs w:val="19"/>
        </w:rPr>
        <w:t xml:space="preserve">Phase-decomposed GLDAS GWS proxy trends per aquifer zone. Phase I (2002-2010): near-zero trends in all zones (range -3.0 to +1.8 mm yr-1). Phase II (2011-2018): steepest declines in five of six zones (-11 to -22 mm yr-1) coinciding with documented motorised irrigation expansion. Phase III (2019-2024): partial recovery in northern zones; continued decline in the Niger Delta driven by urban demand growth.</w:t>
      </w:r>
    </w:p>
    <w:p>
      <w:pPr>
        <w:spacing w:after="100"/>
      </w:pPr>
      <w:r>
        <w:t xml:space="preserve"/>
      </w:r>
    </w:p>
    <w:p>
      <w:pPr>
        <w:spacing w:after="100"/>
      </w:pPr>
      <w:r>
        <w:t xml:space="preserve"/>
      </w:r>
    </w:p>
    <w:p>
      <w:pPr>
        <w:pStyle w:val="Heading1"/>
        <w:spacing w:after="160" w:before="380"/>
      </w:pPr>
      <w:r>
        <w:rPr>
          <w:rFonts w:ascii="Arial" w:cs="Arial" w:eastAsia="Arial" w:hAnsi="Arial"/>
          <w:b/>
          <w:bCs/>
          <w:color w:val="0D2B4E"/>
          <w:sz w:val="28"/>
          <w:szCs w:val="28"/>
        </w:rPr>
        <w:t xml:space="preserve">ESM Fig S3</w:t>
      </w:r>
    </w:p>
    <w:p>
      <w:pPr>
        <w:spacing w:after="60" w:before="220"/>
        <w:jc w:val="center"/>
      </w:pPr>
      <w:r>
        <w:drawing>
          <wp:inline distT="0" distB="0" distL="0" distR="0">
            <wp:extent cx="5429250" cy="22764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80" w:before="40"/>
        <w:jc w:val="left"/>
      </w:pPr>
      <w:r>
        <w:rPr>
          <w:rFonts w:ascii="Times New Roman" w:cs="Times New Roman" w:eastAsia="Times New Roman" w:hAnsi="Times New Roman"/>
          <w:b/>
          <w:bCs/>
          <w:color w:val="455A64"/>
          <w:sz w:val="19"/>
          <w:szCs w:val="19"/>
        </w:rPr>
        <w:t xml:space="preserve">Fig. S3 </w:t>
      </w:r>
      <w:r>
        <w:rPr>
          <w:rFonts w:ascii="Times New Roman" w:cs="Times New Roman" w:eastAsia="Times New Roman" w:hAnsi="Times New Roman"/>
          <w:color w:val="455A64"/>
          <w:sz w:val="19"/>
          <w:szCs w:val="19"/>
        </w:rPr>
        <w:t xml:space="preserve">Water Table Fluctuation (WTF) recharge estimation. (a) Climatological monthly GLDAS GWS seasonal cycle per zone (2002-2024 mean); West African Monsoon recharge season (June-October) shaded. (b) WTF annual recharge estimates per zone with sensitivity bars spanning published specific yield ranges per formation type.</w:t>
      </w:r>
    </w:p>
    <w:p>
      <w:pPr>
        <w:spacing w:after="100"/>
      </w:pPr>
      <w:r>
        <w:t xml:space="preserve"/>
      </w:r>
    </w:p>
    <w:p>
      <w:pPr>
        <w:spacing w:after="100"/>
      </w:pPr>
      <w:r>
        <w:t xml:space="preserve"/>
      </w:r>
    </w:p>
    <w:p>
      <w:pPr>
        <w:pStyle w:val="Heading1"/>
        <w:spacing w:after="160" w:before="380"/>
      </w:pPr>
      <w:r>
        <w:rPr>
          <w:rFonts w:ascii="Arial" w:cs="Arial" w:eastAsia="Arial" w:hAnsi="Arial"/>
          <w:b/>
          <w:bCs/>
          <w:color w:val="0D2B4E"/>
          <w:sz w:val="28"/>
          <w:szCs w:val="28"/>
        </w:rPr>
        <w:t xml:space="preserve">ESM Fig S4</w:t>
      </w:r>
    </w:p>
    <w:p>
      <w:pPr>
        <w:spacing w:after="60" w:before="220"/>
        <w:jc w:val="center"/>
      </w:pPr>
      <w:r>
        <w:drawing>
          <wp:inline distT="0" distB="0" distL="0" distR="0">
            <wp:extent cx="5429250" cy="22764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0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80" w:before="40"/>
        <w:jc w:val="left"/>
      </w:pPr>
      <w:r>
        <w:rPr>
          <w:rFonts w:ascii="Times New Roman" w:cs="Times New Roman" w:eastAsia="Times New Roman" w:hAnsi="Times New Roman"/>
          <w:b/>
          <w:bCs/>
          <w:color w:val="455A64"/>
          <w:sz w:val="19"/>
          <w:szCs w:val="19"/>
        </w:rPr>
        <w:t xml:space="preserve">Fig. S4 </w:t>
      </w:r>
      <w:r>
        <w:rPr>
          <w:rFonts w:ascii="Times New Roman" w:cs="Times New Roman" w:eastAsia="Times New Roman" w:hAnsi="Times New Roman"/>
          <w:color w:val="455A64"/>
          <w:sz w:val="19"/>
          <w:szCs w:val="19"/>
        </w:rPr>
        <w:t xml:space="preserve">Storage trend versus CHIRPS annual rainfall across the six aquifer zones. (a) GRACE TWS Sen's slope: r = -0.71 (inverse correlation with rainfall). (b) GLDAS GWS Sen's slope: r = -0.04 (no rainfall dependence). The contrast confirms that GRACE TWS signal in northern semi-arid zones is dominated by soil moisture and surface water seasonality, while the groundwater compartment tracked by GLDAS is approximately stationary regardless of rainfall.</w:t>
      </w:r>
    </w:p>
    <w:p>
      <w:pPr>
        <w:spacing w:after="100"/>
      </w:pPr>
      <w:r>
        <w:t xml:space="preserve"/>
      </w:r>
    </w:p>
    <w:p>
      <w:pPr>
        <w:spacing w:after="100"/>
      </w:pPr>
      <w:r>
        <w:t xml:space="preserve"/>
      </w:r>
    </w:p>
    <w:p>
      <w:pPr>
        <w:pStyle w:val="Heading1"/>
        <w:spacing w:after="160" w:before="380"/>
      </w:pPr>
      <w:r>
        <w:rPr>
          <w:rFonts w:ascii="Arial" w:cs="Arial" w:eastAsia="Arial" w:hAnsi="Arial"/>
          <w:b/>
          <w:bCs/>
          <w:color w:val="0D2B4E"/>
          <w:sz w:val="28"/>
          <w:szCs w:val="28"/>
        </w:rPr>
        <w:t xml:space="preserve">ESM Fig S5</w:t>
      </w:r>
    </w:p>
    <w:p>
      <w:pPr>
        <w:spacing w:after="60" w:before="220"/>
        <w:jc w:val="center"/>
      </w:pPr>
      <w:r>
        <w:drawing>
          <wp:inline distT="0" distB="0" distL="0" distR="0">
            <wp:extent cx="5429250" cy="283845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1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80" w:before="40"/>
        <w:jc w:val="left"/>
      </w:pPr>
      <w:r>
        <w:rPr>
          <w:rFonts w:ascii="Times New Roman" w:cs="Times New Roman" w:eastAsia="Times New Roman" w:hAnsi="Times New Roman"/>
          <w:b/>
          <w:bCs/>
          <w:color w:val="455A64"/>
          <w:sz w:val="19"/>
          <w:szCs w:val="19"/>
        </w:rPr>
        <w:t xml:space="preserve">Fig. S5 </w:t>
      </w:r>
      <w:r>
        <w:rPr>
          <w:rFonts w:ascii="Times New Roman" w:cs="Times New Roman" w:eastAsia="Times New Roman" w:hAnsi="Times New Roman"/>
          <w:color w:val="455A64"/>
          <w:sz w:val="19"/>
          <w:szCs w:val="19"/>
        </w:rPr>
        <w:t xml:space="preserve">Borehole-based validation of satellite groundwater storage estimates. Top: Chad Basin Middle Zone water level decline 1960-2012 at Dalori, Sabsawa, and Gajibo (Adamu et al. 2017; Miller et al. 1968). Bottom: cross-zone hydraulic parameter compilation from 90+ archival borehole sites supporting the formation-specific Sy parameterisation propagated through Equation 5 of the main paper.</w:t>
      </w:r>
    </w:p>
    <w:sectPr>
      <w:pgSz w:w="12240" w:h="15840" w:orient="portrait"/>
      <w:pgMar w:top="1440" w:right="1296" w:bottom="1440" w:left="1440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cs="Times New Roman" w:eastAsia="Times New Roman" w:hAnsi="Times New Roman"/>
        <w:color w:val="1A1A1A"/>
        <w:sz w:val="22"/>
        <w:szCs w:val="22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image" Target="media/7fc50ffa85172e42ee024d637c94f6328bb79d3f.png"/><Relationship Id="rId8" Type="http://schemas.openxmlformats.org/officeDocument/2006/relationships/image" Target="media/03a2b59acd96d3bffd5b580af0137152254a0005.png"/><Relationship Id="rId9" Type="http://schemas.openxmlformats.org/officeDocument/2006/relationships/image" Target="media/19ce9f5d7f97fedfd5d1d6c2b8b03006dbdcf769.png"/><Relationship Id="rId10" Type="http://schemas.openxmlformats.org/officeDocument/2006/relationships/image" Target="media/22ce1fa019257c0ced8b9a6f65b71a43977c170c.png"/><Relationship Id="rId11" Type="http://schemas.openxmlformats.org/officeDocument/2006/relationships/image" Target="media/82ab5b529517c237feaec6c776bcc9f393b33ad0.png"/><Relationship Id="rId12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2026-06-04T20:46:55.320Z</dcterms:created>
  <dcterms:modified xsi:type="dcterms:W3CDTF">2026-06-04T20:46:55.320Z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