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32"/>
        </w:rPr>
        <w:t>Additional file 1. English-language programme instruments</w:t>
      </w:r>
    </w:p>
    <w:p>
      <w:r>
        <w:t>Study title: An integrated school health model for Indonesian adolescents: a mixed-methods pre-post study</w:t>
      </w:r>
    </w:p>
    <w:p>
      <w:r>
        <w:t>This file provides the English-language programme instruments used to assess student knowledge and attitudes, adult stakeholder support, food practices, canteen conditions, classroom implementation and expert validation in the Model Sekolah Sehat (MSS) study. The instruments were developed for this study and had not been published elsewhere.</w:t>
      </w:r>
    </w:p>
    <w:p>
      <w:r>
        <w:rPr>
          <w:b/>
          <w:sz w:val="28"/>
        </w:rPr>
        <w:t>A. Student knowledge questionnaire</w:t>
      </w:r>
    </w:p>
    <w:p>
      <w:r>
        <w:t>Instructions: Mark each statement as true/false/do not know. Correct answers are scored 1; incorrect or “do not know” answers are scored 0. Maximum score: 16.</w:t>
      </w:r>
    </w:p>
    <w:tbl>
      <w:tblPr>
        <w:tblStyle w:val="TableGrid"/>
        <w:tblW w:type="auto" w:w="0"/>
        <w:jc w:val="center"/>
        <w:tblLook w:firstColumn="1" w:firstRow="1" w:lastColumn="0" w:lastRow="0" w:noHBand="0" w:noVBand="1" w:val="04A0"/>
      </w:tblPr>
      <w:tblGrid>
        <w:gridCol w:w="4680"/>
        <w:gridCol w:w="4680"/>
      </w:tblGrid>
      <w:tr>
        <w:tc>
          <w:tcPr>
            <w:tcW w:type="dxa" w:w="4680"/>
          </w:tcPr>
          <w:p>
            <w:r>
              <w:rPr>
                <w:b/>
              </w:rPr>
              <w:t>Domain</w:t>
            </w:r>
          </w:p>
        </w:tc>
        <w:tc>
          <w:tcPr>
            <w:tcW w:type="dxa" w:w="4680"/>
          </w:tcPr>
          <w:p>
            <w:r>
              <w:rPr>
                <w:b/>
              </w:rPr>
              <w:t>Item</w:t>
            </w:r>
          </w:p>
        </w:tc>
      </w:tr>
      <w:tr>
        <w:tc>
          <w:tcPr>
            <w:tcW w:type="dxa" w:w="4680"/>
            <w:vAlign w:val="top"/>
          </w:tcPr>
          <w:p>
            <w:r>
              <w:t>Adolescent reproductive health</w:t>
            </w:r>
          </w:p>
        </w:tc>
        <w:tc>
          <w:tcPr>
            <w:tcW w:type="dxa" w:w="4680"/>
            <w:vAlign w:val="top"/>
          </w:tcPr>
          <w:p>
            <w:r>
              <w:t>Puberty involves physical, emotional and social changes that adolescents need to understand.</w:t>
            </w:r>
          </w:p>
        </w:tc>
      </w:tr>
      <w:tr>
        <w:tc>
          <w:tcPr>
            <w:tcW w:type="dxa" w:w="4680"/>
            <w:vAlign w:val="top"/>
          </w:tcPr>
          <w:p>
            <w:r>
              <w:t>Adolescent reproductive health</w:t>
            </w:r>
          </w:p>
        </w:tc>
        <w:tc>
          <w:tcPr>
            <w:tcW w:type="dxa" w:w="4680"/>
            <w:vAlign w:val="top"/>
          </w:tcPr>
          <w:p>
            <w:r>
              <w:t>Maintaining menstrual and genital hygiene is part of adolescent reproductive health.</w:t>
            </w:r>
          </w:p>
        </w:tc>
      </w:tr>
      <w:tr>
        <w:tc>
          <w:tcPr>
            <w:tcW w:type="dxa" w:w="4680"/>
            <w:vAlign w:val="top"/>
          </w:tcPr>
          <w:p>
            <w:r>
              <w:t>Adolescent reproductive health</w:t>
            </w:r>
          </w:p>
        </w:tc>
        <w:tc>
          <w:tcPr>
            <w:tcW w:type="dxa" w:w="4680"/>
            <w:vAlign w:val="top"/>
          </w:tcPr>
          <w:p>
            <w:r>
              <w:t>Adolescents should be able to seek reliable reproductive health information from trusted adults or health workers.</w:t>
            </w:r>
          </w:p>
        </w:tc>
      </w:tr>
      <w:tr>
        <w:tc>
          <w:tcPr>
            <w:tcW w:type="dxa" w:w="4680"/>
            <w:vAlign w:val="top"/>
          </w:tcPr>
          <w:p>
            <w:r>
              <w:t>Adolescent reproductive health</w:t>
            </w:r>
          </w:p>
        </w:tc>
        <w:tc>
          <w:tcPr>
            <w:tcW w:type="dxa" w:w="4680"/>
            <w:vAlign w:val="top"/>
          </w:tcPr>
          <w:p>
            <w:r>
              <w:t>Respectful communication and responsible decision-making are part of reproductive health education.</w:t>
            </w:r>
          </w:p>
        </w:tc>
      </w:tr>
      <w:tr>
        <w:tc>
          <w:tcPr>
            <w:tcW w:type="dxa" w:w="4680"/>
            <w:vAlign w:val="top"/>
          </w:tcPr>
          <w:p>
            <w:r>
              <w:t>Early marriage risk literacy</w:t>
            </w:r>
          </w:p>
        </w:tc>
        <w:tc>
          <w:tcPr>
            <w:tcW w:type="dxa" w:w="4680"/>
            <w:vAlign w:val="top"/>
          </w:tcPr>
          <w:p>
            <w:r>
              <w:t>Marriage during adolescence can interrupt schooling and limit future opportunities.</w:t>
            </w:r>
          </w:p>
        </w:tc>
      </w:tr>
      <w:tr>
        <w:tc>
          <w:tcPr>
            <w:tcW w:type="dxa" w:w="4680"/>
            <w:vAlign w:val="top"/>
          </w:tcPr>
          <w:p>
            <w:r>
              <w:t>Early marriage risk literacy</w:t>
            </w:r>
          </w:p>
        </w:tc>
        <w:tc>
          <w:tcPr>
            <w:tcW w:type="dxa" w:w="4680"/>
            <w:vAlign w:val="top"/>
          </w:tcPr>
          <w:p>
            <w:r>
              <w:t>Pregnancy during adolescence may increase health and social risks for the adolescent.</w:t>
            </w:r>
          </w:p>
        </w:tc>
      </w:tr>
      <w:tr>
        <w:tc>
          <w:tcPr>
            <w:tcW w:type="dxa" w:w="4680"/>
            <w:vAlign w:val="top"/>
          </w:tcPr>
          <w:p>
            <w:r>
              <w:t>Early marriage risk literacy</w:t>
            </w:r>
          </w:p>
        </w:tc>
        <w:tc>
          <w:tcPr>
            <w:tcW w:type="dxa" w:w="4680"/>
            <w:vAlign w:val="top"/>
          </w:tcPr>
          <w:p>
            <w:r>
              <w:t>Economic pressure and peer influence may increase early marriage risk.</w:t>
            </w:r>
          </w:p>
        </w:tc>
      </w:tr>
      <w:tr>
        <w:tc>
          <w:tcPr>
            <w:tcW w:type="dxa" w:w="4680"/>
            <w:vAlign w:val="top"/>
          </w:tcPr>
          <w:p>
            <w:r>
              <w:t>Early marriage risk literacy</w:t>
            </w:r>
          </w:p>
        </w:tc>
        <w:tc>
          <w:tcPr>
            <w:tcW w:type="dxa" w:w="4680"/>
            <w:vAlign w:val="top"/>
          </w:tcPr>
          <w:p>
            <w:r>
              <w:t>Educational readiness and future planning should be considered before marriage.</w:t>
            </w:r>
          </w:p>
        </w:tc>
      </w:tr>
      <w:tr>
        <w:tc>
          <w:tcPr>
            <w:tcW w:type="dxa" w:w="4680"/>
            <w:vAlign w:val="top"/>
          </w:tcPr>
          <w:p>
            <w:r>
              <w:t>Cervical cancer prevention literacy</w:t>
            </w:r>
          </w:p>
        </w:tc>
        <w:tc>
          <w:tcPr>
            <w:tcW w:type="dxa" w:w="4680"/>
            <w:vAlign w:val="top"/>
          </w:tcPr>
          <w:p>
            <w:r>
              <w:t>Human papillomavirus (HPV) infection is related to cervical cancer risk.</w:t>
            </w:r>
          </w:p>
        </w:tc>
      </w:tr>
      <w:tr>
        <w:tc>
          <w:tcPr>
            <w:tcW w:type="dxa" w:w="4680"/>
            <w:vAlign w:val="top"/>
          </w:tcPr>
          <w:p>
            <w:r>
              <w:t>Cervical cancer prevention literacy</w:t>
            </w:r>
          </w:p>
        </w:tc>
        <w:tc>
          <w:tcPr>
            <w:tcW w:type="dxa" w:w="4680"/>
            <w:vAlign w:val="top"/>
          </w:tcPr>
          <w:p>
            <w:r>
              <w:t>HPV vaccination can help prevent cervical cancer.</w:t>
            </w:r>
          </w:p>
        </w:tc>
      </w:tr>
      <w:tr>
        <w:tc>
          <w:tcPr>
            <w:tcW w:type="dxa" w:w="4680"/>
            <w:vAlign w:val="top"/>
          </w:tcPr>
          <w:p>
            <w:r>
              <w:t>Cervical cancer prevention literacy</w:t>
            </w:r>
          </w:p>
        </w:tc>
        <w:tc>
          <w:tcPr>
            <w:tcW w:type="dxa" w:w="4680"/>
            <w:vAlign w:val="top"/>
          </w:tcPr>
          <w:p>
            <w:r>
              <w:t>Cervical cancer prevention is part of long-term reproductive health.</w:t>
            </w:r>
          </w:p>
        </w:tc>
      </w:tr>
      <w:tr>
        <w:tc>
          <w:tcPr>
            <w:tcW w:type="dxa" w:w="4680"/>
            <w:vAlign w:val="top"/>
          </w:tcPr>
          <w:p>
            <w:r>
              <w:t>Cervical cancer prevention literacy</w:t>
            </w:r>
          </w:p>
        </w:tc>
        <w:tc>
          <w:tcPr>
            <w:tcW w:type="dxa" w:w="4680"/>
            <w:vAlign w:val="top"/>
          </w:tcPr>
          <w:p>
            <w:r>
              <w:t>Adolescents can learn preventive health behaviours before adulthood.</w:t>
            </w:r>
          </w:p>
        </w:tc>
      </w:tr>
      <w:tr>
        <w:tc>
          <w:tcPr>
            <w:tcW w:type="dxa" w:w="4680"/>
            <w:vAlign w:val="top"/>
          </w:tcPr>
          <w:p>
            <w:r>
              <w:t>Local food diversification</w:t>
            </w:r>
          </w:p>
        </w:tc>
        <w:tc>
          <w:tcPr>
            <w:tcW w:type="dxa" w:w="4680"/>
            <w:vAlign w:val="top"/>
          </w:tcPr>
          <w:p>
            <w:r>
              <w:t>Regular breakfast can support learning readiness and concentration.</w:t>
            </w:r>
          </w:p>
        </w:tc>
      </w:tr>
      <w:tr>
        <w:tc>
          <w:tcPr>
            <w:tcW w:type="dxa" w:w="4680"/>
            <w:vAlign w:val="top"/>
          </w:tcPr>
          <w:p>
            <w:r>
              <w:t>Local food diversification</w:t>
            </w:r>
          </w:p>
        </w:tc>
        <w:tc>
          <w:tcPr>
            <w:tcW w:type="dxa" w:w="4680"/>
            <w:vAlign w:val="top"/>
          </w:tcPr>
          <w:p>
            <w:r>
              <w:t>Local foods can be used to create diverse and nutritious school meals or snacks.</w:t>
            </w:r>
          </w:p>
        </w:tc>
      </w:tr>
      <w:tr>
        <w:tc>
          <w:tcPr>
            <w:tcW w:type="dxa" w:w="4680"/>
            <w:vAlign w:val="top"/>
          </w:tcPr>
          <w:p>
            <w:r>
              <w:t>Local food diversification</w:t>
            </w:r>
          </w:p>
        </w:tc>
        <w:tc>
          <w:tcPr>
            <w:tcW w:type="dxa" w:w="4680"/>
            <w:vAlign w:val="top"/>
          </w:tcPr>
          <w:p>
            <w:r>
              <w:t>Fruit and other healthier foods should be made more visible and accessible in school canteens.</w:t>
            </w:r>
          </w:p>
        </w:tc>
      </w:tr>
      <w:tr>
        <w:tc>
          <w:tcPr>
            <w:tcW w:type="dxa" w:w="4680"/>
            <w:vAlign w:val="top"/>
          </w:tcPr>
          <w:p>
            <w:r>
              <w:t>Local food diversification</w:t>
            </w:r>
          </w:p>
        </w:tc>
        <w:tc>
          <w:tcPr>
            <w:tcW w:type="dxa" w:w="4680"/>
            <w:vAlign w:val="top"/>
          </w:tcPr>
          <w:p>
            <w:r>
              <w:t>Healthy food choices are influenced by taste, price, access and availability.</w:t>
            </w:r>
          </w:p>
        </w:tc>
      </w:tr>
    </w:tbl>
    <w:p>
      <w:r>
        <w:rPr>
          <w:b/>
          <w:sz w:val="28"/>
        </w:rPr>
        <w:t>B. Student attitude questionnaire</w:t>
      </w:r>
    </w:p>
    <w:p>
      <w:r>
        <w:t>Instructions: Rate each statement using a four-point scale: 1 = strongly disagree, 2 = disagree, 3 = agree, 4 = strongly agree.</w:t>
      </w:r>
    </w:p>
    <w:tbl>
      <w:tblPr>
        <w:tblStyle w:val="TableGrid"/>
        <w:tblW w:type="auto" w:w="0"/>
        <w:jc w:val="center"/>
        <w:tblLook w:firstColumn="1" w:firstRow="1" w:lastColumn="0" w:lastRow="0" w:noHBand="0" w:noVBand="1" w:val="04A0"/>
      </w:tblPr>
      <w:tblGrid>
        <w:gridCol w:w="4680"/>
        <w:gridCol w:w="4680"/>
      </w:tblGrid>
      <w:tr>
        <w:tc>
          <w:tcPr>
            <w:tcW w:type="dxa" w:w="4680"/>
          </w:tcPr>
          <w:p>
            <w:r>
              <w:rPr>
                <w:b/>
              </w:rPr>
              <w:t>No.</w:t>
            </w:r>
          </w:p>
        </w:tc>
        <w:tc>
          <w:tcPr>
            <w:tcW w:type="dxa" w:w="4680"/>
          </w:tcPr>
          <w:p>
            <w:r>
              <w:rPr>
                <w:b/>
              </w:rPr>
              <w:t>Statement</w:t>
            </w:r>
          </w:p>
        </w:tc>
      </w:tr>
      <w:tr>
        <w:tc>
          <w:tcPr>
            <w:tcW w:type="dxa" w:w="4680"/>
            <w:vAlign w:val="top"/>
          </w:tcPr>
          <w:p>
            <w:r>
              <w:t>1</w:t>
            </w:r>
          </w:p>
        </w:tc>
        <w:tc>
          <w:tcPr>
            <w:tcW w:type="dxa" w:w="4680"/>
            <w:vAlign w:val="top"/>
          </w:tcPr>
          <w:p>
            <w:r>
              <w:t>Adolescents need to understand reproductive health from school age.</w:t>
            </w:r>
          </w:p>
        </w:tc>
      </w:tr>
      <w:tr>
        <w:tc>
          <w:tcPr>
            <w:tcW w:type="dxa" w:w="4680"/>
            <w:vAlign w:val="top"/>
          </w:tcPr>
          <w:p>
            <w:r>
              <w:t>2</w:t>
            </w:r>
          </w:p>
        </w:tc>
        <w:tc>
          <w:tcPr>
            <w:tcW w:type="dxa" w:w="4680"/>
            <w:vAlign w:val="top"/>
          </w:tcPr>
          <w:p>
            <w:r>
              <w:t>Marriage should be considered after educational readiness has been achieved.</w:t>
            </w:r>
          </w:p>
        </w:tc>
      </w:tr>
      <w:tr>
        <w:tc>
          <w:tcPr>
            <w:tcW w:type="dxa" w:w="4680"/>
            <w:vAlign w:val="top"/>
          </w:tcPr>
          <w:p>
            <w:r>
              <w:t>3</w:t>
            </w:r>
          </w:p>
        </w:tc>
        <w:tc>
          <w:tcPr>
            <w:tcW w:type="dxa" w:w="4680"/>
            <w:vAlign w:val="top"/>
          </w:tcPr>
          <w:p>
            <w:r>
              <w:t>Preventing early marriage is important for adolescent health and education.</w:t>
            </w:r>
          </w:p>
        </w:tc>
      </w:tr>
      <w:tr>
        <w:tc>
          <w:tcPr>
            <w:tcW w:type="dxa" w:w="4680"/>
            <w:vAlign w:val="top"/>
          </w:tcPr>
          <w:p>
            <w:r>
              <w:t>4</w:t>
            </w:r>
          </w:p>
        </w:tc>
        <w:tc>
          <w:tcPr>
            <w:tcW w:type="dxa" w:w="4680"/>
            <w:vAlign w:val="top"/>
          </w:tcPr>
          <w:p>
            <w:r>
              <w:t>I am interested in learning more about local foods and healthier school food choices.</w:t>
            </w:r>
          </w:p>
        </w:tc>
      </w:tr>
    </w:tbl>
    <w:p>
      <w:r>
        <w:rPr>
          <w:b/>
          <w:sz w:val="28"/>
        </w:rPr>
        <w:t>C. Student food-practice form</w:t>
      </w:r>
    </w:p>
    <w:tbl>
      <w:tblPr>
        <w:tblStyle w:val="TableGrid"/>
        <w:tblW w:type="auto" w:w="0"/>
        <w:jc w:val="center"/>
        <w:tblLook w:firstColumn="1" w:firstRow="1" w:lastColumn="0" w:lastRow="0" w:noHBand="0" w:noVBand="1" w:val="04A0"/>
      </w:tblPr>
      <w:tblGrid>
        <w:gridCol w:w="4680"/>
        <w:gridCol w:w="4680"/>
      </w:tblGrid>
      <w:tr>
        <w:tc>
          <w:tcPr>
            <w:tcW w:type="dxa" w:w="4680"/>
          </w:tcPr>
          <w:p>
            <w:r>
              <w:rPr>
                <w:b/>
              </w:rPr>
              <w:t>Indicator</w:t>
            </w:r>
          </w:p>
        </w:tc>
        <w:tc>
          <w:tcPr>
            <w:tcW w:type="dxa" w:w="4680"/>
          </w:tcPr>
          <w:p>
            <w:r>
              <w:rPr>
                <w:b/>
              </w:rPr>
              <w:t>Response options</w:t>
            </w:r>
          </w:p>
        </w:tc>
      </w:tr>
      <w:tr>
        <w:tc>
          <w:tcPr>
            <w:tcW w:type="dxa" w:w="4680"/>
            <w:vAlign w:val="top"/>
          </w:tcPr>
          <w:p>
            <w:r>
              <w:t>Breakfast frequency</w:t>
            </w:r>
          </w:p>
        </w:tc>
        <w:tc>
          <w:tcPr>
            <w:tcW w:type="dxa" w:w="4680"/>
            <w:vAlign w:val="top"/>
          </w:tcPr>
          <w:p>
            <w:r>
              <w:t>0–2 days/week; 3–4 days/week; 5–7 days/week</w:t>
            </w:r>
          </w:p>
        </w:tc>
      </w:tr>
      <w:tr>
        <w:tc>
          <w:tcPr>
            <w:tcW w:type="dxa" w:w="4680"/>
            <w:vAlign w:val="top"/>
          </w:tcPr>
          <w:p>
            <w:r>
              <w:t>Foods usually selected at school</w:t>
            </w:r>
          </w:p>
        </w:tc>
        <w:tc>
          <w:tcPr>
            <w:tcW w:type="dxa" w:w="4680"/>
            <w:vAlign w:val="top"/>
          </w:tcPr>
          <w:p>
            <w:r>
              <w:t>Fried snacks; sugary drinks; fruit; processed local foods; other</w:t>
            </w:r>
          </w:p>
        </w:tc>
      </w:tr>
      <w:tr>
        <w:tc>
          <w:tcPr>
            <w:tcW w:type="dxa" w:w="4680"/>
            <w:vAlign w:val="top"/>
          </w:tcPr>
          <w:p>
            <w:r>
              <w:t>Main reason for food choice</w:t>
            </w:r>
          </w:p>
        </w:tc>
        <w:tc>
          <w:tcPr>
            <w:tcW w:type="dxa" w:w="4680"/>
            <w:vAlign w:val="top"/>
          </w:tcPr>
          <w:p>
            <w:r>
              <w:t>Taste; low price; easy access; health; other</w:t>
            </w:r>
          </w:p>
        </w:tc>
      </w:tr>
    </w:tbl>
    <w:p>
      <w:r>
        <w:rPr>
          <w:b/>
          <w:sz w:val="28"/>
        </w:rPr>
        <w:t>D. Adult stakeholder support questionnaire</w:t>
      </w:r>
    </w:p>
    <w:p>
      <w:r>
        <w:t>Instructions: Parents, guardians and school committee members rate each statement using a four-point scale: 1 = strongly disagree, 2 = disagree, 3 = agree, 4 = strongly agree.</w:t>
      </w:r>
    </w:p>
    <w:tbl>
      <w:tblPr>
        <w:tblStyle w:val="TableGrid"/>
        <w:tblW w:type="auto" w:w="0"/>
        <w:jc w:val="center"/>
        <w:tblLook w:firstColumn="1" w:firstRow="1" w:lastColumn="0" w:lastRow="0" w:noHBand="0" w:noVBand="1" w:val="04A0"/>
      </w:tblPr>
      <w:tblGrid>
        <w:gridCol w:w="4680"/>
        <w:gridCol w:w="4680"/>
      </w:tblGrid>
      <w:tr>
        <w:tc>
          <w:tcPr>
            <w:tcW w:type="dxa" w:w="4680"/>
          </w:tcPr>
          <w:p>
            <w:r>
              <w:rPr>
                <w:b/>
              </w:rPr>
              <w:t>No.</w:t>
            </w:r>
          </w:p>
        </w:tc>
        <w:tc>
          <w:tcPr>
            <w:tcW w:type="dxa" w:w="4680"/>
          </w:tcPr>
          <w:p>
            <w:r>
              <w:rPr>
                <w:b/>
              </w:rPr>
              <w:t>Statement</w:t>
            </w:r>
          </w:p>
        </w:tc>
      </w:tr>
      <w:tr>
        <w:tc>
          <w:tcPr>
            <w:tcW w:type="dxa" w:w="4680"/>
            <w:vAlign w:val="top"/>
          </w:tcPr>
          <w:p>
            <w:r>
              <w:t>1</w:t>
            </w:r>
          </w:p>
        </w:tc>
        <w:tc>
          <w:tcPr>
            <w:tcW w:type="dxa" w:w="4680"/>
            <w:vAlign w:val="top"/>
          </w:tcPr>
          <w:p>
            <w:r>
              <w:t>Reproductive health education is needed in schools.</w:t>
            </w:r>
          </w:p>
        </w:tc>
      </w:tr>
      <w:tr>
        <w:tc>
          <w:tcPr>
            <w:tcW w:type="dxa" w:w="4680"/>
            <w:vAlign w:val="top"/>
          </w:tcPr>
          <w:p>
            <w:r>
              <w:t>2</w:t>
            </w:r>
          </w:p>
        </w:tc>
        <w:tc>
          <w:tcPr>
            <w:tcW w:type="dxa" w:w="4680"/>
            <w:vAlign w:val="top"/>
          </w:tcPr>
          <w:p>
            <w:r>
              <w:t>Children should not marry at a young age.</w:t>
            </w:r>
          </w:p>
        </w:tc>
      </w:tr>
      <w:tr>
        <w:tc>
          <w:tcPr>
            <w:tcW w:type="dxa" w:w="4680"/>
            <w:vAlign w:val="top"/>
          </w:tcPr>
          <w:p>
            <w:r>
              <w:t>3</w:t>
            </w:r>
          </w:p>
        </w:tc>
        <w:tc>
          <w:tcPr>
            <w:tcW w:type="dxa" w:w="4680"/>
            <w:vAlign w:val="top"/>
          </w:tcPr>
          <w:p>
            <w:r>
              <w:t>I support local food programmes in schools.</w:t>
            </w:r>
          </w:p>
        </w:tc>
      </w:tr>
    </w:tbl>
    <w:p>
      <w:r>
        <w:rPr>
          <w:b/>
          <w:sz w:val="28"/>
        </w:rPr>
        <w:t>E. Canteen audit form</w:t>
      </w:r>
    </w:p>
    <w:tbl>
      <w:tblPr>
        <w:tblStyle w:val="TableGrid"/>
        <w:tblW w:type="auto" w:w="0"/>
        <w:jc w:val="center"/>
        <w:tblLook w:firstColumn="1" w:firstRow="1" w:lastColumn="0" w:lastRow="0" w:noHBand="0" w:noVBand="1" w:val="04A0"/>
      </w:tblPr>
      <w:tblGrid>
        <w:gridCol w:w="4680"/>
        <w:gridCol w:w="4680"/>
      </w:tblGrid>
      <w:tr>
        <w:tc>
          <w:tcPr>
            <w:tcW w:type="dxa" w:w="4680"/>
          </w:tcPr>
          <w:p>
            <w:r>
              <w:rPr>
                <w:b/>
              </w:rPr>
              <w:t>Component</w:t>
            </w:r>
          </w:p>
        </w:tc>
        <w:tc>
          <w:tcPr>
            <w:tcW w:type="dxa" w:w="4680"/>
          </w:tcPr>
          <w:p>
            <w:r>
              <w:rPr>
                <w:b/>
              </w:rPr>
              <w:t>Observation focus</w:t>
            </w:r>
          </w:p>
        </w:tc>
      </w:tr>
      <w:tr>
        <w:tc>
          <w:tcPr>
            <w:tcW w:type="dxa" w:w="4680"/>
            <w:vAlign w:val="top"/>
          </w:tcPr>
          <w:p>
            <w:r>
              <w:t>Cleanliness</w:t>
            </w:r>
          </w:p>
        </w:tc>
        <w:tc>
          <w:tcPr>
            <w:tcW w:type="dxa" w:w="4680"/>
            <w:vAlign w:val="top"/>
          </w:tcPr>
          <w:p>
            <w:r>
              <w:t>Cleanliness of food preparation and selling area</w:t>
            </w:r>
          </w:p>
        </w:tc>
      </w:tr>
      <w:tr>
        <w:tc>
          <w:tcPr>
            <w:tcW w:type="dxa" w:w="4680"/>
            <w:vAlign w:val="top"/>
          </w:tcPr>
          <w:p>
            <w:r>
              <w:t>Healthy food choice</w:t>
            </w:r>
          </w:p>
        </w:tc>
        <w:tc>
          <w:tcPr>
            <w:tcW w:type="dxa" w:w="4680"/>
            <w:vAlign w:val="top"/>
          </w:tcPr>
          <w:p>
            <w:r>
              <w:t>Availability of healthier food and drink options</w:t>
            </w:r>
          </w:p>
        </w:tc>
      </w:tr>
      <w:tr>
        <w:tc>
          <w:tcPr>
            <w:tcW w:type="dxa" w:w="4680"/>
            <w:vAlign w:val="top"/>
          </w:tcPr>
          <w:p>
            <w:r>
              <w:t>Local food availability</w:t>
            </w:r>
          </w:p>
        </w:tc>
        <w:tc>
          <w:tcPr>
            <w:tcW w:type="dxa" w:w="4680"/>
            <w:vAlign w:val="top"/>
          </w:tcPr>
          <w:p>
            <w:r>
              <w:t>Availability of local or locally processed food options</w:t>
            </w:r>
          </w:p>
        </w:tc>
      </w:tr>
      <w:tr>
        <w:tc>
          <w:tcPr>
            <w:tcW w:type="dxa" w:w="4680"/>
            <w:vAlign w:val="top"/>
          </w:tcPr>
          <w:p>
            <w:r>
              <w:t>Hygiene facilities</w:t>
            </w:r>
          </w:p>
        </w:tc>
        <w:tc>
          <w:tcPr>
            <w:tcW w:type="dxa" w:w="4680"/>
            <w:vAlign w:val="top"/>
          </w:tcPr>
          <w:p>
            <w:r>
              <w:t>Availability and usability of handwashing facilities</w:t>
            </w:r>
          </w:p>
        </w:tc>
      </w:tr>
    </w:tbl>
    <w:p>
      <w:r>
        <w:rPr>
          <w:b/>
          <w:sz w:val="28"/>
        </w:rPr>
        <w:t>F. Classroom implementation observation form</w:t>
      </w:r>
    </w:p>
    <w:tbl>
      <w:tblPr>
        <w:tblStyle w:val="TableGrid"/>
        <w:tblW w:type="auto" w:w="0"/>
        <w:jc w:val="center"/>
        <w:tblLook w:firstColumn="1" w:firstRow="1" w:lastColumn="0" w:lastRow="0" w:noHBand="0" w:noVBand="1" w:val="04A0"/>
      </w:tblPr>
      <w:tblGrid>
        <w:gridCol w:w="4680"/>
        <w:gridCol w:w="4680"/>
      </w:tblGrid>
      <w:tr>
        <w:tc>
          <w:tcPr>
            <w:tcW w:type="dxa" w:w="4680"/>
          </w:tcPr>
          <w:p>
            <w:r>
              <w:rPr>
                <w:b/>
              </w:rPr>
              <w:t>Component</w:t>
            </w:r>
          </w:p>
        </w:tc>
        <w:tc>
          <w:tcPr>
            <w:tcW w:type="dxa" w:w="4680"/>
          </w:tcPr>
          <w:p>
            <w:r>
              <w:rPr>
                <w:b/>
              </w:rPr>
              <w:t>Observation focus</w:t>
            </w:r>
          </w:p>
        </w:tc>
      </w:tr>
      <w:tr>
        <w:tc>
          <w:tcPr>
            <w:tcW w:type="dxa" w:w="4680"/>
            <w:vAlign w:val="top"/>
          </w:tcPr>
          <w:p>
            <w:r>
              <w:t>Delivery of reproductive health material</w:t>
            </w:r>
          </w:p>
        </w:tc>
        <w:tc>
          <w:tcPr>
            <w:tcW w:type="dxa" w:w="4680"/>
            <w:vAlign w:val="top"/>
          </w:tcPr>
          <w:p>
            <w:r>
              <w:t>Completeness, clarity and age-appropriateness of material delivery</w:t>
            </w:r>
          </w:p>
        </w:tc>
      </w:tr>
      <w:tr>
        <w:tc>
          <w:tcPr>
            <w:tcW w:type="dxa" w:w="4680"/>
            <w:vAlign w:val="top"/>
          </w:tcPr>
          <w:p>
            <w:r>
              <w:t>Student engagement</w:t>
            </w:r>
          </w:p>
        </w:tc>
        <w:tc>
          <w:tcPr>
            <w:tcW w:type="dxa" w:w="4680"/>
            <w:vAlign w:val="top"/>
          </w:tcPr>
          <w:p>
            <w:r>
              <w:t>Participation, attention and discussion during classroom activities</w:t>
            </w:r>
          </w:p>
        </w:tc>
      </w:tr>
      <w:tr>
        <w:tc>
          <w:tcPr>
            <w:tcW w:type="dxa" w:w="4680"/>
            <w:vAlign w:val="top"/>
          </w:tcPr>
          <w:p>
            <w:r>
              <w:t>Canteen support</w:t>
            </w:r>
          </w:p>
        </w:tc>
        <w:tc>
          <w:tcPr>
            <w:tcW w:type="dxa" w:w="4680"/>
            <w:vAlign w:val="top"/>
          </w:tcPr>
          <w:p>
            <w:r>
              <w:t>Evidence that canteen practice supports the MSS food component</w:t>
            </w:r>
          </w:p>
        </w:tc>
      </w:tr>
      <w:tr>
        <w:tc>
          <w:tcPr>
            <w:tcW w:type="dxa" w:w="4680"/>
            <w:vAlign w:val="top"/>
          </w:tcPr>
          <w:p>
            <w:r>
              <w:t>Coordination with puskesmas</w:t>
            </w:r>
          </w:p>
        </w:tc>
        <w:tc>
          <w:tcPr>
            <w:tcW w:type="dxa" w:w="4680"/>
            <w:vAlign w:val="top"/>
          </w:tcPr>
          <w:p>
            <w:r>
              <w:t>Evidence of school-health service coordination or planned linkage</w:t>
            </w:r>
          </w:p>
        </w:tc>
      </w:tr>
    </w:tbl>
    <w:p>
      <w:r>
        <w:rPr>
          <w:b/>
          <w:sz w:val="28"/>
        </w:rPr>
        <w:t>G. Expert validation form</w:t>
      </w:r>
    </w:p>
    <w:tbl>
      <w:tblPr>
        <w:tblStyle w:val="TableGrid"/>
        <w:tblW w:type="auto" w:w="0"/>
        <w:jc w:val="center"/>
        <w:tblLook w:firstColumn="1" w:firstRow="1" w:lastColumn="0" w:lastRow="0" w:noHBand="0" w:noVBand="1" w:val="04A0"/>
      </w:tblPr>
      <w:tblGrid>
        <w:gridCol w:w="4680"/>
        <w:gridCol w:w="4680"/>
      </w:tblGrid>
      <w:tr>
        <w:tc>
          <w:tcPr>
            <w:tcW w:type="dxa" w:w="4680"/>
          </w:tcPr>
          <w:p>
            <w:r>
              <w:rPr>
                <w:b/>
              </w:rPr>
              <w:t>Dimension</w:t>
            </w:r>
          </w:p>
        </w:tc>
        <w:tc>
          <w:tcPr>
            <w:tcW w:type="dxa" w:w="4680"/>
          </w:tcPr>
          <w:p>
            <w:r>
              <w:rPr>
                <w:b/>
              </w:rPr>
              <w:t>Validation focus</w:t>
            </w:r>
          </w:p>
        </w:tc>
      </w:tr>
      <w:tr>
        <w:tc>
          <w:tcPr>
            <w:tcW w:type="dxa" w:w="4680"/>
            <w:vAlign w:val="top"/>
          </w:tcPr>
          <w:p>
            <w:r>
              <w:t>Content suitability</w:t>
            </w:r>
          </w:p>
        </w:tc>
        <w:tc>
          <w:tcPr>
            <w:tcW w:type="dxa" w:w="4680"/>
            <w:vAlign w:val="top"/>
          </w:tcPr>
          <w:p>
            <w:r>
              <w:t>Suitability of MSS content for adolescent reproductive health, early marriage risk literacy, cervical cancer prevention literacy and local food diversification</w:t>
            </w:r>
          </w:p>
        </w:tc>
      </w:tr>
      <w:tr>
        <w:tc>
          <w:tcPr>
            <w:tcW w:type="dxa" w:w="4680"/>
            <w:vAlign w:val="top"/>
          </w:tcPr>
          <w:p>
            <w:r>
              <w:t>Operational applicability</w:t>
            </w:r>
          </w:p>
        </w:tc>
        <w:tc>
          <w:tcPr>
            <w:tcW w:type="dxa" w:w="4680"/>
            <w:vAlign w:val="top"/>
          </w:tcPr>
          <w:p>
            <w:r>
              <w:t>Feasibility of implementing MSS within school routines and local institutional capacity</w:t>
            </w:r>
          </w:p>
        </w:tc>
      </w:tr>
      <w:tr>
        <w:tc>
          <w:tcPr>
            <w:tcW w:type="dxa" w:w="4680"/>
            <w:vAlign w:val="top"/>
          </w:tcPr>
          <w:p>
            <w:r>
              <w:t>Relevance to adolescent issues</w:t>
            </w:r>
          </w:p>
        </w:tc>
        <w:tc>
          <w:tcPr>
            <w:tcW w:type="dxa" w:w="4680"/>
            <w:vAlign w:val="top"/>
          </w:tcPr>
          <w:p>
            <w:r>
              <w:t>Relevance of MSS to adolescent health and social vulnerabilities in the study context</w:t>
            </w:r>
          </w:p>
        </w:tc>
      </w:tr>
    </w:tbl>
    <w:p>
      <w:pPr/>
      <w:r>
        <w:t>Scoring note: Item-level scoring followed the original Indonesian programme forms used during data collection. This English version clarifies the corresponding content domains and response structures for editorial review.</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