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6886AD" w14:textId="77777777" w:rsidR="00932F64" w:rsidRPr="00CD12DC" w:rsidRDefault="00932F64" w:rsidP="00932F64">
      <w:pPr>
        <w:spacing w:before="240" w:after="240" w:line="360" w:lineRule="auto"/>
        <w:rPr>
          <w:b/>
          <w:bCs/>
        </w:rPr>
      </w:pPr>
      <w:r>
        <w:rPr>
          <w:b/>
          <w:bCs/>
        </w:rPr>
        <w:t>SUPPLEMENTARY FIGURES</w:t>
      </w:r>
    </w:p>
    <w:p w14:paraId="1E035D29" w14:textId="77777777" w:rsidR="00932F64" w:rsidRPr="00F22712" w:rsidRDefault="00932F64" w:rsidP="00932F64">
      <w:pPr>
        <w:spacing w:before="240" w:after="240" w:line="360" w:lineRule="auto"/>
        <w:rPr>
          <w:bCs/>
          <w:iCs/>
        </w:rPr>
      </w:pPr>
      <w:r>
        <w:rPr>
          <w:bCs/>
          <w:iCs/>
          <w:noProof/>
        </w:rPr>
        <w:drawing>
          <wp:inline distT="0" distB="0" distL="0" distR="0" wp14:anchorId="33E10CA5" wp14:editId="5BAEDEFF">
            <wp:extent cx="5729605" cy="6038850"/>
            <wp:effectExtent l="0" t="0" r="4445" b="0"/>
            <wp:docPr id="16600396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603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19BE39" w14:textId="77777777" w:rsidR="00932F64" w:rsidRDefault="00932F64" w:rsidP="00932F64">
      <w:pPr>
        <w:spacing w:before="240" w:after="240" w:line="360" w:lineRule="auto"/>
        <w:rPr>
          <w:bCs/>
          <w:iCs/>
        </w:rPr>
      </w:pPr>
      <w:r w:rsidRPr="00503641">
        <w:rPr>
          <w:b/>
          <w:iCs/>
        </w:rPr>
        <w:t xml:space="preserve">Supplementary Figure 1 | Characterization of engineered </w:t>
      </w:r>
      <w:proofErr w:type="spellStart"/>
      <w:r w:rsidRPr="00503641">
        <w:rPr>
          <w:b/>
          <w:iCs/>
        </w:rPr>
        <w:t>hRPE</w:t>
      </w:r>
      <w:proofErr w:type="spellEnd"/>
      <w:r w:rsidRPr="00503641">
        <w:rPr>
          <w:b/>
          <w:iCs/>
        </w:rPr>
        <w:t xml:space="preserve"> cell lines expressing VEGF Sticky-trap or VEGF-trap.</w:t>
      </w:r>
      <w:r>
        <w:rPr>
          <w:bCs/>
          <w:iCs/>
        </w:rPr>
        <w:t xml:space="preserve"> </w:t>
      </w:r>
      <w:r w:rsidRPr="00503641">
        <w:rPr>
          <w:bCs/>
          <w:iCs/>
        </w:rPr>
        <w:t>(a)</w:t>
      </w:r>
      <w:r>
        <w:rPr>
          <w:bCs/>
          <w:iCs/>
        </w:rPr>
        <w:t xml:space="preserve"> </w:t>
      </w:r>
      <w:r w:rsidRPr="00503641">
        <w:rPr>
          <w:bCs/>
          <w:iCs/>
        </w:rPr>
        <w:t xml:space="preserve">Inducible expression of GFP and VEGF Sticky-trap in transgenic H1 hESCs following doxycycline (DOX) treatment. Scale bar, 50 </w:t>
      </w:r>
      <w:proofErr w:type="spellStart"/>
      <w:r w:rsidRPr="00503641">
        <w:rPr>
          <w:bCs/>
          <w:iCs/>
        </w:rPr>
        <w:t>μm</w:t>
      </w:r>
      <w:proofErr w:type="spellEnd"/>
      <w:r w:rsidRPr="00503641">
        <w:rPr>
          <w:bCs/>
          <w:iCs/>
        </w:rPr>
        <w:t>. (</w:t>
      </w:r>
      <w:proofErr w:type="spellStart"/>
      <w:proofErr w:type="gramStart"/>
      <w:r w:rsidRPr="00503641">
        <w:rPr>
          <w:bCs/>
          <w:iCs/>
        </w:rPr>
        <w:t>b,c</w:t>
      </w:r>
      <w:proofErr w:type="spellEnd"/>
      <w:proofErr w:type="gramEnd"/>
      <w:r w:rsidRPr="00503641">
        <w:rPr>
          <w:bCs/>
          <w:iCs/>
        </w:rPr>
        <w:t xml:space="preserve">) Expression of RPE markers hRPE65, </w:t>
      </w:r>
      <w:proofErr w:type="spellStart"/>
      <w:r w:rsidRPr="00503641">
        <w:rPr>
          <w:bCs/>
          <w:iCs/>
        </w:rPr>
        <w:t>hCRALBP</w:t>
      </w:r>
      <w:proofErr w:type="spellEnd"/>
      <w:r w:rsidRPr="00503641">
        <w:rPr>
          <w:bCs/>
          <w:iCs/>
        </w:rPr>
        <w:t xml:space="preserve">, hPAX6, </w:t>
      </w:r>
      <w:proofErr w:type="spellStart"/>
      <w:r w:rsidRPr="00503641">
        <w:rPr>
          <w:bCs/>
          <w:iCs/>
        </w:rPr>
        <w:t>hMITF</w:t>
      </w:r>
      <w:proofErr w:type="spellEnd"/>
      <w:r w:rsidRPr="00503641">
        <w:rPr>
          <w:bCs/>
          <w:iCs/>
        </w:rPr>
        <w:t xml:space="preserve">, hOTX2, </w:t>
      </w:r>
      <w:proofErr w:type="spellStart"/>
      <w:r w:rsidRPr="00503641">
        <w:rPr>
          <w:bCs/>
          <w:iCs/>
        </w:rPr>
        <w:t>hPEDF</w:t>
      </w:r>
      <w:proofErr w:type="spellEnd"/>
      <w:r w:rsidRPr="00503641">
        <w:rPr>
          <w:bCs/>
          <w:iCs/>
        </w:rPr>
        <w:t xml:space="preserve">, </w:t>
      </w:r>
      <w:proofErr w:type="spellStart"/>
      <w:r w:rsidRPr="00503641">
        <w:rPr>
          <w:bCs/>
          <w:iCs/>
        </w:rPr>
        <w:t>hTYR</w:t>
      </w:r>
      <w:proofErr w:type="spellEnd"/>
      <w:r w:rsidRPr="00503641">
        <w:rPr>
          <w:bCs/>
          <w:iCs/>
        </w:rPr>
        <w:t xml:space="preserve">, and hPMEL17 in differentiated </w:t>
      </w:r>
      <w:proofErr w:type="spellStart"/>
      <w:r w:rsidRPr="00503641">
        <w:rPr>
          <w:bCs/>
          <w:iCs/>
        </w:rPr>
        <w:t>hRPE</w:t>
      </w:r>
      <w:proofErr w:type="spellEnd"/>
      <w:r w:rsidRPr="00503641">
        <w:rPr>
          <w:bCs/>
          <w:iCs/>
        </w:rPr>
        <w:t xml:space="preserve"> cell lines. OCT3/4 expression was absent following differentiation. One-way ANOVA; *P &lt; 0.05, **P &lt; 0.01, ***P &lt; 0.001. </w:t>
      </w:r>
      <w:proofErr w:type="spellStart"/>
      <w:r w:rsidRPr="00503641">
        <w:rPr>
          <w:bCs/>
          <w:iCs/>
        </w:rPr>
        <w:t>StT</w:t>
      </w:r>
      <w:proofErr w:type="spellEnd"/>
      <w:r w:rsidRPr="00503641">
        <w:rPr>
          <w:bCs/>
          <w:iCs/>
        </w:rPr>
        <w:t>, VEGF Sticky-trap; Trap, VEGF-trap. (d</w:t>
      </w:r>
      <w:r>
        <w:rPr>
          <w:bCs/>
          <w:iCs/>
        </w:rPr>
        <w:t>)</w:t>
      </w:r>
      <w:r w:rsidRPr="00503641">
        <w:rPr>
          <w:bCs/>
          <w:iCs/>
        </w:rPr>
        <w:t xml:space="preserve"> ZO-1 immunostaining and </w:t>
      </w:r>
      <w:proofErr w:type="spellStart"/>
      <w:r w:rsidRPr="00503641">
        <w:rPr>
          <w:bCs/>
          <w:iCs/>
        </w:rPr>
        <w:t>Fluoresbrite</w:t>
      </w:r>
      <w:proofErr w:type="spellEnd"/>
      <w:r w:rsidRPr="00503641">
        <w:rPr>
          <w:bCs/>
          <w:iCs/>
        </w:rPr>
        <w:t xml:space="preserve">® latex bead uptake demonstrate epithelial integrity and phagocytic activity of </w:t>
      </w:r>
      <w:proofErr w:type="spellStart"/>
      <w:r w:rsidRPr="00503641">
        <w:rPr>
          <w:bCs/>
          <w:iCs/>
        </w:rPr>
        <w:t>hRPE</w:t>
      </w:r>
      <w:proofErr w:type="spellEnd"/>
      <w:r w:rsidRPr="00503641">
        <w:rPr>
          <w:bCs/>
          <w:iCs/>
        </w:rPr>
        <w:t xml:space="preserve"> cell lines. Scale bars, 200 </w:t>
      </w:r>
      <w:proofErr w:type="spellStart"/>
      <w:r w:rsidRPr="00503641">
        <w:rPr>
          <w:bCs/>
          <w:iCs/>
        </w:rPr>
        <w:lastRenderedPageBreak/>
        <w:t>μm</w:t>
      </w:r>
      <w:proofErr w:type="spellEnd"/>
      <w:r w:rsidRPr="00503641">
        <w:rPr>
          <w:bCs/>
          <w:iCs/>
        </w:rPr>
        <w:t xml:space="preserve"> (ZO-1) and 2 </w:t>
      </w:r>
      <w:proofErr w:type="spellStart"/>
      <w:r w:rsidRPr="00503641">
        <w:rPr>
          <w:bCs/>
          <w:iCs/>
        </w:rPr>
        <w:t>μm</w:t>
      </w:r>
      <w:proofErr w:type="spellEnd"/>
      <w:r w:rsidRPr="00503641">
        <w:rPr>
          <w:bCs/>
          <w:iCs/>
        </w:rPr>
        <w:t xml:space="preserve"> (TEM images). (e) Western blot analysis of conditioned media collected from </w:t>
      </w:r>
      <w:proofErr w:type="spellStart"/>
      <w:r w:rsidRPr="00503641">
        <w:rPr>
          <w:bCs/>
          <w:iCs/>
        </w:rPr>
        <w:t>hRPE</w:t>
      </w:r>
      <w:proofErr w:type="spellEnd"/>
      <w:r w:rsidRPr="00503641">
        <w:rPr>
          <w:bCs/>
          <w:iCs/>
        </w:rPr>
        <w:t xml:space="preserve"> cultures maintained in the presence or absence of DOX. (f) Western blot analysis of two independent biological replicates demonstrating inducible expression of VEGF Sticky-trap or VEGF-trap in </w:t>
      </w:r>
      <w:proofErr w:type="spellStart"/>
      <w:r w:rsidRPr="00503641">
        <w:rPr>
          <w:bCs/>
          <w:iCs/>
        </w:rPr>
        <w:t>hRPE</w:t>
      </w:r>
      <w:proofErr w:type="spellEnd"/>
      <w:r w:rsidRPr="00503641">
        <w:rPr>
          <w:bCs/>
          <w:iCs/>
        </w:rPr>
        <w:t xml:space="preserve"> cell lysates following DOX treatment. Recombinant VEGF-trap protein served as a positive control.</w:t>
      </w:r>
    </w:p>
    <w:p w14:paraId="2320506D" w14:textId="29BA30E7" w:rsidR="00932F64" w:rsidRDefault="00932F64">
      <w:pPr>
        <w:spacing w:after="160" w:line="278" w:lineRule="auto"/>
        <w:rPr>
          <w:bCs/>
          <w:iCs/>
        </w:rPr>
      </w:pPr>
      <w:r>
        <w:rPr>
          <w:bCs/>
          <w:iCs/>
        </w:rPr>
        <w:br w:type="page"/>
      </w:r>
    </w:p>
    <w:p w14:paraId="66F2D672" w14:textId="77777777" w:rsidR="00932F64" w:rsidRDefault="00932F64" w:rsidP="00932F64">
      <w:pPr>
        <w:spacing w:before="240" w:after="240" w:line="360" w:lineRule="auto"/>
        <w:rPr>
          <w:bCs/>
          <w:iCs/>
        </w:rPr>
      </w:pPr>
    </w:p>
    <w:p w14:paraId="30A33965" w14:textId="77777777" w:rsidR="00932F64" w:rsidRDefault="00932F64" w:rsidP="00932F64">
      <w:pPr>
        <w:spacing w:before="240" w:after="240" w:line="360" w:lineRule="auto"/>
        <w:rPr>
          <w:bCs/>
          <w:iCs/>
        </w:rPr>
      </w:pPr>
      <w:r>
        <w:rPr>
          <w:bCs/>
          <w:iCs/>
          <w:noProof/>
        </w:rPr>
        <w:drawing>
          <wp:inline distT="0" distB="0" distL="0" distR="0" wp14:anchorId="5EADBA4C" wp14:editId="49D0D165">
            <wp:extent cx="4109227" cy="5386388"/>
            <wp:effectExtent l="0" t="0" r="5715" b="5080"/>
            <wp:docPr id="176965746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2" cy="5406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DDA360" w14:textId="77777777" w:rsidR="00932F64" w:rsidRDefault="00932F64" w:rsidP="00932F64">
      <w:pPr>
        <w:spacing w:before="240" w:after="240" w:line="360" w:lineRule="auto"/>
        <w:rPr>
          <w:bCs/>
          <w:iCs/>
        </w:rPr>
      </w:pPr>
      <w:r w:rsidRPr="001045D6">
        <w:rPr>
          <w:b/>
          <w:iCs/>
        </w:rPr>
        <w:t xml:space="preserve">Supplementary Figure </w:t>
      </w:r>
      <w:r w:rsidRPr="003D1C3A">
        <w:rPr>
          <w:b/>
          <w:iCs/>
        </w:rPr>
        <w:t xml:space="preserve">2 </w:t>
      </w:r>
      <w:r>
        <w:rPr>
          <w:b/>
          <w:iCs/>
        </w:rPr>
        <w:t xml:space="preserve">| </w:t>
      </w:r>
      <w:r w:rsidRPr="003D1C3A">
        <w:rPr>
          <w:b/>
          <w:iCs/>
        </w:rPr>
        <w:t xml:space="preserve">Generation </w:t>
      </w:r>
      <w:r w:rsidRPr="001045D6">
        <w:rPr>
          <w:b/>
          <w:iCs/>
        </w:rPr>
        <w:t xml:space="preserve">of </w:t>
      </w:r>
      <w:proofErr w:type="spellStart"/>
      <w:r>
        <w:rPr>
          <w:b/>
          <w:iCs/>
        </w:rPr>
        <w:t>mCherry</w:t>
      </w:r>
      <w:proofErr w:type="spellEnd"/>
      <w:r>
        <w:rPr>
          <w:b/>
          <w:iCs/>
        </w:rPr>
        <w:t xml:space="preserve"> expressing </w:t>
      </w:r>
      <w:proofErr w:type="spellStart"/>
      <w:r>
        <w:rPr>
          <w:b/>
          <w:iCs/>
        </w:rPr>
        <w:t>h</w:t>
      </w:r>
      <w:r w:rsidRPr="001045D6">
        <w:rPr>
          <w:b/>
          <w:iCs/>
        </w:rPr>
        <w:t>RPE-StTrap</w:t>
      </w:r>
      <w:proofErr w:type="spellEnd"/>
      <w:r w:rsidRPr="001045D6">
        <w:rPr>
          <w:b/>
          <w:iCs/>
        </w:rPr>
        <w:t xml:space="preserve"> cells. </w:t>
      </w:r>
      <w:r>
        <w:rPr>
          <w:b/>
          <w:iCs/>
        </w:rPr>
        <w:t xml:space="preserve">        </w:t>
      </w:r>
      <w:r w:rsidRPr="006C2D09">
        <w:rPr>
          <w:bCs/>
          <w:iCs/>
        </w:rPr>
        <w:t xml:space="preserve">(a) Following transfection with the PB-CAG-mCherry expression vector, DOX-induced cells were single-cell sorted based on EGFP and mCherry expression to generate a stable </w:t>
      </w:r>
      <w:proofErr w:type="spellStart"/>
      <w:r w:rsidRPr="006C2D09">
        <w:rPr>
          <w:bCs/>
          <w:iCs/>
        </w:rPr>
        <w:t>hRPE-StTrap-mCh</w:t>
      </w:r>
      <w:proofErr w:type="spellEnd"/>
      <w:r w:rsidRPr="006C2D09">
        <w:rPr>
          <w:bCs/>
          <w:iCs/>
        </w:rPr>
        <w:t xml:space="preserve"> clonal cell line. (b) The selected clone was evaluated for DOX-inducible EGFP expression and constitutive mCherry expression over multiple passages, including passage 10 (P10). Scale bar, 100 </w:t>
      </w:r>
      <w:proofErr w:type="spellStart"/>
      <w:r w:rsidRPr="006C2D09">
        <w:rPr>
          <w:bCs/>
          <w:iCs/>
        </w:rPr>
        <w:t>μm</w:t>
      </w:r>
      <w:proofErr w:type="spellEnd"/>
      <w:r w:rsidRPr="006C2D09">
        <w:rPr>
          <w:bCs/>
          <w:iCs/>
        </w:rPr>
        <w:t xml:space="preserve">. (c) Immunofluorescence analysis of differentiated </w:t>
      </w:r>
      <w:proofErr w:type="spellStart"/>
      <w:r w:rsidRPr="006C2D09">
        <w:rPr>
          <w:bCs/>
          <w:iCs/>
        </w:rPr>
        <w:t>hRPE-StTrap-mCh</w:t>
      </w:r>
      <w:proofErr w:type="spellEnd"/>
      <w:r w:rsidRPr="006C2D09">
        <w:rPr>
          <w:bCs/>
          <w:iCs/>
        </w:rPr>
        <w:t xml:space="preserve"> cells (P3). </w:t>
      </w:r>
      <w:proofErr w:type="spellStart"/>
      <w:r w:rsidRPr="006C2D09">
        <w:rPr>
          <w:bCs/>
          <w:iCs/>
        </w:rPr>
        <w:t>hRPE-StTrap-mCh</w:t>
      </w:r>
      <w:proofErr w:type="spellEnd"/>
      <w:r w:rsidRPr="006C2D09">
        <w:rPr>
          <w:bCs/>
          <w:iCs/>
        </w:rPr>
        <w:t xml:space="preserve"> cells constitutively expressed mCherry and exhibited DOX-inducible EGFP-</w:t>
      </w:r>
      <w:proofErr w:type="spellStart"/>
      <w:r w:rsidRPr="006C2D09">
        <w:rPr>
          <w:bCs/>
          <w:iCs/>
        </w:rPr>
        <w:t>StTrap</w:t>
      </w:r>
      <w:proofErr w:type="spellEnd"/>
      <w:r w:rsidRPr="006C2D09">
        <w:rPr>
          <w:bCs/>
          <w:iCs/>
        </w:rPr>
        <w:t xml:space="preserve"> expression, whereas non-transgenic </w:t>
      </w:r>
      <w:proofErr w:type="spellStart"/>
      <w:r w:rsidRPr="006C2D09">
        <w:rPr>
          <w:bCs/>
          <w:iCs/>
        </w:rPr>
        <w:t>hRPE</w:t>
      </w:r>
      <w:proofErr w:type="spellEnd"/>
      <w:r w:rsidRPr="006C2D09">
        <w:rPr>
          <w:bCs/>
          <w:iCs/>
        </w:rPr>
        <w:t xml:space="preserve">-WT cells served as negative controls. Scale bar, 50 </w:t>
      </w:r>
      <w:proofErr w:type="spellStart"/>
      <w:r w:rsidRPr="006C2D09">
        <w:rPr>
          <w:bCs/>
          <w:iCs/>
        </w:rPr>
        <w:t>μm</w:t>
      </w:r>
      <w:proofErr w:type="spellEnd"/>
      <w:r w:rsidRPr="006C2D09">
        <w:rPr>
          <w:bCs/>
          <w:iCs/>
        </w:rPr>
        <w:t>.</w:t>
      </w:r>
    </w:p>
    <w:p w14:paraId="51D14F86" w14:textId="77777777" w:rsidR="00932F64" w:rsidRDefault="00932F64" w:rsidP="00932F64">
      <w:pPr>
        <w:spacing w:before="240" w:after="240" w:line="360" w:lineRule="auto"/>
        <w:rPr>
          <w:bCs/>
          <w:iCs/>
        </w:rPr>
      </w:pPr>
    </w:p>
    <w:p w14:paraId="65E4A39E" w14:textId="77777777" w:rsidR="00932F64" w:rsidRDefault="00932F64" w:rsidP="00932F64">
      <w:pPr>
        <w:spacing w:before="240" w:after="240" w:line="360" w:lineRule="auto"/>
        <w:rPr>
          <w:bCs/>
          <w:iCs/>
        </w:rPr>
      </w:pPr>
      <w:r>
        <w:rPr>
          <w:bCs/>
          <w:iCs/>
          <w:noProof/>
        </w:rPr>
        <w:lastRenderedPageBreak/>
        <w:drawing>
          <wp:inline distT="0" distB="0" distL="0" distR="0" wp14:anchorId="6AFDFD16" wp14:editId="2CE31653">
            <wp:extent cx="5729605" cy="6724650"/>
            <wp:effectExtent l="0" t="0" r="4445" b="0"/>
            <wp:docPr id="200039054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9605" cy="672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65C4D6" w14:textId="77777777" w:rsidR="00932F64" w:rsidRDefault="00932F64" w:rsidP="00932F64">
      <w:pPr>
        <w:spacing w:before="240" w:after="240" w:line="360" w:lineRule="auto"/>
        <w:rPr>
          <w:bCs/>
          <w:iCs/>
        </w:rPr>
      </w:pPr>
      <w:r w:rsidRPr="00DE61D9">
        <w:rPr>
          <w:b/>
          <w:iCs/>
        </w:rPr>
        <w:t xml:space="preserve">Supplementary Figure 3 | Long-term persistence and integration of </w:t>
      </w:r>
      <w:proofErr w:type="spellStart"/>
      <w:r w:rsidRPr="00DE61D9">
        <w:rPr>
          <w:b/>
          <w:iCs/>
        </w:rPr>
        <w:t>subretinally</w:t>
      </w:r>
      <w:proofErr w:type="spellEnd"/>
      <w:r w:rsidRPr="00DE61D9">
        <w:rPr>
          <w:b/>
          <w:iCs/>
        </w:rPr>
        <w:t xml:space="preserve"> transplanted </w:t>
      </w:r>
      <w:proofErr w:type="spellStart"/>
      <w:r w:rsidRPr="00DE61D9">
        <w:rPr>
          <w:b/>
          <w:iCs/>
        </w:rPr>
        <w:t>hRPE</w:t>
      </w:r>
      <w:proofErr w:type="spellEnd"/>
      <w:r w:rsidRPr="00DE61D9">
        <w:rPr>
          <w:b/>
          <w:iCs/>
        </w:rPr>
        <w:t xml:space="preserve"> cells.</w:t>
      </w:r>
      <w:r>
        <w:rPr>
          <w:b/>
          <w:iCs/>
        </w:rPr>
        <w:t xml:space="preserve"> </w:t>
      </w:r>
      <w:r>
        <w:rPr>
          <w:bCs/>
          <w:iCs/>
        </w:rPr>
        <w:t>(</w:t>
      </w:r>
      <w:r w:rsidRPr="00DE61D9">
        <w:rPr>
          <w:bCs/>
          <w:iCs/>
        </w:rPr>
        <w:t xml:space="preserve">a) Flat-mounted eyecups collected </w:t>
      </w:r>
      <w:proofErr w:type="gramStart"/>
      <w:r w:rsidRPr="00DE61D9">
        <w:rPr>
          <w:bCs/>
          <w:iCs/>
        </w:rPr>
        <w:t>1 week</w:t>
      </w:r>
      <w:proofErr w:type="gramEnd"/>
      <w:r w:rsidRPr="00DE61D9">
        <w:rPr>
          <w:bCs/>
          <w:iCs/>
        </w:rPr>
        <w:t xml:space="preserve"> post-injection (</w:t>
      </w:r>
      <w:proofErr w:type="spellStart"/>
      <w:r w:rsidRPr="00DE61D9">
        <w:rPr>
          <w:bCs/>
          <w:iCs/>
        </w:rPr>
        <w:t>wkpi</w:t>
      </w:r>
      <w:proofErr w:type="spellEnd"/>
      <w:r w:rsidRPr="00DE61D9">
        <w:rPr>
          <w:bCs/>
          <w:iCs/>
        </w:rPr>
        <w:t>), 2 months post-injection (</w:t>
      </w:r>
      <w:proofErr w:type="spellStart"/>
      <w:r w:rsidRPr="00DE61D9">
        <w:rPr>
          <w:bCs/>
          <w:iCs/>
        </w:rPr>
        <w:t>mpi</w:t>
      </w:r>
      <w:proofErr w:type="spellEnd"/>
      <w:r w:rsidRPr="00DE61D9">
        <w:rPr>
          <w:bCs/>
          <w:iCs/>
        </w:rPr>
        <w:t xml:space="preserve">), 4 </w:t>
      </w:r>
      <w:proofErr w:type="spellStart"/>
      <w:r w:rsidRPr="00DE61D9">
        <w:rPr>
          <w:bCs/>
          <w:iCs/>
        </w:rPr>
        <w:t>mpi</w:t>
      </w:r>
      <w:proofErr w:type="spellEnd"/>
      <w:r w:rsidRPr="00DE61D9">
        <w:rPr>
          <w:bCs/>
          <w:iCs/>
        </w:rPr>
        <w:t xml:space="preserve">, and 10 </w:t>
      </w:r>
      <w:proofErr w:type="spellStart"/>
      <w:r w:rsidRPr="00DE61D9">
        <w:rPr>
          <w:bCs/>
          <w:iCs/>
        </w:rPr>
        <w:t>mpi</w:t>
      </w:r>
      <w:proofErr w:type="spellEnd"/>
      <w:r w:rsidRPr="00DE61D9">
        <w:rPr>
          <w:bCs/>
          <w:iCs/>
        </w:rPr>
        <w:t xml:space="preserve"> following </w:t>
      </w:r>
      <w:proofErr w:type="spellStart"/>
      <w:r w:rsidRPr="00DE61D9">
        <w:rPr>
          <w:bCs/>
          <w:iCs/>
        </w:rPr>
        <w:t>hRPE-StTrap-mCh</w:t>
      </w:r>
      <w:proofErr w:type="spellEnd"/>
      <w:r w:rsidRPr="00DE61D9">
        <w:rPr>
          <w:bCs/>
          <w:iCs/>
        </w:rPr>
        <w:t xml:space="preserve"> transplantation. At 1 </w:t>
      </w:r>
      <w:proofErr w:type="spellStart"/>
      <w:r w:rsidRPr="00DE61D9">
        <w:rPr>
          <w:bCs/>
          <w:iCs/>
        </w:rPr>
        <w:t>wkpi</w:t>
      </w:r>
      <w:proofErr w:type="spellEnd"/>
      <w:r w:rsidRPr="00DE61D9">
        <w:rPr>
          <w:bCs/>
          <w:iCs/>
        </w:rPr>
        <w:t xml:space="preserve">, grafted cells were present as multilayered clusters, whereas at later time points cells adopted a flattened morphology consistent with integration into the host RPE monolayer. Scale bars, 500 </w:t>
      </w:r>
      <w:proofErr w:type="spellStart"/>
      <w:r w:rsidRPr="00DE61D9">
        <w:rPr>
          <w:bCs/>
          <w:iCs/>
        </w:rPr>
        <w:t>μm</w:t>
      </w:r>
      <w:proofErr w:type="spellEnd"/>
      <w:r w:rsidRPr="00DE61D9">
        <w:rPr>
          <w:bCs/>
          <w:iCs/>
        </w:rPr>
        <w:t xml:space="preserve"> (whole-mount images) and 50 </w:t>
      </w:r>
      <w:proofErr w:type="spellStart"/>
      <w:r w:rsidRPr="00DE61D9">
        <w:rPr>
          <w:bCs/>
          <w:iCs/>
        </w:rPr>
        <w:t>μm</w:t>
      </w:r>
      <w:proofErr w:type="spellEnd"/>
      <w:r w:rsidRPr="00DE61D9">
        <w:rPr>
          <w:bCs/>
          <w:iCs/>
        </w:rPr>
        <w:t xml:space="preserve"> (magnified views). (b) Representative flat-mounted eyecups stained with STEM121 or mCherry to </w:t>
      </w:r>
      <w:r w:rsidRPr="00DE61D9">
        <w:rPr>
          <w:bCs/>
          <w:iCs/>
        </w:rPr>
        <w:lastRenderedPageBreak/>
        <w:t xml:space="preserve">identify transplanted </w:t>
      </w:r>
      <w:proofErr w:type="spellStart"/>
      <w:r w:rsidRPr="00DE61D9">
        <w:rPr>
          <w:bCs/>
          <w:iCs/>
        </w:rPr>
        <w:t>hRPE</w:t>
      </w:r>
      <w:proofErr w:type="spellEnd"/>
      <w:r w:rsidRPr="00DE61D9">
        <w:rPr>
          <w:bCs/>
          <w:iCs/>
        </w:rPr>
        <w:t xml:space="preserve">-WT and </w:t>
      </w:r>
      <w:proofErr w:type="spellStart"/>
      <w:r w:rsidRPr="00DE61D9">
        <w:rPr>
          <w:bCs/>
          <w:iCs/>
        </w:rPr>
        <w:t>hRPE-StTrap-mCh</w:t>
      </w:r>
      <w:proofErr w:type="spellEnd"/>
      <w:r w:rsidRPr="00DE61D9">
        <w:rPr>
          <w:bCs/>
          <w:iCs/>
        </w:rPr>
        <w:t xml:space="preserve"> cells, respectively. HAMC-injected eyes served as controls. (c) Representative fundus images acquired at 2 and 8 </w:t>
      </w:r>
      <w:proofErr w:type="spellStart"/>
      <w:r w:rsidRPr="00DE61D9">
        <w:rPr>
          <w:bCs/>
          <w:iCs/>
        </w:rPr>
        <w:t>mpi</w:t>
      </w:r>
      <w:proofErr w:type="spellEnd"/>
      <w:r w:rsidRPr="00DE61D9">
        <w:rPr>
          <w:bCs/>
          <w:iCs/>
        </w:rPr>
        <w:t xml:space="preserve"> demonstrating stable graft pigmentation over time. Green arrows indicate the OCT scan location. (d) Quantification of pigmented graft area from fundus images using ImageJ </w:t>
      </w:r>
      <w:proofErr w:type="spellStart"/>
      <w:r w:rsidRPr="00DE61D9">
        <w:rPr>
          <w:bCs/>
          <w:iCs/>
        </w:rPr>
        <w:t>color</w:t>
      </w:r>
      <w:proofErr w:type="spellEnd"/>
      <w:r w:rsidRPr="00DE61D9">
        <w:rPr>
          <w:bCs/>
          <w:iCs/>
        </w:rPr>
        <w:t xml:space="preserve"> threshold analysis. Data are presented as mean ± SD; ns, not significant.</w:t>
      </w:r>
    </w:p>
    <w:p w14:paraId="4E3CF073" w14:textId="793FE4F4" w:rsidR="00932F64" w:rsidRDefault="00932F64">
      <w:pPr>
        <w:spacing w:after="160" w:line="278" w:lineRule="auto"/>
        <w:rPr>
          <w:bCs/>
          <w:iCs/>
        </w:rPr>
      </w:pPr>
      <w:r>
        <w:rPr>
          <w:bCs/>
          <w:iCs/>
        </w:rPr>
        <w:br w:type="page"/>
      </w:r>
    </w:p>
    <w:p w14:paraId="233F5B06" w14:textId="77777777" w:rsidR="00932F64" w:rsidRDefault="00932F64" w:rsidP="00932F64">
      <w:pPr>
        <w:spacing w:before="240" w:after="240" w:line="360" w:lineRule="auto"/>
        <w:rPr>
          <w:bCs/>
          <w:iCs/>
        </w:rPr>
      </w:pPr>
    </w:p>
    <w:p w14:paraId="12E15A26" w14:textId="77777777" w:rsidR="00932F64" w:rsidRDefault="00932F64" w:rsidP="00932F64">
      <w:pPr>
        <w:spacing w:before="240" w:after="240" w:line="360" w:lineRule="auto"/>
        <w:rPr>
          <w:bCs/>
          <w:iCs/>
        </w:rPr>
      </w:pPr>
      <w:r>
        <w:rPr>
          <w:bCs/>
          <w:iCs/>
          <w:noProof/>
        </w:rPr>
        <w:drawing>
          <wp:inline distT="0" distB="0" distL="0" distR="0" wp14:anchorId="1EDC4632" wp14:editId="037DB00E">
            <wp:extent cx="5428664" cy="6615113"/>
            <wp:effectExtent l="0" t="0" r="635" b="0"/>
            <wp:docPr id="177244273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8664" cy="6615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C2CA2" w14:textId="77777777" w:rsidR="00932F64" w:rsidRDefault="00932F64" w:rsidP="00932F64">
      <w:pPr>
        <w:spacing w:before="240" w:after="240" w:line="360" w:lineRule="auto"/>
        <w:rPr>
          <w:bCs/>
          <w:iCs/>
        </w:rPr>
      </w:pPr>
      <w:r w:rsidRPr="001703F9">
        <w:rPr>
          <w:b/>
          <w:iCs/>
        </w:rPr>
        <w:t xml:space="preserve">Supplementary Figure </w:t>
      </w:r>
      <w:r>
        <w:rPr>
          <w:b/>
          <w:iCs/>
        </w:rPr>
        <w:t>4</w:t>
      </w:r>
      <w:r w:rsidRPr="001703F9">
        <w:rPr>
          <w:b/>
          <w:iCs/>
        </w:rPr>
        <w:t xml:space="preserve"> |</w:t>
      </w:r>
      <w:r>
        <w:rPr>
          <w:b/>
          <w:iCs/>
        </w:rPr>
        <w:t xml:space="preserve"> </w:t>
      </w:r>
      <w:r w:rsidRPr="001703F9">
        <w:rPr>
          <w:b/>
          <w:iCs/>
        </w:rPr>
        <w:t xml:space="preserve">Laser-induced CNV assay. </w:t>
      </w:r>
      <w:r w:rsidRPr="001703F9">
        <w:rPr>
          <w:bCs/>
          <w:iCs/>
        </w:rPr>
        <w:t>(</w:t>
      </w:r>
      <w:proofErr w:type="spellStart"/>
      <w:proofErr w:type="gramStart"/>
      <w:r w:rsidRPr="001703F9">
        <w:rPr>
          <w:bCs/>
          <w:iCs/>
        </w:rPr>
        <w:t>a,b</w:t>
      </w:r>
      <w:proofErr w:type="spellEnd"/>
      <w:proofErr w:type="gramEnd"/>
      <w:r w:rsidRPr="001703F9">
        <w:rPr>
          <w:bCs/>
          <w:iCs/>
        </w:rPr>
        <w:t xml:space="preserve">) </w:t>
      </w:r>
      <w:proofErr w:type="spellStart"/>
      <w:r w:rsidRPr="001703F9">
        <w:rPr>
          <w:bCs/>
          <w:iCs/>
        </w:rPr>
        <w:t>hRPE-StTrap-mCh</w:t>
      </w:r>
      <w:proofErr w:type="spellEnd"/>
      <w:r w:rsidRPr="001703F9">
        <w:rPr>
          <w:bCs/>
          <w:iCs/>
        </w:rPr>
        <w:t xml:space="preserve"> cells were injected into the subretinal space of adult C57BL/6J mice. Five weeks post-injection (</w:t>
      </w:r>
      <w:proofErr w:type="spellStart"/>
      <w:r w:rsidRPr="001703F9">
        <w:rPr>
          <w:bCs/>
          <w:iCs/>
        </w:rPr>
        <w:t>wkpi</w:t>
      </w:r>
      <w:proofErr w:type="spellEnd"/>
      <w:r w:rsidRPr="001703F9">
        <w:rPr>
          <w:bCs/>
          <w:iCs/>
        </w:rPr>
        <w:t xml:space="preserve">), laser photocoagulation was performed adjacent to grafted mCherry+ cells. Mice received either a regular diet (No DOX) or a DOX-containing diet beginning one day prior to laser photocoagulation. Fundus, fluorescein angiography (FA), optical coherence tomography (OCT), and mCherry fluorescence imaging were used to identify grafted cells and confirm </w:t>
      </w:r>
      <w:r w:rsidRPr="001703F9">
        <w:rPr>
          <w:bCs/>
          <w:iCs/>
        </w:rPr>
        <w:lastRenderedPageBreak/>
        <w:t xml:space="preserve">laser placement relative to the graft. White boxes indicate the laser injury site. Scale bar, 100 </w:t>
      </w:r>
      <w:proofErr w:type="spellStart"/>
      <w:r w:rsidRPr="001703F9">
        <w:rPr>
          <w:bCs/>
          <w:iCs/>
        </w:rPr>
        <w:t>μm</w:t>
      </w:r>
      <w:proofErr w:type="spellEnd"/>
      <w:r w:rsidRPr="001703F9">
        <w:rPr>
          <w:bCs/>
          <w:iCs/>
        </w:rPr>
        <w:t>. (</w:t>
      </w:r>
      <w:proofErr w:type="spellStart"/>
      <w:proofErr w:type="gramStart"/>
      <w:r w:rsidRPr="001703F9">
        <w:rPr>
          <w:bCs/>
          <w:iCs/>
        </w:rPr>
        <w:t>c,d</w:t>
      </w:r>
      <w:proofErr w:type="spellEnd"/>
      <w:proofErr w:type="gramEnd"/>
      <w:r w:rsidRPr="001703F9">
        <w:rPr>
          <w:bCs/>
          <w:iCs/>
        </w:rPr>
        <w:t xml:space="preserve">) Flat-mounted eyecups collected 9 days after laser photocoagulation (Day 44) show the laser injury site (white boxes) adjacent to transplanted </w:t>
      </w:r>
      <w:proofErr w:type="spellStart"/>
      <w:r w:rsidRPr="001703F9">
        <w:rPr>
          <w:bCs/>
          <w:iCs/>
        </w:rPr>
        <w:t>hRPE-StTrap-mCh</w:t>
      </w:r>
      <w:proofErr w:type="spellEnd"/>
      <w:r w:rsidRPr="001703F9">
        <w:rPr>
          <w:bCs/>
          <w:iCs/>
        </w:rPr>
        <w:t xml:space="preserve"> cells (white arrowheads). Scale bar, 2,000 </w:t>
      </w:r>
      <w:proofErr w:type="spellStart"/>
      <w:r w:rsidRPr="001703F9">
        <w:rPr>
          <w:bCs/>
          <w:iCs/>
        </w:rPr>
        <w:t>μm</w:t>
      </w:r>
      <w:proofErr w:type="spellEnd"/>
      <w:r w:rsidRPr="001703F9">
        <w:rPr>
          <w:bCs/>
          <w:iCs/>
        </w:rPr>
        <w:t>. (</w:t>
      </w:r>
      <w:proofErr w:type="spellStart"/>
      <w:proofErr w:type="gramStart"/>
      <w:r w:rsidRPr="001703F9">
        <w:rPr>
          <w:bCs/>
          <w:iCs/>
        </w:rPr>
        <w:t>e,f</w:t>
      </w:r>
      <w:proofErr w:type="spellEnd"/>
      <w:proofErr w:type="gramEnd"/>
      <w:r w:rsidRPr="001703F9">
        <w:rPr>
          <w:bCs/>
          <w:iCs/>
        </w:rPr>
        <w:t xml:space="preserve">) Higher-magnification views of FITC-dextran-stained CNV lesions at the laser injury site. Scale bar, 50 </w:t>
      </w:r>
      <w:proofErr w:type="spellStart"/>
      <w:r w:rsidRPr="001703F9">
        <w:rPr>
          <w:bCs/>
          <w:iCs/>
        </w:rPr>
        <w:t>μm</w:t>
      </w:r>
      <w:proofErr w:type="spellEnd"/>
      <w:r w:rsidRPr="001703F9">
        <w:rPr>
          <w:bCs/>
          <w:iCs/>
        </w:rPr>
        <w:t xml:space="preserve">. </w:t>
      </w:r>
      <w:proofErr w:type="spellStart"/>
      <w:r w:rsidRPr="001703F9">
        <w:rPr>
          <w:bCs/>
          <w:iCs/>
        </w:rPr>
        <w:t>wkpi</w:t>
      </w:r>
      <w:proofErr w:type="spellEnd"/>
      <w:r w:rsidRPr="001703F9">
        <w:rPr>
          <w:bCs/>
          <w:iCs/>
        </w:rPr>
        <w:t xml:space="preserve">, weeks post-injection; FA, fluorescein angiography; OCT, optical coherence tomography; </w:t>
      </w:r>
      <w:proofErr w:type="spellStart"/>
      <w:r w:rsidRPr="001703F9">
        <w:rPr>
          <w:bCs/>
          <w:iCs/>
        </w:rPr>
        <w:t>mCh</w:t>
      </w:r>
      <w:proofErr w:type="spellEnd"/>
      <w:r w:rsidRPr="001703F9">
        <w:rPr>
          <w:bCs/>
          <w:iCs/>
        </w:rPr>
        <w:t xml:space="preserve">, </w:t>
      </w:r>
      <w:proofErr w:type="spellStart"/>
      <w:r w:rsidRPr="001703F9">
        <w:rPr>
          <w:bCs/>
          <w:iCs/>
        </w:rPr>
        <w:t>mCherry</w:t>
      </w:r>
      <w:proofErr w:type="spellEnd"/>
      <w:r w:rsidRPr="001703F9">
        <w:rPr>
          <w:bCs/>
          <w:iCs/>
        </w:rPr>
        <w:t>.</w:t>
      </w:r>
    </w:p>
    <w:p w14:paraId="075931F9" w14:textId="5093C713" w:rsidR="00932F64" w:rsidRDefault="00932F64">
      <w:pPr>
        <w:spacing w:after="160" w:line="278" w:lineRule="auto"/>
        <w:rPr>
          <w:bCs/>
          <w:iCs/>
        </w:rPr>
      </w:pPr>
      <w:r>
        <w:rPr>
          <w:bCs/>
          <w:iCs/>
        </w:rPr>
        <w:br w:type="page"/>
      </w:r>
    </w:p>
    <w:p w14:paraId="50491232" w14:textId="77777777" w:rsidR="00932F64" w:rsidRDefault="00932F64" w:rsidP="00932F64">
      <w:pPr>
        <w:spacing w:before="240" w:after="240" w:line="360" w:lineRule="auto"/>
        <w:rPr>
          <w:bCs/>
          <w:iCs/>
        </w:rPr>
      </w:pPr>
    </w:p>
    <w:p w14:paraId="03DEDF40" w14:textId="77777777" w:rsidR="00932F64" w:rsidRDefault="00932F64" w:rsidP="00932F64">
      <w:pPr>
        <w:spacing w:before="240" w:after="240" w:line="360" w:lineRule="auto"/>
        <w:rPr>
          <w:bCs/>
          <w:iCs/>
        </w:rPr>
      </w:pPr>
      <w:r>
        <w:rPr>
          <w:bCs/>
          <w:iCs/>
          <w:noProof/>
        </w:rPr>
        <w:drawing>
          <wp:inline distT="0" distB="0" distL="0" distR="0" wp14:anchorId="07D7ABEE" wp14:editId="77EB8EB1">
            <wp:extent cx="5434376" cy="5014913"/>
            <wp:effectExtent l="0" t="0" r="0" b="0"/>
            <wp:docPr id="4290484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883" cy="5023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2739CC" w14:textId="77777777" w:rsidR="00932F64" w:rsidRDefault="00932F64" w:rsidP="00932F64">
      <w:pPr>
        <w:spacing w:line="360" w:lineRule="auto"/>
        <w:rPr>
          <w:bCs/>
          <w:iCs/>
        </w:rPr>
      </w:pPr>
      <w:r w:rsidRPr="00EC6B27">
        <w:rPr>
          <w:b/>
          <w:iCs/>
        </w:rPr>
        <w:t xml:space="preserve">Supplementary Figure </w:t>
      </w:r>
      <w:r>
        <w:rPr>
          <w:b/>
          <w:iCs/>
        </w:rPr>
        <w:t>5</w:t>
      </w:r>
      <w:r w:rsidRPr="00EC6B27">
        <w:rPr>
          <w:b/>
          <w:iCs/>
        </w:rPr>
        <w:t xml:space="preserve"> | Laser-induced choroidal neovascularization (CNV) model and biodistribution of VEGF-trap proteins. </w:t>
      </w:r>
      <w:r w:rsidRPr="00EC6B27">
        <w:rPr>
          <w:bCs/>
          <w:iCs/>
        </w:rPr>
        <w:t xml:space="preserve">(a) Fundus, fluorescein angiography (FA), and OCT images demonstrating laser-induced rupture of Bruch's membrane (BM) at Day 35 (D35). BM rupture resulted in the formation of a subretinal bubble (arrow). (b) Representative FITC-dextran-perfused CNV lesions collected at Day 44 (D44), 9 days after laser photocoagulation. Only eyes with confirmed BM rupture were included in the study. Scale bars, 100 </w:t>
      </w:r>
      <w:proofErr w:type="spellStart"/>
      <w:r w:rsidRPr="00EC6B27">
        <w:rPr>
          <w:bCs/>
          <w:iCs/>
        </w:rPr>
        <w:t>μm</w:t>
      </w:r>
      <w:proofErr w:type="spellEnd"/>
      <w:r w:rsidRPr="00EC6B27">
        <w:rPr>
          <w:bCs/>
          <w:iCs/>
        </w:rPr>
        <w:t xml:space="preserve"> (OCT) and 50 </w:t>
      </w:r>
      <w:proofErr w:type="spellStart"/>
      <w:r w:rsidRPr="00EC6B27">
        <w:rPr>
          <w:bCs/>
          <w:iCs/>
        </w:rPr>
        <w:t>μm</w:t>
      </w:r>
      <w:proofErr w:type="spellEnd"/>
      <w:r w:rsidRPr="00EC6B27">
        <w:rPr>
          <w:bCs/>
          <w:iCs/>
        </w:rPr>
        <w:t xml:space="preserve"> (</w:t>
      </w:r>
      <w:proofErr w:type="gramStart"/>
      <w:r w:rsidRPr="00EC6B27">
        <w:rPr>
          <w:bCs/>
          <w:iCs/>
        </w:rPr>
        <w:t>flat-mounts</w:t>
      </w:r>
      <w:proofErr w:type="gramEnd"/>
      <w:r w:rsidRPr="00EC6B27">
        <w:rPr>
          <w:bCs/>
          <w:iCs/>
        </w:rPr>
        <w:t xml:space="preserve">). NFL, nerve </w:t>
      </w:r>
      <w:proofErr w:type="spellStart"/>
      <w:r w:rsidRPr="00EC6B27">
        <w:rPr>
          <w:bCs/>
          <w:iCs/>
        </w:rPr>
        <w:t>fiber</w:t>
      </w:r>
      <w:proofErr w:type="spellEnd"/>
      <w:r w:rsidRPr="00EC6B27">
        <w:rPr>
          <w:bCs/>
          <w:iCs/>
        </w:rPr>
        <w:t xml:space="preserve"> layer; IPL, inner plexiform layer; INL, inner nuclear layer; ONL, outer nuclear layer; RPE, retinal pigment epithelium; BM, Bruch's membrane. (</w:t>
      </w:r>
      <w:proofErr w:type="spellStart"/>
      <w:proofErr w:type="gramStart"/>
      <w:r w:rsidRPr="00EC6B27">
        <w:rPr>
          <w:bCs/>
          <w:iCs/>
        </w:rPr>
        <w:t>c,d</w:t>
      </w:r>
      <w:proofErr w:type="spellEnd"/>
      <w:proofErr w:type="gramEnd"/>
      <w:r w:rsidRPr="00EC6B27">
        <w:rPr>
          <w:bCs/>
          <w:iCs/>
        </w:rPr>
        <w:t xml:space="preserve">) Experimental design for assessment of systemic VEGF-trap exposure following subretinal transplantation of </w:t>
      </w:r>
      <w:proofErr w:type="spellStart"/>
      <w:r w:rsidRPr="00EC6B27">
        <w:rPr>
          <w:bCs/>
          <w:iCs/>
        </w:rPr>
        <w:t>hRPE-StTrap-mCh</w:t>
      </w:r>
      <w:proofErr w:type="spellEnd"/>
      <w:r w:rsidRPr="00EC6B27">
        <w:rPr>
          <w:bCs/>
          <w:iCs/>
        </w:rPr>
        <w:t xml:space="preserve"> cells or intravitreal administration of recombinant VEGF-trap protein. (e–h) Human VEGF-trap ELISA measurements in serum, heart, kidney, and small intestine collected 9 days after </w:t>
      </w:r>
      <w:r w:rsidRPr="00EC6B27">
        <w:rPr>
          <w:bCs/>
          <w:iCs/>
        </w:rPr>
        <w:lastRenderedPageBreak/>
        <w:t xml:space="preserve">treatment. Recombinant VEGF-trap protein was detected in serum and peripheral organs following intravitreal administration, whereas VEGF Sticky-trap expressed by transplanted </w:t>
      </w:r>
      <w:proofErr w:type="spellStart"/>
      <w:r w:rsidRPr="00EC6B27">
        <w:rPr>
          <w:bCs/>
          <w:iCs/>
        </w:rPr>
        <w:t>hRPE-StTrap-mCh</w:t>
      </w:r>
      <w:proofErr w:type="spellEnd"/>
      <w:r w:rsidRPr="00EC6B27">
        <w:rPr>
          <w:bCs/>
          <w:iCs/>
        </w:rPr>
        <w:t xml:space="preserve"> cells remained undetectable (und.) in all samples </w:t>
      </w:r>
      <w:proofErr w:type="spellStart"/>
      <w:r w:rsidRPr="00EC6B27">
        <w:rPr>
          <w:bCs/>
          <w:iCs/>
        </w:rPr>
        <w:t>analyzed</w:t>
      </w:r>
      <w:proofErr w:type="spellEnd"/>
      <w:r w:rsidRPr="00EC6B27">
        <w:rPr>
          <w:bCs/>
          <w:iCs/>
        </w:rPr>
        <w:t>. Data are presented as mean ± SD. *P &lt; 0.05, **P &lt; 0.01, ***P &lt; 0.001, ****P &lt; 0.0001; two-way ANOVA.</w:t>
      </w:r>
    </w:p>
    <w:p w14:paraId="7C5C5431" w14:textId="77777777" w:rsidR="00932F64" w:rsidRDefault="00932F64"/>
    <w:sectPr w:rsidR="00932F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F64"/>
    <w:rsid w:val="00251092"/>
    <w:rsid w:val="00932F64"/>
    <w:rsid w:val="00AB7A44"/>
    <w:rsid w:val="00E06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82EBC"/>
  <w15:chartTrackingRefBased/>
  <w15:docId w15:val="{045B1D66-6B83-314F-89D6-1FC26E7F7F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2F64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2F6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2F6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2F6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2F6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2F6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2F6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2F6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2F6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2F6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2F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2F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2F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2F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2F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2F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2F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2F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2F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2F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32F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2F6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32F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2F6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32F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2F6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32F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2F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2F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2F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758</Words>
  <Characters>4539</Characters>
  <Application>Microsoft Office Word</Application>
  <DocSecurity>0</DocSecurity>
  <Lines>98</Lines>
  <Paragraphs>23</Paragraphs>
  <ScaleCrop>false</ScaleCrop>
  <Company/>
  <LinksUpToDate>false</LinksUpToDate>
  <CharactersWithSpaces>5274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Andras</dc:creator>
  <cp:keywords/>
  <dc:description/>
  <cp:lastModifiedBy>Violeta Tapia</cp:lastModifiedBy>
  <cp:revision>2</cp:revision>
  <dcterms:created xsi:type="dcterms:W3CDTF">2026-06-12T18:32:00Z</dcterms:created>
  <dcterms:modified xsi:type="dcterms:W3CDTF">2026-06-12T18:32:00Z</dcterms:modified>
</cp:coreProperties>
</file>