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8D3FDC" w14:textId="0B975A0B" w:rsidR="00F901AD" w:rsidRPr="00F901AD" w:rsidRDefault="00F901AD" w:rsidP="00F901AD">
      <w:pPr>
        <w:spacing w:after="0" w:line="480" w:lineRule="auto"/>
        <w:jc w:val="center"/>
        <w:rPr>
          <w:rFonts w:ascii="Arial" w:eastAsia="SimSun" w:hAnsi="Arial" w:cs="Arial"/>
          <w:b/>
          <w:bCs/>
          <w:kern w:val="0"/>
          <w:sz w:val="36"/>
          <w:szCs w:val="36"/>
          <w:lang w:eastAsia="en-US"/>
          <w14:ligatures w14:val="none"/>
        </w:rPr>
      </w:pPr>
      <w:r w:rsidRPr="00F901AD">
        <w:rPr>
          <w:rFonts w:ascii="Arial" w:eastAsia="SimSun" w:hAnsi="Arial" w:cs="Arial"/>
          <w:b/>
          <w:bCs/>
          <w:kern w:val="0"/>
          <w:sz w:val="36"/>
          <w:szCs w:val="36"/>
          <w:lang w:eastAsia="en-US"/>
          <w14:ligatures w14:val="none"/>
        </w:rPr>
        <w:t>Supplement</w:t>
      </w:r>
    </w:p>
    <w:p w14:paraId="042DF60C" w14:textId="046804D0" w:rsidR="00F901AD" w:rsidRDefault="00F901AD" w:rsidP="00F901AD">
      <w:pPr>
        <w:spacing w:line="276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665FD3">
        <w:rPr>
          <w:rFonts w:ascii="Arial" w:hAnsi="Arial" w:cs="Arial"/>
          <w:b/>
          <w:bCs/>
          <w:sz w:val="32"/>
          <w:szCs w:val="32"/>
        </w:rPr>
        <w:t xml:space="preserve">Personality Heterogeneity </w:t>
      </w:r>
      <w:r>
        <w:rPr>
          <w:rFonts w:ascii="Arial" w:hAnsi="Arial" w:cs="Arial" w:hint="eastAsia"/>
          <w:b/>
          <w:bCs/>
          <w:sz w:val="32"/>
          <w:szCs w:val="32"/>
        </w:rPr>
        <w:t>Shapes</w:t>
      </w:r>
      <w:r w:rsidRPr="00665FD3">
        <w:rPr>
          <w:rFonts w:ascii="Arial" w:hAnsi="Arial" w:cs="Arial"/>
          <w:b/>
          <w:bCs/>
          <w:sz w:val="32"/>
          <w:szCs w:val="32"/>
        </w:rPr>
        <w:t xml:space="preserve"> the Neural </w:t>
      </w:r>
      <w:r w:rsidRPr="00B35CEF">
        <w:rPr>
          <w:rFonts w:ascii="Arial" w:hAnsi="Arial" w:cs="Arial"/>
          <w:b/>
          <w:bCs/>
          <w:sz w:val="32"/>
          <w:szCs w:val="32"/>
        </w:rPr>
        <w:t>Organization</w:t>
      </w:r>
      <w:r>
        <w:rPr>
          <w:rFonts w:ascii="Arial" w:hAnsi="Arial" w:cs="Arial" w:hint="eastAsia"/>
          <w:b/>
          <w:bCs/>
          <w:sz w:val="32"/>
          <w:szCs w:val="32"/>
        </w:rPr>
        <w:t xml:space="preserve"> </w:t>
      </w:r>
      <w:r w:rsidRPr="00665FD3">
        <w:rPr>
          <w:rFonts w:ascii="Arial" w:hAnsi="Arial" w:cs="Arial"/>
          <w:b/>
          <w:bCs/>
          <w:sz w:val="32"/>
          <w:szCs w:val="32"/>
        </w:rPr>
        <w:t>of Conditioned Threat Learning</w:t>
      </w:r>
    </w:p>
    <w:p w14:paraId="5DBF3874" w14:textId="77777777" w:rsidR="00F901AD" w:rsidRDefault="00F901AD" w:rsidP="000D6906">
      <w:pPr>
        <w:spacing w:line="276" w:lineRule="auto"/>
        <w:rPr>
          <w:rFonts w:ascii="Arial" w:hAnsi="Arial" w:cs="Arial"/>
          <w:b/>
          <w:bCs/>
          <w:sz w:val="32"/>
          <w:szCs w:val="32"/>
        </w:rPr>
      </w:pPr>
    </w:p>
    <w:p w14:paraId="267E32B4" w14:textId="773C420F" w:rsidR="000D6906" w:rsidRDefault="000D6906" w:rsidP="000D6906">
      <w:pPr>
        <w:spacing w:line="276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 w:hint="eastAsia"/>
          <w:b/>
          <w:bCs/>
          <w:sz w:val="32"/>
          <w:szCs w:val="32"/>
        </w:rPr>
        <w:t>Result</w:t>
      </w:r>
    </w:p>
    <w:p w14:paraId="5D435E18" w14:textId="36280E31" w:rsidR="00533E3F" w:rsidRPr="00533E3F" w:rsidRDefault="00533E3F" w:rsidP="00533E3F">
      <w:pPr>
        <w:pStyle w:val="NormalWeb"/>
        <w:spacing w:line="276" w:lineRule="auto"/>
        <w:jc w:val="both"/>
        <w:rPr>
          <w:rFonts w:ascii="Arial" w:eastAsiaTheme="minorEastAsia" w:hAnsi="Arial" w:cs="Arial"/>
          <w:b/>
          <w:bCs/>
          <w:kern w:val="2"/>
          <w:lang w:eastAsia="zh-CN"/>
          <w14:ligatures w14:val="standardContextual"/>
        </w:rPr>
      </w:pPr>
      <w:r w:rsidRPr="00533E3F">
        <w:rPr>
          <w:rFonts w:ascii="Arial" w:eastAsiaTheme="minorEastAsia" w:hAnsi="Arial" w:cs="Arial"/>
          <w:b/>
          <w:bCs/>
          <w:kern w:val="2"/>
          <w:lang w:eastAsia="zh-CN"/>
          <w14:ligatures w14:val="standardContextual"/>
        </w:rPr>
        <w:t>Stability and Reproducibility of the GMM-Derived Personality Subtypes</w:t>
      </w:r>
    </w:p>
    <w:p w14:paraId="09736E20" w14:textId="7124A9ED" w:rsidR="00533E3F" w:rsidRDefault="00533E3F" w:rsidP="00533E3F">
      <w:pPr>
        <w:jc w:val="both"/>
        <w:rPr>
          <w:rFonts w:ascii="Arial" w:hAnsi="Arial" w:cs="Arial"/>
        </w:rPr>
      </w:pPr>
      <w:r w:rsidRPr="00533E3F">
        <w:rPr>
          <w:rFonts w:ascii="Arial" w:hAnsi="Arial" w:cs="Arial"/>
        </w:rPr>
        <w:t>To evaluate the robustness of the identified personality subtypes, we performed complementary analyses examining subsampling stability, random-seed stability, and split-half reproducibility.</w:t>
      </w:r>
      <w:r>
        <w:rPr>
          <w:rFonts w:ascii="Arial" w:hAnsi="Arial" w:cs="Arial" w:hint="eastAsia"/>
        </w:rPr>
        <w:t xml:space="preserve"> </w:t>
      </w:r>
      <w:r w:rsidRPr="00533E3F">
        <w:rPr>
          <w:rFonts w:ascii="Arial" w:hAnsi="Arial" w:cs="Arial"/>
        </w:rPr>
        <w:t xml:space="preserve">Subsampling analyses demonstrated that the two-cluster solution remained consistently favored across repeated random subsets of participants, with the Bayesian Information Criterion (BIC) reaching its minimum at </w:t>
      </w:r>
      <w:r w:rsidRPr="00946523">
        <w:rPr>
          <w:rFonts w:ascii="Arial" w:hAnsi="Arial" w:cs="Arial"/>
          <w:i/>
          <w:iCs/>
        </w:rPr>
        <w:t>k</w:t>
      </w:r>
      <w:r w:rsidRPr="00533E3F">
        <w:rPr>
          <w:rFonts w:ascii="Arial" w:hAnsi="Arial" w:cs="Arial"/>
        </w:rPr>
        <w:t xml:space="preserve"> = 2 across 50 independent subsampling iterations. This finding indicates that the selected clustering solution was not driven by sample-specific composition.</w:t>
      </w:r>
      <w:r>
        <w:rPr>
          <w:rFonts w:ascii="Arial" w:hAnsi="Arial" w:cs="Arial" w:hint="eastAsia"/>
        </w:rPr>
        <w:t xml:space="preserve"> </w:t>
      </w:r>
      <w:r w:rsidRPr="00533E3F">
        <w:rPr>
          <w:rFonts w:ascii="Arial" w:hAnsi="Arial" w:cs="Arial"/>
        </w:rPr>
        <w:t>Random-seed stability analyses further revealed extremely high clustering consistency across 1,000 independent model initializations. Cluster assignments were nearly identical across repeated runs (mean ARI = 0.992 ± 0.018; mean NMI = 0.986 ± 0.031), with median ARI and NMI values both approaching 1.0. These results indicate that the identified subtype structure was highly robust to stochastic variation in model initialization.</w:t>
      </w:r>
      <w:r>
        <w:rPr>
          <w:rFonts w:ascii="Arial" w:hAnsi="Arial" w:cs="Arial" w:hint="eastAsia"/>
        </w:rPr>
        <w:t xml:space="preserve"> </w:t>
      </w:r>
      <w:r w:rsidRPr="00533E3F">
        <w:rPr>
          <w:rFonts w:ascii="Arial" w:hAnsi="Arial" w:cs="Arial"/>
        </w:rPr>
        <w:t xml:space="preserve">Finally, split-half reproducibility analyses demonstrated moderate-to-strong agreement between subtype assignments derived from independent participant subsets. Across 1,000 repeated train-test partitions, mean ARI and NMI values were 0.583 ± 0.326 and 0.549 ± 0.302, respectively, with median values of 0.676 and 0.626. </w:t>
      </w:r>
      <w:r w:rsidR="00714424">
        <w:rPr>
          <w:rFonts w:ascii="Arial" w:hAnsi="Arial" w:cs="Arial" w:hint="eastAsia"/>
        </w:rPr>
        <w:t>T</w:t>
      </w:r>
      <w:r w:rsidRPr="00533E3F">
        <w:rPr>
          <w:rFonts w:ascii="Arial" w:hAnsi="Arial" w:cs="Arial"/>
        </w:rPr>
        <w:t>hese results indicate that the identified personality subtype structure generalized across independent participant samples and was not solely driven by sample-specific clustering patterns.</w:t>
      </w:r>
      <w:r>
        <w:rPr>
          <w:rFonts w:ascii="Arial" w:hAnsi="Arial" w:cs="Arial" w:hint="eastAsia"/>
        </w:rPr>
        <w:t xml:space="preserve"> </w:t>
      </w:r>
      <w:r w:rsidRPr="00533E3F">
        <w:rPr>
          <w:rFonts w:ascii="Arial" w:hAnsi="Arial" w:cs="Arial"/>
        </w:rPr>
        <w:t>Collectively, these analyses support the robustness, reproducibility, and generalizability of the GMM-derived personality subtypes.</w:t>
      </w:r>
    </w:p>
    <w:p w14:paraId="0793D3E1" w14:textId="77777777" w:rsidR="005E1ACE" w:rsidRDefault="005E1ACE" w:rsidP="00533E3F">
      <w:pPr>
        <w:jc w:val="both"/>
        <w:rPr>
          <w:rFonts w:ascii="Arial" w:hAnsi="Arial" w:cs="Arial"/>
          <w:b/>
          <w:bCs/>
        </w:rPr>
      </w:pPr>
    </w:p>
    <w:p w14:paraId="546DB947" w14:textId="7C5297BB" w:rsidR="0082360E" w:rsidRDefault="0082360E" w:rsidP="00533E3F">
      <w:pPr>
        <w:jc w:val="both"/>
        <w:rPr>
          <w:rFonts w:ascii="Arial" w:hAnsi="Arial" w:cs="Arial"/>
          <w:b/>
          <w:bCs/>
        </w:rPr>
      </w:pPr>
      <w:r w:rsidRPr="0082360E">
        <w:rPr>
          <w:rFonts w:ascii="Arial" w:hAnsi="Arial" w:cs="Arial"/>
          <w:b/>
          <w:bCs/>
        </w:rPr>
        <w:t xml:space="preserve">Comparison of NEO-FFI-3 personality dimensions between the GMM-derived subgroups </w:t>
      </w:r>
    </w:p>
    <w:p w14:paraId="2C129873" w14:textId="322F1CB9" w:rsidR="00834CE2" w:rsidRDefault="00834CE2" w:rsidP="00533E3F">
      <w:pPr>
        <w:jc w:val="both"/>
        <w:rPr>
          <w:rFonts w:ascii="Arial" w:hAnsi="Arial" w:cs="Arial"/>
        </w:rPr>
      </w:pPr>
      <w:r w:rsidRPr="00834CE2">
        <w:rPr>
          <w:rFonts w:ascii="Arial" w:hAnsi="Arial" w:cs="Arial"/>
        </w:rPr>
        <w:t xml:space="preserve">To further characterize the personality structure of the GMM-derived subgroups, we compared all five NEO-FFI-3 dimensions between clusters (Table </w:t>
      </w:r>
      <w:r>
        <w:rPr>
          <w:rFonts w:ascii="Arial" w:hAnsi="Arial" w:cs="Arial" w:hint="eastAsia"/>
        </w:rPr>
        <w:t>1</w:t>
      </w:r>
      <w:r w:rsidRPr="00834CE2">
        <w:rPr>
          <w:rFonts w:ascii="Arial" w:hAnsi="Arial" w:cs="Arial"/>
        </w:rPr>
        <w:t xml:space="preserve">). Although the clustering procedure incorporated all five personality dimensions, neuroticism emerged as the primary trait distinguishing the two subgroups, exhibiting the largest between-group difference. Additional differences were observed across several other personality </w:t>
      </w:r>
      <w:r w:rsidRPr="00834CE2">
        <w:rPr>
          <w:rFonts w:ascii="Arial" w:hAnsi="Arial" w:cs="Arial"/>
        </w:rPr>
        <w:lastRenderedPageBreak/>
        <w:t xml:space="preserve">dimensions; however, these effects were substantially smaller than those observed for neuroticism. </w:t>
      </w:r>
    </w:p>
    <w:p w14:paraId="61135721" w14:textId="1252199C" w:rsidR="00612A72" w:rsidRPr="00E93EA8" w:rsidRDefault="00612A72" w:rsidP="008A62AC">
      <w:pPr>
        <w:jc w:val="center"/>
        <w:rPr>
          <w:rFonts w:ascii="Arial" w:hAnsi="Arial" w:cs="Arial"/>
          <w:sz w:val="22"/>
          <w:szCs w:val="22"/>
        </w:rPr>
      </w:pPr>
      <w:r w:rsidRPr="00E93EA8">
        <w:rPr>
          <w:rFonts w:ascii="Arial" w:hAnsi="Arial" w:cs="Arial"/>
          <w:sz w:val="22"/>
          <w:szCs w:val="22"/>
        </w:rPr>
        <w:t>Supplementary Table</w:t>
      </w:r>
      <w:r w:rsidRPr="00E93EA8">
        <w:rPr>
          <w:rFonts w:ascii="Arial" w:hAnsi="Arial" w:cs="Arial" w:hint="eastAsia"/>
          <w:sz w:val="22"/>
          <w:szCs w:val="22"/>
        </w:rPr>
        <w:t>1</w:t>
      </w:r>
      <w:r w:rsidRPr="00E93EA8">
        <w:rPr>
          <w:rFonts w:ascii="Arial" w:hAnsi="Arial" w:cs="Arial"/>
          <w:sz w:val="22"/>
          <w:szCs w:val="22"/>
        </w:rPr>
        <w:t>. Comparison of NEO-FFI-3 personality dimensions between the GMM-derived subgroups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834CE2" w14:paraId="12A48418" w14:textId="77777777" w:rsidTr="00834CE2">
        <w:tc>
          <w:tcPr>
            <w:tcW w:w="3116" w:type="dxa"/>
          </w:tcPr>
          <w:p w14:paraId="08145B5B" w14:textId="30A0E126" w:rsidR="00834CE2" w:rsidRPr="00591B10" w:rsidRDefault="00834CE2" w:rsidP="00834CE2">
            <w:pPr>
              <w:jc w:val="center"/>
              <w:rPr>
                <w:rFonts w:ascii="Arial" w:hAnsi="Arial" w:cs="Arial"/>
                <w:b/>
                <w:bCs/>
              </w:rPr>
            </w:pPr>
            <w:r w:rsidRPr="00591B10">
              <w:rPr>
                <w:rFonts w:ascii="Arial" w:hAnsi="Arial" w:cs="Arial"/>
                <w:b/>
                <w:bCs/>
              </w:rPr>
              <w:t>Personality Profile</w:t>
            </w:r>
          </w:p>
        </w:tc>
        <w:tc>
          <w:tcPr>
            <w:tcW w:w="3117" w:type="dxa"/>
          </w:tcPr>
          <w:p w14:paraId="100156B4" w14:textId="5C82A41F" w:rsidR="00834CE2" w:rsidRPr="00591B10" w:rsidRDefault="00834CE2" w:rsidP="00834CE2">
            <w:pPr>
              <w:jc w:val="center"/>
              <w:rPr>
                <w:rFonts w:ascii="Arial" w:hAnsi="Arial" w:cs="Arial"/>
                <w:b/>
                <w:bCs/>
              </w:rPr>
            </w:pPr>
            <w:r w:rsidRPr="00591B10">
              <w:rPr>
                <w:rFonts w:ascii="Arial" w:hAnsi="Arial" w:cs="Arial" w:hint="eastAsia"/>
                <w:b/>
                <w:bCs/>
              </w:rPr>
              <w:t>t value</w:t>
            </w:r>
          </w:p>
        </w:tc>
        <w:tc>
          <w:tcPr>
            <w:tcW w:w="3117" w:type="dxa"/>
          </w:tcPr>
          <w:p w14:paraId="1E67E40D" w14:textId="2F2F0494" w:rsidR="00834CE2" w:rsidRPr="00591B10" w:rsidRDefault="00834CE2" w:rsidP="00834CE2">
            <w:pPr>
              <w:jc w:val="center"/>
              <w:rPr>
                <w:rFonts w:ascii="Arial" w:hAnsi="Arial" w:cs="Arial"/>
                <w:b/>
                <w:bCs/>
              </w:rPr>
            </w:pPr>
            <w:r w:rsidRPr="00591B10">
              <w:rPr>
                <w:rFonts w:ascii="Arial" w:hAnsi="Arial" w:cs="Arial" w:hint="eastAsia"/>
                <w:b/>
                <w:bCs/>
              </w:rPr>
              <w:t>p value</w:t>
            </w:r>
          </w:p>
        </w:tc>
      </w:tr>
      <w:tr w:rsidR="00834CE2" w14:paraId="1895A40B" w14:textId="77777777" w:rsidTr="00834CE2">
        <w:tc>
          <w:tcPr>
            <w:tcW w:w="3116" w:type="dxa"/>
          </w:tcPr>
          <w:p w14:paraId="4C6C3721" w14:textId="27626CCD" w:rsidR="00834CE2" w:rsidRPr="00834CE2" w:rsidRDefault="00834CE2" w:rsidP="00834CE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4CE2">
              <w:rPr>
                <w:rFonts w:ascii="Arial" w:hAnsi="Arial" w:cs="Arial" w:hint="eastAsia"/>
                <w:sz w:val="22"/>
                <w:szCs w:val="22"/>
              </w:rPr>
              <w:t>Openness</w:t>
            </w:r>
          </w:p>
        </w:tc>
        <w:tc>
          <w:tcPr>
            <w:tcW w:w="3117" w:type="dxa"/>
          </w:tcPr>
          <w:p w14:paraId="6E8BBF7B" w14:textId="3C0F02EC" w:rsidR="00834CE2" w:rsidRDefault="00B349DB" w:rsidP="00834C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-3.12</w:t>
            </w:r>
          </w:p>
        </w:tc>
        <w:tc>
          <w:tcPr>
            <w:tcW w:w="3117" w:type="dxa"/>
          </w:tcPr>
          <w:p w14:paraId="023DD15E" w14:textId="39ED054F" w:rsidR="00834CE2" w:rsidRDefault="00B349DB" w:rsidP="00834C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2.0e-03</w:t>
            </w:r>
          </w:p>
        </w:tc>
      </w:tr>
      <w:tr w:rsidR="00834CE2" w14:paraId="65A9203E" w14:textId="77777777" w:rsidTr="00834CE2">
        <w:tc>
          <w:tcPr>
            <w:tcW w:w="3116" w:type="dxa"/>
          </w:tcPr>
          <w:p w14:paraId="3FC309DF" w14:textId="2344F962" w:rsidR="00834CE2" w:rsidRPr="00834CE2" w:rsidRDefault="00834CE2" w:rsidP="00834CE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4CE2">
              <w:rPr>
                <w:rFonts w:ascii="Arial" w:hAnsi="Arial" w:cs="Arial" w:hint="eastAsia"/>
                <w:sz w:val="22"/>
                <w:szCs w:val="22"/>
              </w:rPr>
              <w:t>Extraversion</w:t>
            </w:r>
          </w:p>
        </w:tc>
        <w:tc>
          <w:tcPr>
            <w:tcW w:w="3117" w:type="dxa"/>
          </w:tcPr>
          <w:p w14:paraId="385E929E" w14:textId="0C5DA51B" w:rsidR="00834CE2" w:rsidRDefault="00B349DB" w:rsidP="00834C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-1.72</w:t>
            </w:r>
          </w:p>
        </w:tc>
        <w:tc>
          <w:tcPr>
            <w:tcW w:w="3117" w:type="dxa"/>
          </w:tcPr>
          <w:p w14:paraId="1F2B92BD" w14:textId="7329EA89" w:rsidR="00834CE2" w:rsidRDefault="00B349DB" w:rsidP="00834C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8.7e-01</w:t>
            </w:r>
          </w:p>
        </w:tc>
      </w:tr>
      <w:tr w:rsidR="00834CE2" w14:paraId="13CD709C" w14:textId="77777777" w:rsidTr="00834CE2">
        <w:tc>
          <w:tcPr>
            <w:tcW w:w="3116" w:type="dxa"/>
          </w:tcPr>
          <w:p w14:paraId="2446E495" w14:textId="386B852A" w:rsidR="00834CE2" w:rsidRPr="00834CE2" w:rsidRDefault="00834CE2" w:rsidP="00834CE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4CE2">
              <w:rPr>
                <w:rFonts w:ascii="Arial" w:hAnsi="Arial" w:cs="Arial" w:hint="eastAsia"/>
                <w:sz w:val="22"/>
                <w:szCs w:val="22"/>
              </w:rPr>
              <w:t>Agreeableness</w:t>
            </w:r>
          </w:p>
        </w:tc>
        <w:tc>
          <w:tcPr>
            <w:tcW w:w="3117" w:type="dxa"/>
          </w:tcPr>
          <w:p w14:paraId="4EBBFDD9" w14:textId="023210B1" w:rsidR="00834CE2" w:rsidRDefault="00834CE2" w:rsidP="00834C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-0.82</w:t>
            </w:r>
          </w:p>
        </w:tc>
        <w:tc>
          <w:tcPr>
            <w:tcW w:w="3117" w:type="dxa"/>
          </w:tcPr>
          <w:p w14:paraId="1D063FE2" w14:textId="32C3D3AD" w:rsidR="00834CE2" w:rsidRDefault="00B349DB" w:rsidP="00834C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4.1e-01</w:t>
            </w:r>
          </w:p>
        </w:tc>
      </w:tr>
      <w:tr w:rsidR="008C55A1" w14:paraId="522B70F8" w14:textId="77777777" w:rsidTr="00834CE2">
        <w:tc>
          <w:tcPr>
            <w:tcW w:w="3116" w:type="dxa"/>
          </w:tcPr>
          <w:p w14:paraId="4B65CA4B" w14:textId="612223A2" w:rsidR="008C55A1" w:rsidRPr="00834CE2" w:rsidRDefault="008C55A1" w:rsidP="008C55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4CE2">
              <w:rPr>
                <w:rFonts w:ascii="Arial" w:hAnsi="Arial" w:cs="Arial" w:hint="eastAsia"/>
                <w:sz w:val="22"/>
                <w:szCs w:val="22"/>
              </w:rPr>
              <w:t>Neuroticism</w:t>
            </w:r>
          </w:p>
        </w:tc>
        <w:tc>
          <w:tcPr>
            <w:tcW w:w="3117" w:type="dxa"/>
          </w:tcPr>
          <w:p w14:paraId="1B0E6CE0" w14:textId="621472EA" w:rsidR="008C55A1" w:rsidRDefault="008C55A1" w:rsidP="008C55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-18.45</w:t>
            </w:r>
          </w:p>
        </w:tc>
        <w:tc>
          <w:tcPr>
            <w:tcW w:w="3117" w:type="dxa"/>
          </w:tcPr>
          <w:p w14:paraId="137387BF" w14:textId="638323DE" w:rsidR="008C55A1" w:rsidRDefault="008C55A1" w:rsidP="008C55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2.2e</w:t>
            </w:r>
            <w:r w:rsidR="00B349DB">
              <w:rPr>
                <w:rFonts w:ascii="Arial" w:hAnsi="Arial" w:cs="Arial" w:hint="eastAsia"/>
              </w:rPr>
              <w:t>-</w:t>
            </w:r>
            <w:r>
              <w:rPr>
                <w:rFonts w:ascii="Arial" w:hAnsi="Arial" w:cs="Arial" w:hint="eastAsia"/>
              </w:rPr>
              <w:t>48</w:t>
            </w:r>
          </w:p>
        </w:tc>
      </w:tr>
      <w:tr w:rsidR="00834CE2" w14:paraId="24D66238" w14:textId="77777777" w:rsidTr="00834CE2">
        <w:tc>
          <w:tcPr>
            <w:tcW w:w="3116" w:type="dxa"/>
          </w:tcPr>
          <w:p w14:paraId="6799B7FA" w14:textId="3B36C7F5" w:rsidR="00834CE2" w:rsidRPr="00834CE2" w:rsidRDefault="00834CE2" w:rsidP="00834CE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4CE2">
              <w:rPr>
                <w:rFonts w:ascii="Arial" w:hAnsi="Arial" w:cs="Arial" w:hint="eastAsia"/>
                <w:sz w:val="22"/>
                <w:szCs w:val="22"/>
              </w:rPr>
              <w:t>Conscientiousness</w:t>
            </w:r>
          </w:p>
        </w:tc>
        <w:tc>
          <w:tcPr>
            <w:tcW w:w="3117" w:type="dxa"/>
          </w:tcPr>
          <w:p w14:paraId="0F33E284" w14:textId="1230CD4C" w:rsidR="00834CE2" w:rsidRDefault="00B349DB" w:rsidP="00834C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-0.29</w:t>
            </w:r>
          </w:p>
        </w:tc>
        <w:tc>
          <w:tcPr>
            <w:tcW w:w="3117" w:type="dxa"/>
          </w:tcPr>
          <w:p w14:paraId="54859C9F" w14:textId="17ED394D" w:rsidR="00834CE2" w:rsidRDefault="00B349DB" w:rsidP="00834C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7.7e-01</w:t>
            </w:r>
          </w:p>
        </w:tc>
      </w:tr>
    </w:tbl>
    <w:p w14:paraId="6421D271" w14:textId="77777777" w:rsidR="00834CE2" w:rsidRDefault="00834CE2" w:rsidP="00533E3F">
      <w:pPr>
        <w:jc w:val="both"/>
        <w:rPr>
          <w:rFonts w:ascii="Arial" w:hAnsi="Arial" w:cs="Arial"/>
        </w:rPr>
      </w:pPr>
    </w:p>
    <w:p w14:paraId="06786FEA" w14:textId="5A9471BD" w:rsidR="00981158" w:rsidRPr="00981158" w:rsidRDefault="00981158" w:rsidP="00981158">
      <w:pPr>
        <w:jc w:val="both"/>
        <w:rPr>
          <w:rFonts w:ascii="Arial" w:hAnsi="Arial" w:cs="Arial"/>
          <w:b/>
          <w:bCs/>
        </w:rPr>
      </w:pPr>
      <w:r w:rsidRPr="00981158">
        <w:rPr>
          <w:rFonts w:ascii="Arial" w:hAnsi="Arial" w:cs="Arial"/>
          <w:b/>
          <w:bCs/>
        </w:rPr>
        <w:t>Permutation-Based Validation of Predictive Models</w:t>
      </w:r>
    </w:p>
    <w:p w14:paraId="50B2F0D6" w14:textId="7114563F" w:rsidR="00C7560B" w:rsidRPr="00834CE2" w:rsidRDefault="00981158" w:rsidP="00C7560B">
      <w:pPr>
        <w:jc w:val="both"/>
        <w:rPr>
          <w:rFonts w:ascii="Arial" w:hAnsi="Arial" w:cs="Arial"/>
        </w:rPr>
      </w:pPr>
      <w:r w:rsidRPr="00981158">
        <w:rPr>
          <w:rFonts w:ascii="Arial" w:hAnsi="Arial" w:cs="Arial"/>
        </w:rPr>
        <w:t>To evaluate whether the observed prediction performance exceeded chance levels, permutation testing was performed by randomly shuffling symptom scores across participants and repeating the complete cross-validation procedure 1,000 times. This procedure generated an empirical null distribution of cross-validated prediction performance under the assumption that no true relationship existed between neural features and symptom measures.</w:t>
      </w:r>
      <w:r w:rsidR="001F1B5B">
        <w:rPr>
          <w:rFonts w:ascii="Arial" w:hAnsi="Arial" w:cs="Arial" w:hint="eastAsia"/>
        </w:rPr>
        <w:t xml:space="preserve"> </w:t>
      </w:r>
      <w:r w:rsidRPr="00981158">
        <w:rPr>
          <w:rFonts w:ascii="Arial" w:hAnsi="Arial" w:cs="Arial"/>
        </w:rPr>
        <w:t xml:space="preserve">For both ASI-3 and ASI-Total models, the observed prediction performance fell well outside the upper tail of the corresponding null distributions (Figure </w:t>
      </w:r>
      <w:r w:rsidR="006A5F00">
        <w:rPr>
          <w:rFonts w:ascii="Arial" w:hAnsi="Arial" w:cs="Arial" w:hint="eastAsia"/>
        </w:rPr>
        <w:t>S</w:t>
      </w:r>
      <w:r w:rsidR="001F1B5B">
        <w:rPr>
          <w:rFonts w:ascii="Arial" w:hAnsi="Arial" w:cs="Arial" w:hint="eastAsia"/>
        </w:rPr>
        <w:t>1</w:t>
      </w:r>
      <w:r w:rsidRPr="00981158">
        <w:rPr>
          <w:rFonts w:ascii="Arial" w:hAnsi="Arial" w:cs="Arial"/>
        </w:rPr>
        <w:t xml:space="preserve">). Empirical permutation p-values confirmed that the probability of obtaining prediction accuracies of this magnitude by chance was low, supporting the statistical significance of the reported brain–symptom associations. </w:t>
      </w:r>
    </w:p>
    <w:p w14:paraId="6FDD637E" w14:textId="649CD1CE" w:rsidR="00981158" w:rsidRDefault="008206A5" w:rsidP="00981158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F29C5AB" wp14:editId="63AAD063">
            <wp:extent cx="5943600" cy="25279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F1F77" w14:textId="44DAEEDA" w:rsidR="008206A5" w:rsidRDefault="008206A5" w:rsidP="00981158">
      <w:pPr>
        <w:jc w:val="both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Figure S1. </w:t>
      </w:r>
      <w:r w:rsidR="008A6BA1" w:rsidRPr="008A6BA1">
        <w:rPr>
          <w:rFonts w:ascii="Arial" w:hAnsi="Arial" w:cs="Arial"/>
        </w:rPr>
        <w:t xml:space="preserve">Permutation </w:t>
      </w:r>
      <w:r w:rsidR="00AE592A">
        <w:rPr>
          <w:rFonts w:ascii="Arial" w:hAnsi="Arial" w:cs="Arial" w:hint="eastAsia"/>
        </w:rPr>
        <w:t>t</w:t>
      </w:r>
      <w:r w:rsidR="008A6BA1" w:rsidRPr="008A6BA1">
        <w:rPr>
          <w:rFonts w:ascii="Arial" w:hAnsi="Arial" w:cs="Arial"/>
        </w:rPr>
        <w:t>esting</w:t>
      </w:r>
      <w:r w:rsidR="008A6BA1">
        <w:rPr>
          <w:rFonts w:ascii="Arial" w:hAnsi="Arial" w:cs="Arial" w:hint="eastAsia"/>
        </w:rPr>
        <w:t xml:space="preserve"> of the prediction for the ASI-Total and ASI-3 in </w:t>
      </w:r>
      <w:r w:rsidR="008A6BA1" w:rsidRPr="00422315">
        <w:rPr>
          <w:rFonts w:ascii="Arial" w:hAnsi="Arial" w:cs="Arial"/>
        </w:rPr>
        <w:t>high-neuroticism subgroup</w:t>
      </w:r>
      <w:r w:rsidR="008A6BA1">
        <w:rPr>
          <w:rFonts w:ascii="Arial" w:hAnsi="Arial" w:cs="Arial" w:hint="eastAsia"/>
        </w:rPr>
        <w:t>.</w:t>
      </w:r>
    </w:p>
    <w:p w14:paraId="4AD96D49" w14:textId="77777777" w:rsidR="00C733C8" w:rsidRDefault="00C733C8" w:rsidP="00981158">
      <w:pPr>
        <w:jc w:val="both"/>
        <w:rPr>
          <w:rFonts w:ascii="Arial" w:hAnsi="Arial" w:cs="Arial"/>
          <w:b/>
          <w:bCs/>
        </w:rPr>
      </w:pPr>
    </w:p>
    <w:p w14:paraId="56E7763E" w14:textId="1F38386D" w:rsidR="00C733C8" w:rsidRDefault="00C733C8" w:rsidP="00981158">
      <w:pPr>
        <w:jc w:val="both"/>
        <w:rPr>
          <w:rFonts w:ascii="Arial" w:hAnsi="Arial" w:cs="Arial"/>
          <w:b/>
          <w:bCs/>
        </w:rPr>
      </w:pPr>
      <w:r w:rsidRPr="00C733C8">
        <w:rPr>
          <w:rFonts w:ascii="Arial" w:hAnsi="Arial" w:cs="Arial"/>
          <w:b/>
          <w:bCs/>
        </w:rPr>
        <w:lastRenderedPageBreak/>
        <w:t>Subjective Fear-Learning Responses</w:t>
      </w:r>
    </w:p>
    <w:p w14:paraId="4FD59E77" w14:textId="4A9F38ED" w:rsidR="00C733C8" w:rsidRPr="00C733C8" w:rsidRDefault="00C733C8" w:rsidP="00C733C8">
      <w:pPr>
        <w:jc w:val="both"/>
        <w:rPr>
          <w:rFonts w:ascii="Arial" w:hAnsi="Arial" w:cs="Arial"/>
        </w:rPr>
      </w:pPr>
      <w:r w:rsidRPr="00C733C8">
        <w:rPr>
          <w:rFonts w:ascii="Arial" w:hAnsi="Arial" w:cs="Arial"/>
        </w:rPr>
        <w:t>To determine whether personality-defined subgroup differences observed at the neural level were also reflected in overt behavioral responses, subjective fear-learning ratings were compared between the low- and high-neuroticism subgroups. Behavioral responses were quantified as changes in self-reported fear ratings from pre-conditioning to post-conditioning for conditioned threat cues (CSp1 and CSp2) and safety cues (</w:t>
      </w:r>
      <w:proofErr w:type="spellStart"/>
      <w:r w:rsidRPr="00C733C8">
        <w:rPr>
          <w:rFonts w:ascii="Arial" w:hAnsi="Arial" w:cs="Arial"/>
        </w:rPr>
        <w:t>CSm</w:t>
      </w:r>
      <w:proofErr w:type="spellEnd"/>
      <w:r w:rsidRPr="00C733C8">
        <w:rPr>
          <w:rFonts w:ascii="Arial" w:hAnsi="Arial" w:cs="Arial"/>
        </w:rPr>
        <w:t>).</w:t>
      </w:r>
    </w:p>
    <w:p w14:paraId="1A2F37F9" w14:textId="0E740275" w:rsidR="00C733C8" w:rsidRDefault="00C848C0" w:rsidP="00C733C8">
      <w:pPr>
        <w:jc w:val="both"/>
        <w:rPr>
          <w:rFonts w:ascii="Arial" w:hAnsi="Arial" w:cs="Arial"/>
        </w:rPr>
      </w:pPr>
      <w:r>
        <w:rPr>
          <w:rFonts w:ascii="Arial" w:hAnsi="Arial" w:cs="Arial" w:hint="eastAsia"/>
        </w:rPr>
        <w:t>Results show that</w:t>
      </w:r>
      <w:r w:rsidR="00C733C8" w:rsidRPr="00C733C8">
        <w:rPr>
          <w:rFonts w:ascii="Arial" w:hAnsi="Arial" w:cs="Arial"/>
        </w:rPr>
        <w:t xml:space="preserve"> no significant subgroup differences were observed for CSp1 (p = 0.29), CSp2 (p = 0.64), or </w:t>
      </w:r>
      <w:proofErr w:type="spellStart"/>
      <w:r w:rsidR="00C733C8" w:rsidRPr="00C733C8">
        <w:rPr>
          <w:rFonts w:ascii="Arial" w:hAnsi="Arial" w:cs="Arial"/>
        </w:rPr>
        <w:t>CSm</w:t>
      </w:r>
      <w:proofErr w:type="spellEnd"/>
      <w:r w:rsidR="00C733C8" w:rsidRPr="00C733C8">
        <w:rPr>
          <w:rFonts w:ascii="Arial" w:hAnsi="Arial" w:cs="Arial"/>
        </w:rPr>
        <w:t xml:space="preserve"> (p = 0.97) fear ratings (Supplementary Figure 4). </w:t>
      </w:r>
      <w:r w:rsidR="000C27D6">
        <w:rPr>
          <w:rFonts w:ascii="Arial" w:hAnsi="Arial" w:cs="Arial" w:hint="eastAsia"/>
        </w:rPr>
        <w:t>That</w:t>
      </w:r>
      <w:r w:rsidR="00C733C8" w:rsidRPr="00C733C8">
        <w:rPr>
          <w:rFonts w:ascii="Arial" w:hAnsi="Arial" w:cs="Arial"/>
        </w:rPr>
        <w:t xml:space="preserve"> indicate that both personality-defined subgroups exhibited comparable subjective expressions of conditioned fear learning despite pronounced subgroup differences in neural representations of threat learning and anxiety-related symptom profiles.</w:t>
      </w:r>
    </w:p>
    <w:p w14:paraId="10E77B8B" w14:textId="65CE5FAF" w:rsidR="00BF3165" w:rsidRDefault="00BB5995" w:rsidP="00BB599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9399D28" wp14:editId="601A3ACD">
            <wp:extent cx="4578824" cy="289894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90102" cy="290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E8542" w14:textId="52059D62" w:rsidR="00BF3165" w:rsidRPr="00C733C8" w:rsidRDefault="00BF3165" w:rsidP="00F27C0B">
      <w:pPr>
        <w:jc w:val="both"/>
        <w:rPr>
          <w:rFonts w:ascii="Arial" w:hAnsi="Arial" w:cs="Arial"/>
        </w:rPr>
      </w:pPr>
      <w:r w:rsidRPr="00BF3165">
        <w:rPr>
          <w:rFonts w:ascii="Arial" w:hAnsi="Arial" w:cs="Arial"/>
        </w:rPr>
        <w:t xml:space="preserve">Figure </w:t>
      </w:r>
      <w:r>
        <w:rPr>
          <w:rFonts w:ascii="Arial" w:hAnsi="Arial" w:cs="Arial" w:hint="eastAsia"/>
        </w:rPr>
        <w:t>S</w:t>
      </w:r>
      <w:r w:rsidR="006E55C4">
        <w:rPr>
          <w:rFonts w:ascii="Arial" w:hAnsi="Arial" w:cs="Arial" w:hint="eastAsia"/>
        </w:rPr>
        <w:t>2</w:t>
      </w:r>
      <w:r>
        <w:rPr>
          <w:rFonts w:ascii="Arial" w:hAnsi="Arial" w:cs="Arial" w:hint="eastAsia"/>
        </w:rPr>
        <w:t>.</w:t>
      </w:r>
      <w:r w:rsidRPr="00BF3165">
        <w:t xml:space="preserve"> </w:t>
      </w:r>
      <w:r w:rsidRPr="00BF3165">
        <w:rPr>
          <w:rFonts w:ascii="Arial" w:hAnsi="Arial" w:cs="Arial"/>
        </w:rPr>
        <w:t>Subjective fear-learning responses across personality-defined subgroups. Violin plots show distributions of fear-rating change scores (post-conditioning minus pre-conditioning)</w:t>
      </w:r>
      <w:r w:rsidR="00F27C0B">
        <w:rPr>
          <w:rFonts w:ascii="Arial" w:hAnsi="Arial" w:cs="Arial" w:hint="eastAsia"/>
        </w:rPr>
        <w:t>.</w:t>
      </w:r>
    </w:p>
    <w:sectPr w:rsidR="00BF3165" w:rsidRPr="00C733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B40"/>
    <w:rsid w:val="00007531"/>
    <w:rsid w:val="00071E0E"/>
    <w:rsid w:val="000C27D6"/>
    <w:rsid w:val="000D6906"/>
    <w:rsid w:val="00186B40"/>
    <w:rsid w:val="001F1B5B"/>
    <w:rsid w:val="00420D99"/>
    <w:rsid w:val="00445FA4"/>
    <w:rsid w:val="00495D6E"/>
    <w:rsid w:val="00533E3F"/>
    <w:rsid w:val="00591B10"/>
    <w:rsid w:val="005C3B34"/>
    <w:rsid w:val="005E1ACE"/>
    <w:rsid w:val="00612A72"/>
    <w:rsid w:val="006A5F00"/>
    <w:rsid w:val="006E55C4"/>
    <w:rsid w:val="00714424"/>
    <w:rsid w:val="007A5C72"/>
    <w:rsid w:val="008206A5"/>
    <w:rsid w:val="0082360E"/>
    <w:rsid w:val="00834CE2"/>
    <w:rsid w:val="008A62AC"/>
    <w:rsid w:val="008A6BA1"/>
    <w:rsid w:val="008C55A1"/>
    <w:rsid w:val="00946523"/>
    <w:rsid w:val="00981158"/>
    <w:rsid w:val="00A43054"/>
    <w:rsid w:val="00AE592A"/>
    <w:rsid w:val="00B349DB"/>
    <w:rsid w:val="00B71BDF"/>
    <w:rsid w:val="00BB5995"/>
    <w:rsid w:val="00BF3165"/>
    <w:rsid w:val="00C26837"/>
    <w:rsid w:val="00C733C8"/>
    <w:rsid w:val="00C7560B"/>
    <w:rsid w:val="00C848C0"/>
    <w:rsid w:val="00D14950"/>
    <w:rsid w:val="00E93EA8"/>
    <w:rsid w:val="00F27C0B"/>
    <w:rsid w:val="00F90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15D98E9"/>
  <w14:defaultImageDpi w14:val="330"/>
  <w15:chartTrackingRefBased/>
  <w15:docId w15:val="{A9209A20-27BF-45CB-8BBB-E34F63710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6906"/>
  </w:style>
  <w:style w:type="paragraph" w:styleId="Heading1">
    <w:name w:val="heading 1"/>
    <w:basedOn w:val="Normal"/>
    <w:next w:val="Normal"/>
    <w:link w:val="Heading1Char"/>
    <w:uiPriority w:val="9"/>
    <w:qFormat/>
    <w:rsid w:val="00186B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6B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6B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6B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6B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6B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6B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6B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6B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6B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6B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6B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6B4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6B4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6B4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6B4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6B4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6B4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86B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86B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6B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86B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86B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86B4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86B4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86B4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6B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6B4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86B40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533E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US"/>
      <w14:ligatures w14:val="none"/>
    </w:rPr>
  </w:style>
  <w:style w:type="table" w:styleId="TableGrid">
    <w:name w:val="Table Grid"/>
    <w:basedOn w:val="TableNormal"/>
    <w:uiPriority w:val="39"/>
    <w:rsid w:val="00834C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708</Words>
  <Characters>4037</Characters>
  <Application>Microsoft Office Word</Application>
  <DocSecurity>0</DocSecurity>
  <Lines>33</Lines>
  <Paragraphs>9</Paragraphs>
  <ScaleCrop>false</ScaleCrop>
  <Company>UTHealth</Company>
  <LinksUpToDate>false</LinksUpToDate>
  <CharactersWithSpaces>4736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Zhang, Kai</dc:creator>
  <cp:keywords/>
  <dc:description/>
  <cp:lastModifiedBy>Zhang, Kai</cp:lastModifiedBy>
  <cp:revision>34</cp:revision>
  <dcterms:created xsi:type="dcterms:W3CDTF">2026-06-04T20:56:00Z</dcterms:created>
  <dcterms:modified xsi:type="dcterms:W3CDTF">2026-06-12T14:43:00Z</dcterms:modified>
</cp:coreProperties>
</file>