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EF569" w14:textId="77777777" w:rsidR="00FD70A3" w:rsidRDefault="00FD70A3" w:rsidP="00F42C3F">
      <w:pPr>
        <w:spacing w:after="0" w:line="480" w:lineRule="auto"/>
        <w:rPr>
          <w:rFonts w:cs="Arial"/>
          <w:b/>
          <w:bCs/>
          <w:sz w:val="28"/>
          <w:szCs w:val="28"/>
        </w:rPr>
      </w:pPr>
      <w:r w:rsidRPr="00FD70A3">
        <w:rPr>
          <w:rFonts w:cs="Arial"/>
          <w:b/>
          <w:bCs/>
          <w:sz w:val="28"/>
          <w:szCs w:val="28"/>
        </w:rPr>
        <w:t>Interfacial electrostatic potentials enable low-temperature regeneration by reshaping proton-coupled free-energy landscapes in amine-based CO</w:t>
      </w:r>
      <w:r w:rsidRPr="00FD70A3">
        <w:rPr>
          <w:rFonts w:ascii="Cambria Math" w:hAnsi="Cambria Math" w:cs="Cambria Math"/>
          <w:b/>
          <w:bCs/>
          <w:sz w:val="28"/>
          <w:szCs w:val="28"/>
        </w:rPr>
        <w:t>₂</w:t>
      </w:r>
      <w:r w:rsidRPr="00FD70A3">
        <w:rPr>
          <w:rFonts w:cs="Arial"/>
          <w:b/>
          <w:bCs/>
          <w:sz w:val="28"/>
          <w:szCs w:val="28"/>
        </w:rPr>
        <w:t xml:space="preserve"> capture</w:t>
      </w:r>
    </w:p>
    <w:p w14:paraId="031DB013" w14:textId="2634B6A1" w:rsidR="00F42C3F" w:rsidRPr="0016077C" w:rsidRDefault="00F42C3F" w:rsidP="00F42C3F">
      <w:pPr>
        <w:spacing w:after="0" w:line="480" w:lineRule="auto"/>
        <w:rPr>
          <w:rFonts w:eastAsia="KaiTi" w:cs="Arial"/>
          <w:sz w:val="18"/>
          <w:szCs w:val="18"/>
        </w:rPr>
      </w:pPr>
      <w:r w:rsidRPr="0016077C">
        <w:rPr>
          <w:rFonts w:eastAsia="KaiTi" w:cs="Arial"/>
          <w:sz w:val="18"/>
          <w:szCs w:val="18"/>
        </w:rPr>
        <w:t>Yuewei Fan</w:t>
      </w:r>
      <w:r w:rsidRPr="0016077C">
        <w:rPr>
          <w:rFonts w:eastAsia="KaiTi" w:cs="Arial"/>
          <w:sz w:val="18"/>
          <w:szCs w:val="18"/>
          <w:vertAlign w:val="superscript"/>
        </w:rPr>
        <w:t>1</w:t>
      </w:r>
      <w:r>
        <w:rPr>
          <w:rFonts w:eastAsia="KaiTi" w:cs="Arial" w:hint="eastAsia"/>
          <w:sz w:val="18"/>
          <w:szCs w:val="18"/>
        </w:rPr>
        <w:t xml:space="preserve">, </w:t>
      </w:r>
      <w:r w:rsidRPr="0016077C">
        <w:rPr>
          <w:rFonts w:eastAsia="KaiTi" w:cs="Arial"/>
          <w:sz w:val="18"/>
          <w:szCs w:val="18"/>
        </w:rPr>
        <w:t>Haoyu Meng</w:t>
      </w:r>
      <w:r w:rsidRPr="0016077C">
        <w:rPr>
          <w:rFonts w:eastAsia="KaiTi" w:cs="Arial"/>
          <w:sz w:val="18"/>
          <w:szCs w:val="18"/>
          <w:vertAlign w:val="superscript"/>
        </w:rPr>
        <w:t>1</w:t>
      </w:r>
      <w:r>
        <w:rPr>
          <w:rFonts w:eastAsia="KaiTi" w:cs="Arial" w:hint="eastAsia"/>
          <w:sz w:val="18"/>
          <w:szCs w:val="18"/>
        </w:rPr>
        <w:t xml:space="preserve">, </w:t>
      </w:r>
      <w:r w:rsidRPr="0016077C">
        <w:rPr>
          <w:rFonts w:eastAsia="KaiTi" w:cs="Arial"/>
          <w:sz w:val="18"/>
          <w:szCs w:val="18"/>
        </w:rPr>
        <w:t>Chen Lu</w:t>
      </w:r>
      <w:r w:rsidRPr="0016077C">
        <w:rPr>
          <w:rFonts w:eastAsia="KaiTi" w:cs="Arial"/>
          <w:sz w:val="18"/>
          <w:szCs w:val="18"/>
          <w:vertAlign w:val="superscript"/>
        </w:rPr>
        <w:t>1</w:t>
      </w:r>
      <w:r>
        <w:rPr>
          <w:rFonts w:eastAsia="KaiTi" w:cs="Arial" w:hint="eastAsia"/>
          <w:sz w:val="18"/>
          <w:szCs w:val="18"/>
        </w:rPr>
        <w:t xml:space="preserve">, </w:t>
      </w:r>
      <w:r w:rsidRPr="0016077C">
        <w:rPr>
          <w:rFonts w:eastAsia="KaiTi" w:cs="Arial"/>
          <w:sz w:val="18"/>
          <w:szCs w:val="18"/>
        </w:rPr>
        <w:t>Wei Wang</w:t>
      </w:r>
      <w:r w:rsidRPr="0016077C">
        <w:rPr>
          <w:rFonts w:eastAsia="KaiTi" w:cs="Arial"/>
          <w:sz w:val="18"/>
          <w:szCs w:val="18"/>
          <w:vertAlign w:val="superscript"/>
        </w:rPr>
        <w:t>1,2</w:t>
      </w:r>
      <w:r>
        <w:rPr>
          <w:rFonts w:eastAsia="KaiTi" w:cs="Arial" w:hint="eastAsia"/>
          <w:sz w:val="18"/>
          <w:szCs w:val="18"/>
        </w:rPr>
        <w:t xml:space="preserve">, </w:t>
      </w:r>
      <w:r w:rsidRPr="0016077C">
        <w:rPr>
          <w:rFonts w:eastAsia="KaiTi" w:cs="Arial"/>
          <w:sz w:val="18"/>
          <w:szCs w:val="18"/>
        </w:rPr>
        <w:t>Feng Zhang</w:t>
      </w:r>
      <w:r w:rsidRPr="0016077C">
        <w:rPr>
          <w:rFonts w:eastAsia="KaiTi" w:cs="Arial"/>
          <w:sz w:val="18"/>
          <w:szCs w:val="18"/>
          <w:vertAlign w:val="superscript"/>
        </w:rPr>
        <w:t>1,2</w:t>
      </w:r>
      <w:r>
        <w:rPr>
          <w:rFonts w:eastAsia="KaiTi" w:cs="Arial" w:hint="eastAsia"/>
          <w:sz w:val="18"/>
          <w:szCs w:val="18"/>
        </w:rPr>
        <w:t>,</w:t>
      </w:r>
      <w:r w:rsidRPr="0016077C">
        <w:rPr>
          <w:rFonts w:eastAsia="KaiTi" w:cs="Arial"/>
          <w:sz w:val="18"/>
          <w:szCs w:val="18"/>
        </w:rPr>
        <w:t xml:space="preserve"> Lei Li</w:t>
      </w:r>
      <w:r w:rsidRPr="0016077C">
        <w:rPr>
          <w:rFonts w:eastAsia="KaiTi" w:cs="Arial"/>
          <w:sz w:val="18"/>
          <w:szCs w:val="18"/>
          <w:vertAlign w:val="superscript"/>
        </w:rPr>
        <w:t>1,2,3*</w:t>
      </w:r>
      <w:r>
        <w:rPr>
          <w:rFonts w:eastAsia="KaiTi" w:cs="Arial" w:hint="eastAsia"/>
          <w:sz w:val="18"/>
          <w:szCs w:val="18"/>
        </w:rPr>
        <w:t xml:space="preserve">, </w:t>
      </w:r>
      <w:r w:rsidRPr="0016077C">
        <w:rPr>
          <w:rFonts w:eastAsia="KaiTi" w:cs="Arial"/>
          <w:sz w:val="18"/>
          <w:szCs w:val="18"/>
        </w:rPr>
        <w:t>Yi Chen</w:t>
      </w:r>
      <w:r w:rsidRPr="0016077C">
        <w:rPr>
          <w:rFonts w:eastAsia="KaiTi" w:cs="Arial"/>
          <w:sz w:val="18"/>
          <w:szCs w:val="18"/>
          <w:vertAlign w:val="superscript"/>
        </w:rPr>
        <w:t>1,2</w:t>
      </w:r>
      <w:r>
        <w:rPr>
          <w:rFonts w:eastAsia="KaiTi" w:cs="Arial" w:hint="eastAsia"/>
          <w:sz w:val="18"/>
          <w:szCs w:val="18"/>
        </w:rPr>
        <w:t xml:space="preserve">, </w:t>
      </w:r>
      <w:r w:rsidRPr="0016077C">
        <w:rPr>
          <w:rFonts w:eastAsia="KaiTi" w:cs="Arial"/>
          <w:sz w:val="18"/>
          <w:szCs w:val="18"/>
        </w:rPr>
        <w:t>Zhibing Zhang</w:t>
      </w:r>
      <w:r w:rsidRPr="0016077C">
        <w:rPr>
          <w:rFonts w:eastAsia="KaiTi" w:cs="Arial"/>
          <w:sz w:val="18"/>
          <w:szCs w:val="18"/>
          <w:vertAlign w:val="superscript"/>
        </w:rPr>
        <w:t>1,2,3*</w:t>
      </w:r>
    </w:p>
    <w:p w14:paraId="268333C0" w14:textId="46BB2C0B" w:rsidR="00863369" w:rsidRPr="00AB68EB" w:rsidRDefault="00863369" w:rsidP="007652D1">
      <w:pPr>
        <w:spacing w:after="0" w:line="360" w:lineRule="auto"/>
        <w:rPr>
          <w:rFonts w:eastAsia="KaiTi" w:cs="Arial"/>
          <w:sz w:val="18"/>
          <w:szCs w:val="18"/>
        </w:rPr>
      </w:pPr>
      <w:r w:rsidRPr="00AB68EB">
        <w:rPr>
          <w:rFonts w:eastAsia="KaiTi" w:cs="Arial"/>
          <w:sz w:val="18"/>
          <w:szCs w:val="18"/>
          <w:vertAlign w:val="superscript"/>
        </w:rPr>
        <w:t>1</w:t>
      </w:r>
      <w:r w:rsidRPr="00AB68EB">
        <w:rPr>
          <w:rFonts w:eastAsia="KaiTi" w:cs="Arial"/>
          <w:sz w:val="18"/>
          <w:szCs w:val="18"/>
        </w:rPr>
        <w:t xml:space="preserve">School of Chemistry, Nanjing University, Nanjing, Jiangsu, 210023, China. </w:t>
      </w:r>
    </w:p>
    <w:p w14:paraId="126505B3" w14:textId="77777777" w:rsidR="00863369" w:rsidRPr="00AB68EB" w:rsidRDefault="00863369" w:rsidP="007652D1">
      <w:pPr>
        <w:spacing w:after="0" w:line="360" w:lineRule="auto"/>
        <w:rPr>
          <w:rFonts w:eastAsia="KaiTi" w:cs="Arial"/>
          <w:sz w:val="18"/>
          <w:szCs w:val="18"/>
        </w:rPr>
      </w:pPr>
      <w:r w:rsidRPr="00AB68EB">
        <w:rPr>
          <w:rFonts w:eastAsia="KaiTi" w:cs="Arial"/>
          <w:sz w:val="18"/>
          <w:szCs w:val="18"/>
          <w:vertAlign w:val="superscript"/>
        </w:rPr>
        <w:t>2</w:t>
      </w:r>
      <w:r w:rsidRPr="00AB68EB">
        <w:rPr>
          <w:rFonts w:eastAsia="KaiTi" w:cs="Arial"/>
          <w:sz w:val="18"/>
          <w:szCs w:val="18"/>
        </w:rPr>
        <w:t>MOE Key Laboratory of Mesoscopic Chemistry, Nanjing University, Nanjing, Jiangsu, 210023, China.</w:t>
      </w:r>
    </w:p>
    <w:p w14:paraId="4898594D" w14:textId="1040A0F6" w:rsidR="00863369" w:rsidRPr="00AB68EB" w:rsidRDefault="00C7790F" w:rsidP="007652D1">
      <w:pPr>
        <w:spacing w:after="0" w:line="360" w:lineRule="auto"/>
        <w:rPr>
          <w:rFonts w:eastAsia="KaiTi" w:cs="Arial"/>
          <w:sz w:val="20"/>
          <w:szCs w:val="20"/>
        </w:rPr>
      </w:pPr>
      <w:r w:rsidRPr="006D52C6">
        <w:rPr>
          <w:rFonts w:eastAsia="KaiTi" w:cs="Arial"/>
          <w:sz w:val="18"/>
          <w:szCs w:val="18"/>
          <w:vertAlign w:val="superscript"/>
        </w:rPr>
        <w:t>3</w:t>
      </w:r>
      <w:r w:rsidRPr="00765497">
        <w:rPr>
          <w:rFonts w:eastAsia="KaiTi"/>
          <w:sz w:val="18"/>
          <w:szCs w:val="18"/>
        </w:rPr>
        <w:t>Nanjing Institute</w:t>
      </w:r>
      <w:r w:rsidRPr="00765497">
        <w:rPr>
          <w:rFonts w:eastAsia="KaiTi" w:hint="eastAsia"/>
          <w:sz w:val="18"/>
          <w:szCs w:val="18"/>
        </w:rPr>
        <w:t xml:space="preserve"> </w:t>
      </w:r>
      <w:r>
        <w:rPr>
          <w:rFonts w:eastAsia="KaiTi" w:hint="eastAsia"/>
          <w:sz w:val="18"/>
          <w:szCs w:val="18"/>
        </w:rPr>
        <w:t xml:space="preserve">of </w:t>
      </w:r>
      <w:r>
        <w:rPr>
          <w:rFonts w:eastAsia="KaiTi"/>
          <w:sz w:val="18"/>
          <w:szCs w:val="18"/>
        </w:rPr>
        <w:t>Micro interface</w:t>
      </w:r>
      <w:r w:rsidRPr="00765497">
        <w:rPr>
          <w:rFonts w:eastAsia="KaiTi"/>
          <w:sz w:val="18"/>
          <w:szCs w:val="18"/>
        </w:rPr>
        <w:t xml:space="preserve"> Technology,</w:t>
      </w:r>
      <w:r w:rsidRPr="006D52C6">
        <w:rPr>
          <w:rFonts w:eastAsia="KaiTi" w:cs="Arial"/>
          <w:sz w:val="18"/>
          <w:szCs w:val="18"/>
        </w:rPr>
        <w:t xml:space="preserve"> Jiangbei New Area, Nanjing 210047, China</w:t>
      </w:r>
      <w:r w:rsidR="00863369" w:rsidRPr="00AB68EB">
        <w:rPr>
          <w:rFonts w:eastAsia="KaiTi" w:cs="Arial"/>
          <w:sz w:val="20"/>
          <w:szCs w:val="20"/>
        </w:rPr>
        <w:t xml:space="preserve"> </w:t>
      </w:r>
    </w:p>
    <w:p w14:paraId="17A6BE6F" w14:textId="77777777" w:rsidR="00863369" w:rsidRPr="00B37FEE" w:rsidRDefault="00863369" w:rsidP="00863369">
      <w:pPr>
        <w:spacing w:after="0" w:line="408" w:lineRule="auto"/>
        <w:rPr>
          <w:rFonts w:cs="Arial"/>
          <w:b/>
          <w:bCs/>
          <w:sz w:val="24"/>
        </w:rPr>
      </w:pPr>
      <w:r w:rsidRPr="00B37FEE">
        <w:rPr>
          <w:rFonts w:cs="Arial"/>
          <w:b/>
          <w:bCs/>
          <w:sz w:val="24"/>
        </w:rPr>
        <w:t>Table of Contents</w:t>
      </w:r>
    </w:p>
    <w:p w14:paraId="72E46B88" w14:textId="77777777" w:rsidR="00863369" w:rsidRPr="00B37FEE" w:rsidRDefault="00863369" w:rsidP="00863369">
      <w:pPr>
        <w:spacing w:after="0" w:line="408" w:lineRule="auto"/>
        <w:ind w:firstLine="420"/>
        <w:rPr>
          <w:rFonts w:cs="Arial"/>
          <w:sz w:val="24"/>
        </w:rPr>
      </w:pPr>
      <w:r w:rsidRPr="00B37FEE">
        <w:rPr>
          <w:rFonts w:cs="Arial"/>
          <w:sz w:val="24"/>
        </w:rPr>
        <w:t>1 Background</w:t>
      </w:r>
    </w:p>
    <w:p w14:paraId="463BA27E" w14:textId="7269F31C" w:rsidR="00DD65DC" w:rsidRDefault="00863369" w:rsidP="00863369">
      <w:pPr>
        <w:spacing w:after="0" w:line="408" w:lineRule="auto"/>
        <w:ind w:left="840"/>
        <w:rPr>
          <w:rFonts w:eastAsia="KaiTi" w:cs="Arial"/>
          <w:szCs w:val="21"/>
        </w:rPr>
      </w:pPr>
      <w:r w:rsidRPr="00B37FEE">
        <w:rPr>
          <w:rFonts w:eastAsia="KaiTi" w:cs="Arial"/>
          <w:szCs w:val="21"/>
        </w:rPr>
        <w:t>1.</w:t>
      </w:r>
      <w:r w:rsidR="00602818">
        <w:rPr>
          <w:rFonts w:eastAsia="KaiTi" w:cs="Arial" w:hint="eastAsia"/>
          <w:szCs w:val="21"/>
        </w:rPr>
        <w:t>1</w:t>
      </w:r>
      <w:r w:rsidRPr="00B37FEE">
        <w:rPr>
          <w:rFonts w:eastAsia="KaiTi" w:cs="Arial"/>
          <w:szCs w:val="21"/>
        </w:rPr>
        <w:t xml:space="preserve"> </w:t>
      </w:r>
      <w:r w:rsidR="00602818" w:rsidRPr="00B37FEE">
        <w:rPr>
          <w:rFonts w:eastAsia="KaiTi" w:cs="Arial"/>
          <w:szCs w:val="21"/>
        </w:rPr>
        <w:t>Industrial significance of amine-based CO</w:t>
      </w:r>
      <w:r w:rsidR="00602818" w:rsidRPr="00B37FEE">
        <w:rPr>
          <w:rFonts w:ascii="Cambria Math" w:eastAsia="KaiTi" w:hAnsi="Cambria Math" w:cs="Cambria Math"/>
          <w:szCs w:val="21"/>
        </w:rPr>
        <w:t>₂</w:t>
      </w:r>
      <w:r w:rsidR="00602818" w:rsidRPr="00B37FEE">
        <w:rPr>
          <w:rFonts w:eastAsia="KaiTi" w:cs="Arial"/>
          <w:szCs w:val="21"/>
        </w:rPr>
        <w:t xml:space="preserve"> capture</w:t>
      </w:r>
    </w:p>
    <w:p w14:paraId="3FFE3DFD" w14:textId="5712986B" w:rsidR="00863369" w:rsidRPr="00B37FEE" w:rsidRDefault="00863369" w:rsidP="00863369">
      <w:pPr>
        <w:spacing w:after="0" w:line="408" w:lineRule="auto"/>
        <w:ind w:left="840"/>
        <w:rPr>
          <w:rFonts w:eastAsia="KaiTi" w:cs="Arial"/>
          <w:szCs w:val="21"/>
        </w:rPr>
      </w:pPr>
      <w:r w:rsidRPr="00B37FEE">
        <w:rPr>
          <w:rFonts w:eastAsia="KaiTi" w:cs="Arial"/>
          <w:szCs w:val="21"/>
        </w:rPr>
        <w:t>1.</w:t>
      </w:r>
      <w:r w:rsidR="00602818">
        <w:rPr>
          <w:rFonts w:eastAsia="KaiTi" w:cs="Arial" w:hint="eastAsia"/>
          <w:szCs w:val="21"/>
        </w:rPr>
        <w:t>2</w:t>
      </w:r>
      <w:r w:rsidR="00602818" w:rsidRPr="00602818">
        <w:rPr>
          <w:rFonts w:eastAsia="KaiTi" w:cs="Arial"/>
          <w:szCs w:val="21"/>
        </w:rPr>
        <w:t xml:space="preserve"> </w:t>
      </w:r>
      <w:r w:rsidR="00602818" w:rsidRPr="00B37FEE">
        <w:rPr>
          <w:rFonts w:eastAsia="KaiTi" w:cs="Arial"/>
          <w:szCs w:val="21"/>
        </w:rPr>
        <w:t>Interfacial reaction pathways in MIS</w:t>
      </w:r>
    </w:p>
    <w:p w14:paraId="179CD6DF" w14:textId="77777777" w:rsidR="00863369" w:rsidRPr="00B37FEE" w:rsidRDefault="00863369" w:rsidP="00863369">
      <w:pPr>
        <w:spacing w:after="0" w:line="408" w:lineRule="auto"/>
        <w:ind w:left="840"/>
        <w:rPr>
          <w:rFonts w:eastAsia="KaiTi" w:cs="Arial"/>
          <w:szCs w:val="21"/>
        </w:rPr>
      </w:pPr>
      <w:r w:rsidRPr="00B37FEE">
        <w:rPr>
          <w:rFonts w:eastAsia="KaiTi" w:cs="Arial"/>
          <w:szCs w:val="21"/>
        </w:rPr>
        <w:t>1.3 Reaction pathways in amine-based CO</w:t>
      </w:r>
      <w:r w:rsidRPr="00B37FEE">
        <w:rPr>
          <w:rFonts w:ascii="Cambria Math" w:eastAsia="KaiTi" w:hAnsi="Cambria Math" w:cs="Cambria Math"/>
          <w:szCs w:val="21"/>
        </w:rPr>
        <w:t>₂</w:t>
      </w:r>
      <w:r w:rsidRPr="00B37FEE">
        <w:rPr>
          <w:rFonts w:eastAsia="KaiTi" w:cs="Arial"/>
          <w:szCs w:val="21"/>
        </w:rPr>
        <w:t xml:space="preserve"> capture</w:t>
      </w:r>
    </w:p>
    <w:p w14:paraId="76EBF92F" w14:textId="77777777" w:rsidR="00863369" w:rsidRPr="00B37FEE" w:rsidRDefault="00863369" w:rsidP="00863369">
      <w:pPr>
        <w:spacing w:after="0" w:line="408" w:lineRule="auto"/>
        <w:ind w:firstLine="420"/>
        <w:rPr>
          <w:rFonts w:eastAsia="KaiTi" w:cs="Arial"/>
          <w:sz w:val="24"/>
        </w:rPr>
      </w:pPr>
      <w:r w:rsidRPr="00B37FEE">
        <w:rPr>
          <w:rFonts w:cs="Arial"/>
          <w:sz w:val="24"/>
        </w:rPr>
        <w:t>2 Methods</w:t>
      </w:r>
    </w:p>
    <w:p w14:paraId="5B6C6831" w14:textId="77777777" w:rsidR="0014281B" w:rsidRDefault="00863369" w:rsidP="00863369">
      <w:pPr>
        <w:spacing w:after="0" w:line="408" w:lineRule="auto"/>
        <w:ind w:left="840"/>
        <w:rPr>
          <w:rFonts w:eastAsia="KaiTi" w:cs="Arial"/>
          <w:szCs w:val="21"/>
        </w:rPr>
      </w:pPr>
      <w:r w:rsidRPr="00B37FEE">
        <w:rPr>
          <w:rFonts w:eastAsia="KaiTi" w:cs="Arial"/>
          <w:szCs w:val="21"/>
        </w:rPr>
        <w:t xml:space="preserve">2.1 Experimental methods </w:t>
      </w:r>
    </w:p>
    <w:p w14:paraId="55C3678D" w14:textId="2BF11982" w:rsidR="00863369" w:rsidRPr="00B37FEE" w:rsidRDefault="00863369" w:rsidP="00863369">
      <w:pPr>
        <w:spacing w:after="0" w:line="408" w:lineRule="auto"/>
        <w:ind w:left="840"/>
        <w:rPr>
          <w:rFonts w:eastAsia="KaiTi" w:cs="Arial"/>
          <w:szCs w:val="21"/>
        </w:rPr>
      </w:pPr>
      <w:r w:rsidRPr="00B37FEE">
        <w:rPr>
          <w:rFonts w:eastAsia="KaiTi" w:cs="Arial"/>
          <w:szCs w:val="21"/>
        </w:rPr>
        <w:t>2.2 Metadynamics simulation methodology</w:t>
      </w:r>
    </w:p>
    <w:p w14:paraId="44686038" w14:textId="77777777" w:rsidR="00863369" w:rsidRPr="00B37FEE" w:rsidRDefault="00863369" w:rsidP="00863369">
      <w:pPr>
        <w:spacing w:after="0" w:line="408" w:lineRule="auto"/>
        <w:ind w:firstLine="420"/>
        <w:rPr>
          <w:rFonts w:cs="Arial"/>
          <w:sz w:val="24"/>
        </w:rPr>
      </w:pPr>
      <w:r w:rsidRPr="00B37FEE">
        <w:rPr>
          <w:rFonts w:cs="Arial"/>
          <w:sz w:val="24"/>
        </w:rPr>
        <w:t>3 Theoretical analysis</w:t>
      </w:r>
    </w:p>
    <w:p w14:paraId="73400F92" w14:textId="77777777" w:rsidR="00863369" w:rsidRPr="00B37FEE" w:rsidRDefault="00863369" w:rsidP="00863369">
      <w:pPr>
        <w:spacing w:after="0" w:line="408" w:lineRule="auto"/>
        <w:ind w:left="840"/>
        <w:rPr>
          <w:rFonts w:eastAsia="KaiTi" w:cs="Arial"/>
          <w:szCs w:val="21"/>
        </w:rPr>
      </w:pPr>
      <w:r w:rsidRPr="00B37FEE">
        <w:rPr>
          <w:rFonts w:eastAsia="KaiTi" w:cs="Arial" w:hint="eastAsia"/>
          <w:szCs w:val="21"/>
        </w:rPr>
        <w:t>3</w:t>
      </w:r>
      <w:r w:rsidRPr="00B37FEE">
        <w:rPr>
          <w:rFonts w:eastAsia="KaiTi" w:cs="Arial"/>
          <w:szCs w:val="21"/>
        </w:rPr>
        <w:t>.</w:t>
      </w:r>
      <w:r w:rsidRPr="00B37FEE">
        <w:rPr>
          <w:rFonts w:eastAsia="KaiTi" w:cs="Arial" w:hint="eastAsia"/>
          <w:szCs w:val="21"/>
        </w:rPr>
        <w:t>1</w:t>
      </w:r>
      <w:r w:rsidRPr="00B37FEE">
        <w:rPr>
          <w:rFonts w:eastAsia="KaiTi" w:cs="Arial"/>
          <w:szCs w:val="21"/>
        </w:rPr>
        <w:t xml:space="preserve"> Thermodynamic derivation of the loading–equilibrium relationship</w:t>
      </w:r>
    </w:p>
    <w:p w14:paraId="7BA23BF6" w14:textId="77777777" w:rsidR="00863369" w:rsidRPr="00B37FEE" w:rsidRDefault="00863369" w:rsidP="00863369">
      <w:pPr>
        <w:spacing w:after="0" w:line="408" w:lineRule="auto"/>
        <w:ind w:left="840"/>
        <w:rPr>
          <w:rFonts w:eastAsia="KaiTi" w:cs="Arial"/>
          <w:szCs w:val="21"/>
        </w:rPr>
      </w:pPr>
      <w:r w:rsidRPr="00B37FEE">
        <w:rPr>
          <w:rFonts w:eastAsia="KaiTi" w:cs="Arial" w:hint="eastAsia"/>
          <w:szCs w:val="21"/>
        </w:rPr>
        <w:t>3</w:t>
      </w:r>
      <w:r w:rsidRPr="00B37FEE">
        <w:rPr>
          <w:rFonts w:eastAsia="KaiTi" w:cs="Arial"/>
          <w:szCs w:val="21"/>
        </w:rPr>
        <w:t>.</w:t>
      </w:r>
      <w:r w:rsidRPr="00B37FEE">
        <w:rPr>
          <w:rFonts w:eastAsia="KaiTi" w:cs="Arial" w:hint="eastAsia"/>
          <w:szCs w:val="21"/>
        </w:rPr>
        <w:t>2</w:t>
      </w:r>
      <w:r w:rsidRPr="00B37FEE">
        <w:rPr>
          <w:rFonts w:eastAsia="KaiTi" w:cs="Arial"/>
          <w:szCs w:val="21"/>
        </w:rPr>
        <w:t xml:space="preserve"> Electrostatic modulation of reaction kinetics</w:t>
      </w:r>
    </w:p>
    <w:p w14:paraId="19E34A2D" w14:textId="77777777" w:rsidR="00863369" w:rsidRPr="00B37FEE" w:rsidRDefault="00863369" w:rsidP="00863369">
      <w:pPr>
        <w:spacing w:after="0" w:line="408" w:lineRule="auto"/>
        <w:ind w:firstLine="420"/>
        <w:rPr>
          <w:rFonts w:cs="Arial"/>
          <w:sz w:val="24"/>
        </w:rPr>
      </w:pPr>
      <w:r w:rsidRPr="00B37FEE">
        <w:rPr>
          <w:rFonts w:cs="Arial" w:hint="eastAsia"/>
          <w:sz w:val="24"/>
        </w:rPr>
        <w:t>4</w:t>
      </w:r>
      <w:r w:rsidRPr="00B37FEE">
        <w:rPr>
          <w:rFonts w:cs="Arial"/>
          <w:sz w:val="24"/>
        </w:rPr>
        <w:t xml:space="preserve"> Energy</w:t>
      </w:r>
    </w:p>
    <w:p w14:paraId="37B7C0DD" w14:textId="77777777" w:rsidR="0014281B" w:rsidRDefault="00863369" w:rsidP="00863369">
      <w:pPr>
        <w:spacing w:after="0" w:line="408" w:lineRule="auto"/>
        <w:ind w:left="840"/>
        <w:rPr>
          <w:rFonts w:eastAsia="KaiTi" w:cs="Arial"/>
          <w:szCs w:val="21"/>
        </w:rPr>
      </w:pPr>
      <w:r w:rsidRPr="00B37FEE">
        <w:rPr>
          <w:rFonts w:eastAsia="KaiTi" w:cs="Arial" w:hint="eastAsia"/>
          <w:szCs w:val="21"/>
        </w:rPr>
        <w:t>4</w:t>
      </w:r>
      <w:r w:rsidRPr="00B37FEE">
        <w:rPr>
          <w:rFonts w:eastAsia="KaiTi" w:cs="Arial"/>
          <w:szCs w:val="21"/>
        </w:rPr>
        <w:t>.1 Regeneration energy calculation</w:t>
      </w:r>
    </w:p>
    <w:p w14:paraId="3FA152ED" w14:textId="5B1109F4" w:rsidR="00863369" w:rsidRPr="00B37FEE" w:rsidRDefault="00863369" w:rsidP="00863369">
      <w:pPr>
        <w:spacing w:after="0" w:line="408" w:lineRule="auto"/>
        <w:ind w:left="840"/>
        <w:rPr>
          <w:rFonts w:eastAsia="KaiTi" w:cs="Arial"/>
          <w:szCs w:val="21"/>
        </w:rPr>
      </w:pPr>
      <w:r w:rsidRPr="00B37FEE">
        <w:rPr>
          <w:rFonts w:eastAsia="KaiTi" w:cs="Arial" w:hint="eastAsia"/>
          <w:szCs w:val="21"/>
        </w:rPr>
        <w:t>4</w:t>
      </w:r>
      <w:r w:rsidRPr="00B37FEE">
        <w:rPr>
          <w:rFonts w:eastAsia="KaiTi" w:cs="Arial"/>
          <w:szCs w:val="21"/>
        </w:rPr>
        <w:t>.2 Interfacial energy consumption estimation</w:t>
      </w:r>
    </w:p>
    <w:p w14:paraId="2AF718E1" w14:textId="77777777" w:rsidR="00863369" w:rsidRPr="00B37FEE" w:rsidRDefault="00863369" w:rsidP="00863369">
      <w:pPr>
        <w:spacing w:after="0" w:line="408" w:lineRule="auto"/>
        <w:ind w:firstLine="420"/>
        <w:rPr>
          <w:rFonts w:cs="Arial"/>
          <w:sz w:val="24"/>
        </w:rPr>
      </w:pPr>
      <w:r w:rsidRPr="00B37FEE">
        <w:rPr>
          <w:rFonts w:cs="Arial" w:hint="eastAsia"/>
          <w:sz w:val="24"/>
        </w:rPr>
        <w:t>5</w:t>
      </w:r>
      <w:r w:rsidRPr="00B37FEE">
        <w:rPr>
          <w:rFonts w:cs="Arial"/>
          <w:sz w:val="24"/>
        </w:rPr>
        <w:t xml:space="preserve"> Process engineering and monitoring</w:t>
      </w:r>
    </w:p>
    <w:p w14:paraId="150C3F18" w14:textId="77777777" w:rsidR="0014281B" w:rsidRDefault="00863369" w:rsidP="00863369">
      <w:pPr>
        <w:spacing w:after="0" w:line="408" w:lineRule="auto"/>
        <w:ind w:left="840"/>
        <w:rPr>
          <w:rFonts w:eastAsia="KaiTi" w:cs="Arial"/>
          <w:szCs w:val="21"/>
        </w:rPr>
      </w:pPr>
      <w:r w:rsidRPr="00B37FEE">
        <w:rPr>
          <w:rFonts w:eastAsia="KaiTi" w:cs="Arial" w:hint="eastAsia"/>
          <w:szCs w:val="21"/>
        </w:rPr>
        <w:t>5</w:t>
      </w:r>
      <w:r w:rsidRPr="00B37FEE">
        <w:rPr>
          <w:rFonts w:eastAsia="KaiTi" w:cs="Arial"/>
          <w:szCs w:val="21"/>
        </w:rPr>
        <w:t>.</w:t>
      </w:r>
      <w:r w:rsidRPr="00B37FEE">
        <w:rPr>
          <w:rFonts w:eastAsia="KaiTi" w:cs="Arial" w:hint="eastAsia"/>
          <w:szCs w:val="21"/>
        </w:rPr>
        <w:t>1</w:t>
      </w:r>
      <w:r w:rsidRPr="00B37FEE">
        <w:rPr>
          <w:rFonts w:eastAsia="KaiTi" w:cs="Arial"/>
          <w:szCs w:val="21"/>
        </w:rPr>
        <w:t xml:space="preserve"> Techno-economic analysis</w:t>
      </w:r>
    </w:p>
    <w:p w14:paraId="5165700B" w14:textId="748E602B" w:rsidR="0014281B" w:rsidRDefault="00863369" w:rsidP="00863369">
      <w:pPr>
        <w:spacing w:after="0" w:line="408" w:lineRule="auto"/>
        <w:ind w:left="840"/>
        <w:rPr>
          <w:rFonts w:eastAsia="KaiTi" w:cs="Arial"/>
          <w:szCs w:val="21"/>
        </w:rPr>
      </w:pPr>
      <w:r w:rsidRPr="00B37FEE">
        <w:rPr>
          <w:rFonts w:eastAsia="KaiTi" w:cs="Arial" w:hint="eastAsia"/>
          <w:szCs w:val="21"/>
        </w:rPr>
        <w:t>5</w:t>
      </w:r>
      <w:r w:rsidRPr="00B37FEE">
        <w:rPr>
          <w:rFonts w:eastAsia="KaiTi" w:cs="Arial"/>
          <w:szCs w:val="21"/>
        </w:rPr>
        <w:t>.</w:t>
      </w:r>
      <w:r w:rsidRPr="00B37FEE">
        <w:rPr>
          <w:rFonts w:eastAsia="KaiTi" w:cs="Arial" w:hint="eastAsia"/>
          <w:szCs w:val="21"/>
        </w:rPr>
        <w:t>2</w:t>
      </w:r>
      <w:r w:rsidRPr="00B37FEE">
        <w:rPr>
          <w:rFonts w:eastAsia="KaiTi" w:cs="Arial"/>
          <w:szCs w:val="21"/>
        </w:rPr>
        <w:t xml:space="preserve"> Hydrodynamics and bubble coalescence behavior</w:t>
      </w:r>
    </w:p>
    <w:p w14:paraId="64822DDA" w14:textId="75301A14" w:rsidR="00863369" w:rsidRDefault="00863369" w:rsidP="00863369">
      <w:pPr>
        <w:spacing w:after="0" w:line="408" w:lineRule="auto"/>
        <w:ind w:left="840"/>
        <w:rPr>
          <w:rFonts w:eastAsia="KaiTi" w:cs="Arial"/>
          <w:szCs w:val="21"/>
        </w:rPr>
      </w:pPr>
      <w:r w:rsidRPr="00B37FEE">
        <w:rPr>
          <w:rFonts w:eastAsia="KaiTi" w:cs="Arial" w:hint="eastAsia"/>
          <w:szCs w:val="21"/>
        </w:rPr>
        <w:t>5</w:t>
      </w:r>
      <w:r w:rsidRPr="00B37FEE">
        <w:rPr>
          <w:rFonts w:eastAsia="KaiTi" w:cs="Arial"/>
          <w:szCs w:val="21"/>
        </w:rPr>
        <w:t>.</w:t>
      </w:r>
      <w:r w:rsidRPr="00B37FEE">
        <w:rPr>
          <w:rFonts w:eastAsia="KaiTi" w:cs="Arial" w:hint="eastAsia"/>
          <w:szCs w:val="21"/>
        </w:rPr>
        <w:t>3</w:t>
      </w:r>
      <w:r w:rsidRPr="00B37FEE">
        <w:rPr>
          <w:rFonts w:eastAsia="KaiTi" w:cs="Arial"/>
          <w:szCs w:val="21"/>
        </w:rPr>
        <w:t xml:space="preserve"> Machine-learning-based process monitoring</w:t>
      </w:r>
    </w:p>
    <w:p w14:paraId="04EFCE87" w14:textId="57EEE805" w:rsidR="00625201" w:rsidRPr="002211F7" w:rsidRDefault="00625201" w:rsidP="002211F7">
      <w:pPr>
        <w:pStyle w:val="a9"/>
        <w:numPr>
          <w:ilvl w:val="0"/>
          <w:numId w:val="4"/>
        </w:numPr>
        <w:spacing w:after="0" w:line="408" w:lineRule="auto"/>
        <w:rPr>
          <w:rFonts w:cs="Arial"/>
          <w:sz w:val="24"/>
        </w:rPr>
      </w:pPr>
      <w:r w:rsidRPr="002211F7">
        <w:rPr>
          <w:rFonts w:cs="Arial"/>
          <w:sz w:val="24"/>
        </w:rPr>
        <w:t>Supplementary Figures</w:t>
      </w:r>
    </w:p>
    <w:p w14:paraId="7125F449" w14:textId="7FA9DE1A" w:rsidR="00863369" w:rsidRPr="002211F7" w:rsidRDefault="002211F7" w:rsidP="002211F7">
      <w:pPr>
        <w:spacing w:after="0" w:line="480" w:lineRule="auto"/>
        <w:rPr>
          <w:rFonts w:cs="Arial"/>
          <w:b/>
          <w:bCs/>
          <w:sz w:val="28"/>
          <w:szCs w:val="28"/>
        </w:rPr>
      </w:pPr>
      <w:r w:rsidRPr="002211F7">
        <w:rPr>
          <w:rFonts w:cs="Arial" w:hint="eastAsia"/>
          <w:b/>
          <w:bCs/>
          <w:sz w:val="28"/>
          <w:szCs w:val="28"/>
        </w:rPr>
        <w:lastRenderedPageBreak/>
        <w:t xml:space="preserve">1 </w:t>
      </w:r>
      <w:r w:rsidR="00863369" w:rsidRPr="002211F7">
        <w:rPr>
          <w:rFonts w:cs="Arial"/>
          <w:b/>
          <w:bCs/>
          <w:sz w:val="28"/>
          <w:szCs w:val="28"/>
        </w:rPr>
        <w:t>Background</w:t>
      </w:r>
    </w:p>
    <w:p w14:paraId="664FA50C" w14:textId="04F75575" w:rsidR="00FB5E7F" w:rsidRPr="00FA13BF" w:rsidRDefault="00FB5E7F" w:rsidP="00FB5E7F">
      <w:pPr>
        <w:spacing w:line="480" w:lineRule="auto"/>
        <w:rPr>
          <w:rFonts w:eastAsia="KaiTi" w:cs="Arial"/>
          <w:szCs w:val="21"/>
        </w:rPr>
      </w:pPr>
      <w:r>
        <w:rPr>
          <w:rFonts w:eastAsia="KaiTi" w:cs="Arial" w:hint="eastAsia"/>
          <w:b/>
          <w:bCs/>
          <w:szCs w:val="21"/>
        </w:rPr>
        <w:t>1.</w:t>
      </w:r>
      <w:r w:rsidR="00602818">
        <w:rPr>
          <w:rFonts w:eastAsia="KaiTi" w:cs="Arial" w:hint="eastAsia"/>
          <w:b/>
          <w:bCs/>
          <w:szCs w:val="21"/>
        </w:rPr>
        <w:t>1</w:t>
      </w:r>
      <w:r>
        <w:rPr>
          <w:rFonts w:eastAsia="KaiTi" w:cs="Arial" w:hint="eastAsia"/>
          <w:b/>
          <w:bCs/>
          <w:szCs w:val="21"/>
        </w:rPr>
        <w:t xml:space="preserve"> </w:t>
      </w:r>
      <w:r w:rsidRPr="00FA13BF">
        <w:rPr>
          <w:rFonts w:eastAsia="KaiTi" w:cs="Arial"/>
          <w:b/>
          <w:bCs/>
          <w:szCs w:val="21"/>
        </w:rPr>
        <w:t>Industrial significance of amine-based CO</w:t>
      </w:r>
      <w:r w:rsidRPr="00FA13BF">
        <w:rPr>
          <w:rFonts w:ascii="Cambria Math" w:eastAsia="KaiTi" w:hAnsi="Cambria Math" w:cs="Cambria Math"/>
          <w:b/>
          <w:bCs/>
          <w:szCs w:val="21"/>
        </w:rPr>
        <w:t>₂</w:t>
      </w:r>
      <w:r w:rsidRPr="00FA13BF">
        <w:rPr>
          <w:rFonts w:eastAsia="KaiTi" w:cs="Arial"/>
          <w:b/>
          <w:bCs/>
          <w:szCs w:val="21"/>
        </w:rPr>
        <w:t xml:space="preserve"> capture</w:t>
      </w:r>
    </w:p>
    <w:p w14:paraId="187B9973" w14:textId="77777777" w:rsidR="00FB5E7F" w:rsidRPr="00FA13BF" w:rsidRDefault="00FB5E7F" w:rsidP="00FB5E7F">
      <w:pPr>
        <w:spacing w:line="360" w:lineRule="auto"/>
        <w:ind w:firstLine="420"/>
        <w:rPr>
          <w:rFonts w:cs="Arial"/>
          <w:szCs w:val="22"/>
        </w:rPr>
      </w:pPr>
      <w:r w:rsidRPr="00AF483C">
        <w:rPr>
          <w:rFonts w:cs="Arial"/>
          <w:szCs w:val="22"/>
        </w:rPr>
        <w:t>As discussed in the main text, the chemical compatibility between amine-based CO</w:t>
      </w:r>
      <w:r w:rsidRPr="00AF483C">
        <w:rPr>
          <w:rFonts w:ascii="Cambria Math" w:hAnsi="Cambria Math" w:cs="Cambria Math"/>
          <w:szCs w:val="22"/>
        </w:rPr>
        <w:t>₂</w:t>
      </w:r>
      <w:r w:rsidRPr="00AF483C">
        <w:rPr>
          <w:rFonts w:cs="Arial"/>
          <w:szCs w:val="22"/>
        </w:rPr>
        <w:t xml:space="preserve"> capture and EDL-induced interfacial activation provides an important rationale for selecting this system as a representative example. However, this is not the sole consideration. From an engineering perspective, amine-based CO</w:t>
      </w:r>
      <w:r w:rsidRPr="00AF483C">
        <w:rPr>
          <w:rFonts w:ascii="Cambria Math" w:hAnsi="Cambria Math" w:cs="Cambria Math"/>
          <w:szCs w:val="22"/>
        </w:rPr>
        <w:t>₂</w:t>
      </w:r>
      <w:r w:rsidRPr="00AF483C">
        <w:rPr>
          <w:rFonts w:cs="Arial"/>
          <w:szCs w:val="22"/>
        </w:rPr>
        <w:t xml:space="preserve"> capture plays a critical role in mitigating carbon emissions from fossil-fuel-based power generation and remains the only capture technology that has been widely deployed at industrial scale. Its industrial relevance therefore provides an additional motivation to explore the engineering feasibility of interfacial strategies.</w:t>
      </w:r>
    </w:p>
    <w:p w14:paraId="58BA8D51" w14:textId="10511213" w:rsidR="00FB5E7F" w:rsidRPr="00FA13BF" w:rsidRDefault="00FB5E7F" w:rsidP="00FB5E7F">
      <w:pPr>
        <w:spacing w:line="360" w:lineRule="auto"/>
        <w:ind w:firstLine="420"/>
        <w:rPr>
          <w:rFonts w:cs="Arial"/>
          <w:szCs w:val="22"/>
        </w:rPr>
      </w:pPr>
      <w:r w:rsidRPr="00FA13BF">
        <w:rPr>
          <w:rFonts w:cs="Arial"/>
          <w:szCs w:val="22"/>
        </w:rPr>
        <w:t>It should be emphasized that this study focuses on post-combustion CO</w:t>
      </w:r>
      <w:r w:rsidRPr="00FA13BF">
        <w:rPr>
          <w:rFonts w:ascii="Cambria Math" w:hAnsi="Cambria Math" w:cs="Cambria Math"/>
          <w:szCs w:val="22"/>
        </w:rPr>
        <w:t>₂</w:t>
      </w:r>
      <w:r w:rsidRPr="00FA13BF">
        <w:rPr>
          <w:rFonts w:cs="Arial"/>
          <w:szCs w:val="22"/>
        </w:rPr>
        <w:t xml:space="preserve"> capture from coal-fired power plant flue gas, where the typical CO</w:t>
      </w:r>
      <w:r w:rsidRPr="00FA13BF">
        <w:rPr>
          <w:rFonts w:ascii="Cambria Math" w:hAnsi="Cambria Math" w:cs="Cambria Math"/>
          <w:szCs w:val="22"/>
        </w:rPr>
        <w:t>₂</w:t>
      </w:r>
      <w:r w:rsidRPr="00FA13BF">
        <w:rPr>
          <w:rFonts w:cs="Arial"/>
          <w:szCs w:val="22"/>
        </w:rPr>
        <w:t xml:space="preserve"> concentration ranges from 10 to 15%. Other emission scenarios, such as direct air capture (DAC) or high-concentration CO</w:t>
      </w:r>
      <w:r w:rsidRPr="00FA13BF">
        <w:rPr>
          <w:rFonts w:ascii="Cambria Math" w:hAnsi="Cambria Math" w:cs="Cambria Math"/>
          <w:szCs w:val="22"/>
        </w:rPr>
        <w:t>₂</w:t>
      </w:r>
      <w:r w:rsidRPr="00FA13BF">
        <w:rPr>
          <w:rFonts w:cs="Arial"/>
          <w:szCs w:val="22"/>
        </w:rPr>
        <w:t xml:space="preserve"> streams from industries such as cement production (approximately 20–30%), are beyond the scope of the present work. For higher-concentration emission sources, capture or utilization can often be achieved through alternative pathways such as adsorption, mineralization, or direct conversion</w:t>
      </w:r>
      <w:r>
        <w:rPr>
          <w:rFonts w:cs="Arial" w:hint="eastAsia"/>
          <w:szCs w:val="22"/>
        </w:rPr>
        <w:t xml:space="preserve"> </w:t>
      </w:r>
      <w:r>
        <w:rPr>
          <w:rFonts w:cs="Arial"/>
          <w:szCs w:val="22"/>
        </w:rPr>
        <w:fldChar w:fldCharType="begin"/>
      </w:r>
      <w:r w:rsidR="00282AF2">
        <w:rPr>
          <w:rFonts w:cs="Arial"/>
          <w:szCs w:val="22"/>
        </w:rPr>
        <w:instrText xml:space="preserve"> ADDIN EN.CITE &lt;EndNote&gt;&lt;Cite&gt;&lt;Author&gt;Boot-Handford&lt;/Author&gt;&lt;Year&gt;2014&lt;/Year&gt;&lt;RecNum&gt;345&lt;/RecNum&gt;&lt;DisplayText&gt;&lt;style face="superscript"&gt;1,2&lt;/style&gt;&lt;/DisplayText&gt;&lt;record&gt;&lt;rec-number&gt;345&lt;/rec-number&gt;&lt;foreign-keys&gt;&lt;key app="EN" db-id="0e5tz0z0ke5t29ex5r955wd3advpxrsstet0" timestamp="1772605872" guid="8230cd1f-09d1-4520-8a34-da6c3520949c"&gt;345&lt;/key&gt;&lt;/foreign-keys&gt;&lt;ref-type name="Journal Article"&gt;17&lt;/ref-type&gt;&lt;contributors&gt;&lt;authors&gt;&lt;author&gt;Boot-Handford, Matthew E&lt;/author&gt;&lt;author&gt;Abanades, Juan C&lt;/author&gt;&lt;author&gt;Anthony, Edward J&lt;/author&gt;&lt;author&gt;Blunt, Martin J&lt;/author&gt;&lt;author&gt;Brandani, Stefano&lt;/author&gt;&lt;author&gt;Mac Dowell, Niall&lt;/author&gt;&lt;author&gt;Fernández, José R&lt;/author&gt;&lt;author&gt;Ferrari, Maria-Chiara&lt;/author&gt;&lt;author&gt;Gross, Robert&lt;/author&gt;&lt;author&gt;Hallett, Jason P&lt;/author&gt;&lt;/authors&gt;&lt;/contributors&gt;&lt;titles&gt;&lt;title&gt;Carbon capture and storage update&lt;/title&gt;&lt;secondary-title&gt;Energy &amp;amp; Environmental Science&lt;/secondary-title&gt;&lt;/titles&gt;&lt;periodical&gt;&lt;full-title&gt;Energy &amp;amp; Environmental Science&lt;/full-title&gt;&lt;/periodical&gt;&lt;pages&gt;130-189&lt;/pages&gt;&lt;volume&gt;7&lt;/volume&gt;&lt;number&gt;1&lt;/number&gt;&lt;dates&gt;&lt;year&gt;2014&lt;/year&gt;&lt;/dates&gt;&lt;urls&gt;&lt;/urls&gt;&lt;/record&gt;&lt;/Cite&gt;&lt;Cite&gt;&lt;Author&gt;Rochelle&lt;/Author&gt;&lt;Year&gt;2009&lt;/Year&gt;&lt;RecNum&gt;344&lt;/RecNum&gt;&lt;record&gt;&lt;rec-number&gt;344&lt;/rec-number&gt;&lt;foreign-keys&gt;&lt;key app="EN" db-id="0e5tz0z0ke5t29ex5r955wd3advpxrsstet0" timestamp="1772605721" guid="2c760794-dbeb-4e9e-b62c-a2a1ee5756f1"&gt;344&lt;/key&gt;&lt;/foreign-keys&gt;&lt;ref-type name="Journal Article"&gt;17&lt;/ref-type&gt;&lt;contributors&gt;&lt;authors&gt;&lt;author&gt;Rochelle, Gary T&lt;/author&gt;&lt;/authors&gt;&lt;/contributors&gt;&lt;titles&gt;&lt;title&gt;Amine scrubbing for CO2 capture&lt;/title&gt;&lt;secondary-title&gt;Science&lt;/secondary-title&gt;&lt;/titles&gt;&lt;periodical&gt;&lt;full-title&gt;Science&lt;/full-title&gt;&lt;/periodical&gt;&lt;pages&gt;1652-1654&lt;/pages&gt;&lt;volume&gt;325&lt;/volume&gt;&lt;number&gt;5948&lt;/number&gt;&lt;dates&gt;&lt;year&gt;2009&lt;/year&gt;&lt;/dates&gt;&lt;isbn&gt;0036-8075&lt;/isbn&gt;&lt;urls&gt;&lt;/urls&gt;&lt;/record&gt;&lt;/Cite&gt;&lt;/EndNote&gt;</w:instrText>
      </w:r>
      <w:r>
        <w:rPr>
          <w:rFonts w:cs="Arial"/>
          <w:szCs w:val="22"/>
        </w:rPr>
        <w:fldChar w:fldCharType="separate"/>
      </w:r>
      <w:r w:rsidR="00282AF2" w:rsidRPr="00282AF2">
        <w:rPr>
          <w:rFonts w:cs="Arial"/>
          <w:noProof/>
          <w:szCs w:val="22"/>
          <w:vertAlign w:val="superscript"/>
        </w:rPr>
        <w:t>1,2</w:t>
      </w:r>
      <w:r>
        <w:rPr>
          <w:rFonts w:cs="Arial"/>
          <w:szCs w:val="22"/>
        </w:rPr>
        <w:fldChar w:fldCharType="end"/>
      </w:r>
      <w:r w:rsidRPr="00FA13BF">
        <w:rPr>
          <w:rFonts w:cs="Arial"/>
          <w:szCs w:val="22"/>
        </w:rPr>
        <w:t>. In contrast, under DAC conditions, the extremely low CO</w:t>
      </w:r>
      <w:r w:rsidRPr="00FA13BF">
        <w:rPr>
          <w:rFonts w:ascii="Cambria Math" w:hAnsi="Cambria Math" w:cs="Cambria Math"/>
          <w:szCs w:val="22"/>
        </w:rPr>
        <w:t>₂</w:t>
      </w:r>
      <w:r w:rsidRPr="00FA13BF">
        <w:rPr>
          <w:rFonts w:cs="Arial"/>
          <w:szCs w:val="22"/>
        </w:rPr>
        <w:t xml:space="preserve"> concentration, combined with significant thermodynamic and mass-transfer limitations, makes the economic competitiveness of amine-based systems highly debated</w:t>
      </w:r>
      <w:r>
        <w:rPr>
          <w:rFonts w:cs="Arial"/>
          <w:szCs w:val="22"/>
        </w:rPr>
        <w:fldChar w:fldCharType="begin"/>
      </w:r>
      <w:r w:rsidR="00282AF2">
        <w:rPr>
          <w:rFonts w:cs="Arial"/>
          <w:szCs w:val="22"/>
        </w:rPr>
        <w:instrText xml:space="preserve"> ADDIN EN.CITE &lt;EndNote&gt;&lt;Cite&gt;&lt;Author&gt;Wilcox&lt;/Author&gt;&lt;Year&gt;2026&lt;/Year&gt;&lt;RecNum&gt;379&lt;/RecNum&gt;&lt;DisplayText&gt;&lt;style face="superscript"&gt;3&lt;/style&gt;&lt;/DisplayText&gt;&lt;record&gt;&lt;rec-number&gt;379&lt;/rec-number&gt;&lt;foreign-keys&gt;&lt;key app="EN" db-id="0e5tz0z0ke5t29ex5r955wd3advpxrsstet0" timestamp="1773240815" guid="26ad35c7-b376-406b-b867-e49c7ac1719b"&gt;379&lt;/key&gt;&lt;/foreign-keys&gt;&lt;ref-type name="Journal Article"&gt;17&lt;/ref-type&gt;&lt;contributors&gt;&lt;authors&gt;&lt;author&gt;Wilcox, Jennifer&lt;/author&gt;&lt;/authors&gt;&lt;/contributors&gt;&lt;titles&gt;&lt;title&gt;Collaboration can secure carbon capture’s future&lt;/title&gt;&lt;secondary-title&gt;Nature Energy&lt;/secondary-title&gt;&lt;/titles&gt;&lt;periodical&gt;&lt;full-title&gt;Nature Energy&lt;/full-title&gt;&lt;/periodical&gt;&lt;pages&gt;9-10&lt;/pages&gt;&lt;volume&gt;11&lt;/volume&gt;&lt;number&gt;1&lt;/number&gt;&lt;dates&gt;&lt;year&gt;2026&lt;/year&gt;&lt;/dates&gt;&lt;isbn&gt;2058-7546&lt;/isbn&gt;&lt;urls&gt;&lt;/urls&gt;&lt;/record&gt;&lt;/Cite&gt;&lt;/EndNote&gt;</w:instrText>
      </w:r>
      <w:r>
        <w:rPr>
          <w:rFonts w:cs="Arial"/>
          <w:szCs w:val="22"/>
        </w:rPr>
        <w:fldChar w:fldCharType="separate"/>
      </w:r>
      <w:r w:rsidR="00282AF2" w:rsidRPr="00282AF2">
        <w:rPr>
          <w:rFonts w:cs="Arial"/>
          <w:noProof/>
          <w:szCs w:val="22"/>
          <w:vertAlign w:val="superscript"/>
        </w:rPr>
        <w:t>3</w:t>
      </w:r>
      <w:r>
        <w:rPr>
          <w:rFonts w:cs="Arial"/>
          <w:szCs w:val="22"/>
        </w:rPr>
        <w:fldChar w:fldCharType="end"/>
      </w:r>
      <w:r w:rsidRPr="00FA13BF">
        <w:rPr>
          <w:rFonts w:cs="Arial"/>
          <w:szCs w:val="22"/>
        </w:rPr>
        <w:t>. Therefore, the discussion in this study is restricted to post-combustion capture conditions relevant to coal-fired power plants.</w:t>
      </w:r>
    </w:p>
    <w:p w14:paraId="07CC53A4" w14:textId="5884AE7B" w:rsidR="00FB5E7F" w:rsidRPr="00FA13BF" w:rsidRDefault="00FB5E7F" w:rsidP="00FB5E7F">
      <w:pPr>
        <w:spacing w:line="360" w:lineRule="auto"/>
        <w:ind w:firstLine="420"/>
        <w:rPr>
          <w:rFonts w:cs="Arial"/>
          <w:szCs w:val="22"/>
        </w:rPr>
      </w:pPr>
      <w:r w:rsidRPr="00FA13BF">
        <w:rPr>
          <w:rFonts w:cs="Arial"/>
          <w:szCs w:val="22"/>
        </w:rPr>
        <w:t xml:space="preserve">This research scope also reflects practical constraints within current energy systems. Although renewable energy sources such as hydropower, nuclear, wind, and solar are widely regarded as ideal pathways for reducing carbon emissions, their large-scale substitution for thermal power generation still faces multiple challenges. For instance, wind and solar power generation are strongly affected by climatic conditions; hydropower development is constrained by hydrological and ecological limitations; and nuclear power involves relatively high construction and safety management costs. In comparison, coal-fired power generation is technologically mature, cost-effective, and operationally stable, with relatively low dependence on natural conditions. Moreover, even in power systems with significantly increased renewable penetration, </w:t>
      </w:r>
      <w:r w:rsidRPr="00FA13BF">
        <w:rPr>
          <w:rFonts w:cs="Arial"/>
          <w:szCs w:val="22"/>
        </w:rPr>
        <w:lastRenderedPageBreak/>
        <w:t>thermal power units continue to play an essential role in maintaining grid stability and providing load balancing, particularly under extreme weather conditions or during large fluctuations in electricity demand</w:t>
      </w:r>
      <w:r>
        <w:rPr>
          <w:rFonts w:cs="Arial"/>
          <w:szCs w:val="22"/>
        </w:rPr>
        <w:fldChar w:fldCharType="begin"/>
      </w:r>
      <w:r w:rsidR="00282AF2">
        <w:rPr>
          <w:rFonts w:cs="Arial"/>
          <w:szCs w:val="22"/>
        </w:rPr>
        <w:instrText xml:space="preserve"> ADDIN EN.CITE &lt;EndNote&gt;&lt;Cite&gt;&lt;Author&gt;Jia&lt;/Author&gt;&lt;Year&gt;2019&lt;/Year&gt;&lt;RecNum&gt;380&lt;/RecNum&gt;&lt;DisplayText&gt;&lt;style face="superscript"&gt;4,5&lt;/style&gt;&lt;/DisplayText&gt;&lt;record&gt;&lt;rec-number&gt;380&lt;/rec-number&gt;&lt;foreign-keys&gt;&lt;key app="EN" db-id="0e5tz0z0ke5t29ex5r955wd3advpxrsstet0" timestamp="1773241324" guid="21573225-2882-4f84-88ac-c6c9256ba4a2"&gt;380&lt;/key&gt;&lt;/foreign-keys&gt;&lt;ref-type name="Journal Article"&gt;17&lt;/ref-type&gt;&lt;contributors&gt;&lt;authors&gt;&lt;author&gt;Jia, Bao&lt;/author&gt;&lt;author&gt;Tsau, Jyun-Syung&lt;/author&gt;&lt;author&gt;Barati, Reza&lt;/author&gt;&lt;/authors&gt;&lt;/contributors&gt;&lt;titles&gt;&lt;title&gt;A review of the current progress of CO2 injection EOR and carbon storage in shale oil reservoirs&lt;/title&gt;&lt;secondary-title&gt;Fuel&lt;/secondary-title&gt;&lt;/titles&gt;&lt;periodical&gt;&lt;full-title&gt;Fuel&lt;/full-title&gt;&lt;/periodical&gt;&lt;pages&gt;404-427&lt;/pages&gt;&lt;volume&gt;236&lt;/volume&gt;&lt;dates&gt;&lt;year&gt;2019&lt;/year&gt;&lt;/dates&gt;&lt;isbn&gt;0016-2361&lt;/isbn&gt;&lt;urls&gt;&lt;/urls&gt;&lt;/record&gt;&lt;/Cite&gt;&lt;Cite&gt;&lt;Author&gt;Bachu&lt;/Author&gt;&lt;Year&gt;2015&lt;/Year&gt;&lt;RecNum&gt;381&lt;/RecNum&gt;&lt;record&gt;&lt;rec-number&gt;381&lt;/rec-number&gt;&lt;foreign-keys&gt;&lt;key app="EN" db-id="0e5tz0z0ke5t29ex5r955wd3advpxrsstet0" timestamp="1773241372" guid="f1fe6fcd-9b70-41b1-9bfa-0bc6ca288c1a"&gt;381&lt;/key&gt;&lt;/foreign-keys&gt;&lt;ref-type name="Journal Article"&gt;17&lt;/ref-type&gt;&lt;contributors&gt;&lt;authors&gt;&lt;author&gt;Bachu, Stefan&lt;/author&gt;&lt;/authors&gt;&lt;/contributors&gt;&lt;titles&gt;&lt;title&gt;Review of CO2 storage efficiency in deep saline aquifers&lt;/title&gt;&lt;secondary-title&gt;International Journal of Greenhouse Gas Control&lt;/secondary-title&gt;&lt;/titles&gt;&lt;periodical&gt;&lt;full-title&gt;International Journal of Greenhouse Gas Control&lt;/full-title&gt;&lt;/periodical&gt;&lt;pages&gt;188-202&lt;/pages&gt;&lt;volume&gt;40&lt;/volume&gt;&lt;dates&gt;&lt;year&gt;2015&lt;/year&gt;&lt;/dates&gt;&lt;isbn&gt;1750-5836&lt;/isbn&gt;&lt;urls&gt;&lt;/urls&gt;&lt;/record&gt;&lt;/Cite&gt;&lt;/EndNote&gt;</w:instrText>
      </w:r>
      <w:r>
        <w:rPr>
          <w:rFonts w:cs="Arial"/>
          <w:szCs w:val="22"/>
        </w:rPr>
        <w:fldChar w:fldCharType="separate"/>
      </w:r>
      <w:r w:rsidR="00282AF2" w:rsidRPr="00282AF2">
        <w:rPr>
          <w:rFonts w:cs="Arial"/>
          <w:noProof/>
          <w:szCs w:val="22"/>
          <w:vertAlign w:val="superscript"/>
        </w:rPr>
        <w:t>4,5</w:t>
      </w:r>
      <w:r>
        <w:rPr>
          <w:rFonts w:cs="Arial"/>
          <w:szCs w:val="22"/>
        </w:rPr>
        <w:fldChar w:fldCharType="end"/>
      </w:r>
      <w:r w:rsidRPr="00FA13BF">
        <w:rPr>
          <w:rFonts w:cs="Arial"/>
          <w:szCs w:val="22"/>
        </w:rPr>
        <w:t>. As a result, coal-fired power generation is expected to remain an important component of energy systems for the foreseeable future, and its associated carbon emissions will continue to pose a structural challenge.</w:t>
      </w:r>
    </w:p>
    <w:p w14:paraId="44B16DAE" w14:textId="451D0EDB" w:rsidR="00FB5E7F" w:rsidRPr="00FA13BF" w:rsidRDefault="00FB5E7F" w:rsidP="00FB5E7F">
      <w:pPr>
        <w:spacing w:line="360" w:lineRule="auto"/>
        <w:ind w:firstLine="420"/>
        <w:rPr>
          <w:rFonts w:cs="Arial"/>
          <w:szCs w:val="22"/>
        </w:rPr>
      </w:pPr>
      <w:r w:rsidRPr="00FA13BF">
        <w:rPr>
          <w:rFonts w:cs="Arial"/>
          <w:szCs w:val="22"/>
        </w:rPr>
        <w:t xml:space="preserve">China provides a representative example of this structural issue. </w:t>
      </w:r>
      <w:r w:rsidRPr="00575521">
        <w:rPr>
          <w:rFonts w:cs="Arial"/>
          <w:szCs w:val="22"/>
        </w:rPr>
        <w:t>As renewable energy has expanded rapidly, the share of coal-fired power generation in China’s electricity mix has declined from 59% in 2019 to 47% in 2024. However, this reduction in share has not translated into a comparable decrease in carbon emissions.</w:t>
      </w:r>
      <w:r>
        <w:rPr>
          <w:rFonts w:cs="Arial" w:hint="eastAsia"/>
          <w:szCs w:val="22"/>
        </w:rPr>
        <w:t xml:space="preserve"> </w:t>
      </w:r>
      <w:r w:rsidRPr="00FA13BF">
        <w:rPr>
          <w:rFonts w:cs="Arial"/>
          <w:szCs w:val="22"/>
        </w:rPr>
        <w:t>During the same period, installed coal-fired capacity increased from 1.19 TW to 1.39 TW, meaning that the absolute scale of coal-related emissions remains substantial. In 2023, CO</w:t>
      </w:r>
      <w:r w:rsidRPr="00FA13BF">
        <w:rPr>
          <w:rFonts w:ascii="Cambria Math" w:hAnsi="Cambria Math" w:cs="Cambria Math"/>
          <w:szCs w:val="22"/>
        </w:rPr>
        <w:t>₂</w:t>
      </w:r>
      <w:r w:rsidRPr="00FA13BF">
        <w:rPr>
          <w:rFonts w:cs="Arial"/>
          <w:szCs w:val="22"/>
        </w:rPr>
        <w:t xml:space="preserve"> emissions from China’s coal-fired power generation reached approximately 4.19 billion tons, accounting for roughly 44% of the country’s total emissions</w:t>
      </w:r>
      <w:r>
        <w:rPr>
          <w:rFonts w:cs="Arial"/>
          <w:szCs w:val="22"/>
        </w:rPr>
        <w:fldChar w:fldCharType="begin">
          <w:fldData xml:space="preserve">PEVuZE5vdGU+PENpdGU+PFllYXI+MjAyNDwvWWVhcj48UmVjTnVtPjM3ODwvUmVjTnVtPjxEaXNw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</w:fldData>
        </w:fldChar>
      </w:r>
      <w:r w:rsidR="00282AF2">
        <w:rPr>
          <w:rFonts w:cs="Arial"/>
          <w:szCs w:val="22"/>
        </w:rPr>
        <w:instrText xml:space="preserve"> ADDIN EN.CITE </w:instrText>
      </w:r>
      <w:r w:rsidR="00282AF2">
        <w:rPr>
          <w:rFonts w:cs="Arial"/>
          <w:szCs w:val="22"/>
        </w:rPr>
        <w:fldChar w:fldCharType="begin">
          <w:fldData xml:space="preserve">PEVuZE5vdGU+PENpdGU+PFllYXI+MjAyNDwvWWVhcj48UmVjTnVtPjM3ODwvUmVjTnVtPjxEaXNw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</w:fldData>
        </w:fldChar>
      </w:r>
      <w:r w:rsidR="00282AF2">
        <w:rPr>
          <w:rFonts w:cs="Arial"/>
          <w:szCs w:val="22"/>
        </w:rPr>
        <w:instrText xml:space="preserve"> ADDIN EN.CITE.DATA </w:instrText>
      </w:r>
      <w:r w:rsidR="00282AF2">
        <w:rPr>
          <w:rFonts w:cs="Arial"/>
          <w:szCs w:val="22"/>
        </w:rPr>
      </w:r>
      <w:r w:rsidR="00282AF2">
        <w:rPr>
          <w:rFonts w:cs="Arial"/>
          <w:szCs w:val="22"/>
        </w:rPr>
        <w:fldChar w:fldCharType="end"/>
      </w:r>
      <w:r>
        <w:rPr>
          <w:rFonts w:cs="Arial"/>
          <w:szCs w:val="22"/>
        </w:rPr>
      </w:r>
      <w:r>
        <w:rPr>
          <w:rFonts w:cs="Arial"/>
          <w:szCs w:val="22"/>
        </w:rPr>
        <w:fldChar w:fldCharType="separate"/>
      </w:r>
      <w:r w:rsidR="00282AF2" w:rsidRPr="00282AF2">
        <w:rPr>
          <w:rFonts w:cs="Arial"/>
          <w:noProof/>
          <w:szCs w:val="22"/>
          <w:vertAlign w:val="superscript"/>
        </w:rPr>
        <w:t>6-9</w:t>
      </w:r>
      <w:r>
        <w:rPr>
          <w:rFonts w:cs="Arial"/>
          <w:szCs w:val="22"/>
        </w:rPr>
        <w:fldChar w:fldCharType="end"/>
      </w:r>
      <w:r w:rsidRPr="00FA13BF">
        <w:rPr>
          <w:rFonts w:cs="Arial"/>
          <w:szCs w:val="22"/>
        </w:rPr>
        <w:t>. This phenomenon—declining proportional share but persistently large absolute emissions—further highlights the importance of mitigating emissions from coal-fired power plants.</w:t>
      </w:r>
    </w:p>
    <w:p w14:paraId="65C98167" w14:textId="4025461D" w:rsidR="00FB5E7F" w:rsidRPr="00FA13BF" w:rsidRDefault="00FB5E7F" w:rsidP="00FB5E7F">
      <w:pPr>
        <w:spacing w:line="360" w:lineRule="auto"/>
        <w:ind w:firstLine="420"/>
        <w:rPr>
          <w:rFonts w:cs="Arial"/>
          <w:szCs w:val="22"/>
        </w:rPr>
      </w:pPr>
      <w:r w:rsidRPr="00FA13BF">
        <w:rPr>
          <w:rFonts w:cs="Arial"/>
          <w:szCs w:val="22"/>
        </w:rPr>
        <w:t>In addressing decarbonization demands in coal-fired power generation, carbon capture technologies are generally categorized into pre-combustion capture, oxy-fuel combustion capture, and post-combustion capture. Among these options, post-combustion capture is considered the most practically deployable pathway at large scale, primarily because it directly treats flue gas streams and is therefore more compatible with existing power plant infrastructure. Several technological routes for post-combustion capture have been explored, including adsorption separation, membrane separation, and chemical absorption. Adsorption-based technologies, such as temperature–vacuum swing adsorption (TVSA/VPSA), combine the principles of TSA and VSA and offer relatively low capital investment and good operational flexibility. However, their application in large coal-fired power plants is still limited by scale and upscaling challenges. Membrane separation has also been proposed as a promising option for post-combustion capture, as it avoids chemical solvents and may provide moderate capital costs. Nevertheless, most membrane systems remain at the research and development stage and have not yet achieved widespread industrial deployment. At present, chemical absorption based on amine solvents remains the most mature and widely applied technology for post-combustion CO</w:t>
      </w:r>
      <w:r w:rsidRPr="00FA13BF">
        <w:rPr>
          <w:rFonts w:ascii="Cambria Math" w:hAnsi="Cambria Math" w:cs="Cambria Math"/>
          <w:szCs w:val="22"/>
        </w:rPr>
        <w:t>₂</w:t>
      </w:r>
      <w:r w:rsidRPr="00FA13BF">
        <w:rPr>
          <w:rFonts w:cs="Arial"/>
          <w:szCs w:val="22"/>
        </w:rPr>
        <w:t xml:space="preserve"> </w:t>
      </w:r>
      <w:r w:rsidRPr="00FA13BF">
        <w:rPr>
          <w:rFonts w:cs="Arial"/>
          <w:szCs w:val="22"/>
        </w:rPr>
        <w:lastRenderedPageBreak/>
        <w:t>capture in coal-fired power plants. Several commercial processes, including the KMALC process, the Fluor Econamine FG Plus process, and the KM-CDR technology, have already been implemented at industrial scale</w:t>
      </w:r>
      <w:r>
        <w:rPr>
          <w:rFonts w:cs="Arial"/>
          <w:szCs w:val="22"/>
        </w:rPr>
        <w:fldChar w:fldCharType="begin"/>
      </w:r>
      <w:r w:rsidR="00282AF2">
        <w:rPr>
          <w:rFonts w:cs="Arial"/>
          <w:szCs w:val="22"/>
        </w:rPr>
        <w:instrText xml:space="preserve"> ADDIN EN.CITE &lt;EndNote&gt;&lt;Cite&gt;&lt;Author&gt;Chao&lt;/Author&gt;&lt;Year&gt;2021&lt;/Year&gt;&lt;RecNum&gt;382&lt;/RecNum&gt;&lt;DisplayText&gt;&lt;style face="superscript"&gt;10,11&lt;/style&gt;&lt;/DisplayText&gt;&lt;record&gt;&lt;rec-number&gt;382&lt;/rec-number&gt;&lt;foreign-keys&gt;&lt;key app="EN" db-id="0e5tz0z0ke5t29ex5r955wd3advpxrsstet0" timestamp="1773241830" guid="7f4f7948-3eff-443a-85cc-ad914a5af93d"&gt;382&lt;/key&gt;&lt;/foreign-keys&gt;&lt;ref-type name="Journal Article"&gt;17&lt;/ref-type&gt;&lt;contributors&gt;&lt;authors&gt;&lt;author&gt;Chao, Cong&lt;/author&gt;&lt;author&gt;Deng, Yimin&lt;/author&gt;&lt;author&gt;Dewil, Raf&lt;/author&gt;&lt;author&gt;Baeyens, Jan&lt;/author&gt;&lt;author&gt;Fan, Xianfeng&lt;/author&gt;&lt;/authors&gt;&lt;/contributors&gt;&lt;titles&gt;&lt;title&gt;Post-combustion carbon capture&lt;/title&gt;&lt;secondary-title&gt;Renewable and Sustainable Energy Reviews&lt;/secondary-title&gt;&lt;/titles&gt;&lt;periodical&gt;&lt;full-title&gt;Renewable and Sustainable Energy Reviews&lt;/full-title&gt;&lt;/periodical&gt;&lt;pages&gt;110490&lt;/pages&gt;&lt;volume&gt;138&lt;/volume&gt;&lt;dates&gt;&lt;year&gt;2021&lt;/year&gt;&lt;/dates&gt;&lt;isbn&gt;1364-0321&lt;/isbn&gt;&lt;urls&gt;&lt;/urls&gt;&lt;/record&gt;&lt;/Cite&gt;&lt;Cite&gt;&lt;Author&gt;Azar&lt;/Author&gt;&lt;Year&gt;2006&lt;/Year&gt;&lt;RecNum&gt;383&lt;/RecNum&gt;&lt;record&gt;&lt;rec-number&gt;383&lt;/rec-number&gt;&lt;foreign-keys&gt;&lt;key app="EN" db-id="0e5tz0z0ke5t29ex5r955wd3advpxrsstet0" timestamp="1773242301" guid="8e96fffe-01e9-4aaa-907b-c39c940deeac"&gt;383&lt;/key&gt;&lt;/foreign-keys&gt;&lt;ref-type name="Journal Article"&gt;17&lt;/ref-type&gt;&lt;contributors&gt;&lt;authors&gt;&lt;author&gt;Azar, Christian&lt;/author&gt;&lt;author&gt;Lindgren, Kristian&lt;/author&gt;&lt;author&gt;Larson, Eric&lt;/author&gt;&lt;author&gt;Möllersten, Kenneth&lt;/author&gt;&lt;/authors&gt;&lt;/contributors&gt;&lt;titles&gt;&lt;title&gt;Carbon capture and storage from fossil fuels and biomass–costs and potential role in stabilizing the atmosphere&lt;/title&gt;&lt;secondary-title&gt;Climatic change&lt;/secondary-title&gt;&lt;/titles&gt;&lt;periodical&gt;&lt;full-title&gt;Climatic change&lt;/full-title&gt;&lt;/periodical&gt;&lt;pages&gt;47-79&lt;/pages&gt;&lt;volume&gt;74&lt;/volume&gt;&lt;number&gt;1&lt;/number&gt;&lt;dates&gt;&lt;year&gt;2006&lt;/year&gt;&lt;/dates&gt;&lt;isbn&gt;0165-0009&lt;/isbn&gt;&lt;urls&gt;&lt;/urls&gt;&lt;/record&gt;&lt;/Cite&gt;&lt;/EndNote&gt;</w:instrText>
      </w:r>
      <w:r>
        <w:rPr>
          <w:rFonts w:cs="Arial"/>
          <w:szCs w:val="22"/>
        </w:rPr>
        <w:fldChar w:fldCharType="separate"/>
      </w:r>
      <w:r w:rsidR="00282AF2" w:rsidRPr="00282AF2">
        <w:rPr>
          <w:rFonts w:cs="Arial"/>
          <w:noProof/>
          <w:szCs w:val="22"/>
          <w:vertAlign w:val="superscript"/>
        </w:rPr>
        <w:t>10,11</w:t>
      </w:r>
      <w:r>
        <w:rPr>
          <w:rFonts w:cs="Arial"/>
          <w:szCs w:val="22"/>
        </w:rPr>
        <w:fldChar w:fldCharType="end"/>
      </w:r>
      <w:r w:rsidRPr="00FA13BF">
        <w:rPr>
          <w:rFonts w:cs="Arial"/>
          <w:szCs w:val="22"/>
        </w:rPr>
        <w:t>. However, the major bottleneck of this technology lies in the high energy demand required for solvent regeneration, which significantly increases operational costs.</w:t>
      </w:r>
    </w:p>
    <w:p w14:paraId="2C0B3958" w14:textId="04508177" w:rsidR="00FB5E7F" w:rsidRPr="00FB5E7F" w:rsidRDefault="00FB5E7F" w:rsidP="00FB5E7F">
      <w:pPr>
        <w:spacing w:line="360" w:lineRule="auto"/>
        <w:ind w:firstLine="420"/>
        <w:rPr>
          <w:rFonts w:cs="Arial"/>
          <w:szCs w:val="22"/>
        </w:rPr>
      </w:pPr>
      <w:r w:rsidRPr="00FA13BF">
        <w:rPr>
          <w:rFonts w:cs="Arial"/>
          <w:szCs w:val="22"/>
        </w:rPr>
        <w:t xml:space="preserve">Therefore, regulating the amine absorption–regeneration cycle through the EDL structure generated by </w:t>
      </w:r>
      <w:r w:rsidR="00015B6B" w:rsidRPr="00A86891">
        <w:rPr>
          <w:rFonts w:cs="Arial"/>
          <w:szCs w:val="22"/>
        </w:rPr>
        <w:t>micro-interfaces (MIS)</w:t>
      </w:r>
      <w:r w:rsidRPr="00FA13BF">
        <w:rPr>
          <w:rFonts w:cs="Arial"/>
          <w:szCs w:val="22"/>
        </w:rPr>
        <w:t xml:space="preserve"> not only provides a mechanistic validation of the chemical advantages associated with interfacial free-energy reconstruction but also offers a potentially viable engineering pathway for reducing the energy consumption and cost of CO</w:t>
      </w:r>
      <w:r w:rsidRPr="00FA13BF">
        <w:rPr>
          <w:rFonts w:ascii="Cambria Math" w:hAnsi="Cambria Math" w:cs="Cambria Math"/>
          <w:szCs w:val="22"/>
        </w:rPr>
        <w:t>₂</w:t>
      </w:r>
      <w:r w:rsidRPr="00FA13BF">
        <w:rPr>
          <w:rFonts w:cs="Arial"/>
          <w:szCs w:val="22"/>
        </w:rPr>
        <w:t xml:space="preserve"> capture. From an engineering perspective, MIS units can be integrated as external intensification modules into conventional absorption–regeneration process flows, as illustrated in the main text, thereby lowering barriers to technology implementation and deployment.</w:t>
      </w:r>
    </w:p>
    <w:p w14:paraId="58198A88" w14:textId="3607A822" w:rsidR="00863369" w:rsidRPr="00863369" w:rsidRDefault="00863369" w:rsidP="00863369">
      <w:pPr>
        <w:spacing w:line="480" w:lineRule="auto"/>
        <w:rPr>
          <w:rFonts w:eastAsia="KaiTi" w:cs="Arial"/>
          <w:b/>
          <w:bCs/>
          <w:szCs w:val="21"/>
        </w:rPr>
      </w:pPr>
      <w:r>
        <w:rPr>
          <w:rFonts w:eastAsia="KaiTi" w:cs="Arial" w:hint="eastAsia"/>
          <w:b/>
          <w:bCs/>
          <w:szCs w:val="21"/>
        </w:rPr>
        <w:t>1.</w:t>
      </w:r>
      <w:r w:rsidR="00FB5E7F">
        <w:rPr>
          <w:rFonts w:eastAsia="KaiTi" w:cs="Arial" w:hint="eastAsia"/>
          <w:b/>
          <w:bCs/>
          <w:szCs w:val="21"/>
        </w:rPr>
        <w:t>2</w:t>
      </w:r>
      <w:r>
        <w:rPr>
          <w:rFonts w:eastAsia="KaiTi" w:cs="Arial" w:hint="eastAsia"/>
          <w:b/>
          <w:bCs/>
          <w:szCs w:val="21"/>
        </w:rPr>
        <w:t xml:space="preserve"> </w:t>
      </w:r>
      <w:r w:rsidRPr="00863369">
        <w:rPr>
          <w:rFonts w:eastAsia="KaiTi" w:cs="Arial"/>
          <w:b/>
          <w:bCs/>
          <w:szCs w:val="21"/>
        </w:rPr>
        <w:t xml:space="preserve">Interfacial </w:t>
      </w:r>
      <w:r w:rsidRPr="00863369">
        <w:rPr>
          <w:rFonts w:eastAsia="KaiTi" w:cs="Arial" w:hint="eastAsia"/>
          <w:b/>
          <w:bCs/>
          <w:szCs w:val="21"/>
        </w:rPr>
        <w:t>r</w:t>
      </w:r>
      <w:r w:rsidRPr="00863369">
        <w:rPr>
          <w:rFonts w:eastAsia="KaiTi" w:cs="Arial"/>
          <w:b/>
          <w:bCs/>
          <w:szCs w:val="21"/>
        </w:rPr>
        <w:t>eaction pathways in MIS</w:t>
      </w:r>
    </w:p>
    <w:p w14:paraId="41A26FDA" w14:textId="17DD5FD2" w:rsidR="00584295" w:rsidRDefault="00242CB4" w:rsidP="00B37FEE">
      <w:pPr>
        <w:spacing w:line="360" w:lineRule="auto"/>
        <w:ind w:firstLine="420"/>
        <w:rPr>
          <w:rFonts w:cs="Arial"/>
          <w:szCs w:val="22"/>
        </w:rPr>
      </w:pPr>
      <w:r w:rsidRPr="00B37FEE">
        <w:rPr>
          <w:rFonts w:cs="Arial"/>
          <w:szCs w:val="22"/>
        </w:rPr>
        <w:t>As discussed in the main text, the gas–water interface can rectify transient local electrostatic potentials present in the bulk phase and stabilize them into a functional electric double layer (EDL, Fig. 1a)</w:t>
      </w:r>
      <w:r w:rsidR="00570050">
        <w:rPr>
          <w:rFonts w:cs="Arial"/>
          <w:szCs w:val="22"/>
        </w:rPr>
        <w:fldChar w:fldCharType="begin">
          <w:fldData xml:space="preserve">PEVuZE5vdGU+PENpdGU+PEF1dGhvcj5HdW88L0F1dGhvcj48WWVhcj4yMDI1PC9ZZWFyPjxSZWNO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</w:fldData>
        </w:fldChar>
      </w:r>
      <w:r w:rsidR="00282AF2">
        <w:rPr>
          <w:rFonts w:cs="Arial"/>
          <w:szCs w:val="22"/>
        </w:rPr>
        <w:instrText xml:space="preserve"> ADDIN EN.CITE </w:instrText>
      </w:r>
      <w:r w:rsidR="00282AF2">
        <w:rPr>
          <w:rFonts w:cs="Arial"/>
          <w:szCs w:val="22"/>
        </w:rPr>
        <w:fldChar w:fldCharType="begin">
          <w:fldData xml:space="preserve">PEVuZE5vdGU+PENpdGU+PEF1dGhvcj5HdW88L0F1dGhvcj48WWVhcj4yMDI1PC9ZZWFyPjxSZWNO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</w:fldData>
        </w:fldChar>
      </w:r>
      <w:r w:rsidR="00282AF2">
        <w:rPr>
          <w:rFonts w:cs="Arial"/>
          <w:szCs w:val="22"/>
        </w:rPr>
        <w:instrText xml:space="preserve"> ADDIN EN.CITE.DATA </w:instrText>
      </w:r>
      <w:r w:rsidR="00282AF2">
        <w:rPr>
          <w:rFonts w:cs="Arial"/>
          <w:szCs w:val="22"/>
        </w:rPr>
      </w:r>
      <w:r w:rsidR="00282AF2">
        <w:rPr>
          <w:rFonts w:cs="Arial"/>
          <w:szCs w:val="22"/>
        </w:rPr>
        <w:fldChar w:fldCharType="end"/>
      </w:r>
      <w:r w:rsidR="00570050">
        <w:rPr>
          <w:rFonts w:cs="Arial"/>
          <w:szCs w:val="22"/>
        </w:rPr>
      </w:r>
      <w:r w:rsidR="00570050">
        <w:rPr>
          <w:rFonts w:cs="Arial"/>
          <w:szCs w:val="22"/>
        </w:rPr>
        <w:fldChar w:fldCharType="separate"/>
      </w:r>
      <w:r w:rsidR="00282AF2" w:rsidRPr="00282AF2">
        <w:rPr>
          <w:rFonts w:cs="Arial"/>
          <w:noProof/>
          <w:szCs w:val="22"/>
          <w:vertAlign w:val="superscript"/>
        </w:rPr>
        <w:t>12-16</w:t>
      </w:r>
      <w:r w:rsidR="00570050">
        <w:rPr>
          <w:rFonts w:cs="Arial"/>
          <w:szCs w:val="22"/>
        </w:rPr>
        <w:fldChar w:fldCharType="end"/>
      </w:r>
      <w:r w:rsidRPr="00B37FEE">
        <w:rPr>
          <w:rFonts w:cs="Arial"/>
          <w:szCs w:val="22"/>
        </w:rPr>
        <w:t xml:space="preserve">. The high curvature associated with </w:t>
      </w:r>
      <w:r w:rsidR="006837BE" w:rsidRPr="00B37FEE">
        <w:rPr>
          <w:rFonts w:cs="Arial"/>
          <w:szCs w:val="22"/>
        </w:rPr>
        <w:t>microdroplets,</w:t>
      </w:r>
      <w:r w:rsidRPr="00B37FEE">
        <w:rPr>
          <w:rFonts w:cs="Arial"/>
          <w:szCs w:val="22"/>
        </w:rPr>
        <w:t xml:space="preserve"> or microbubbles further amplifies this potential distribution</w:t>
      </w:r>
      <w:r w:rsidR="00D96189">
        <w:rPr>
          <w:rFonts w:cs="Arial"/>
          <w:szCs w:val="22"/>
        </w:rPr>
        <w:fldChar w:fldCharType="begin">
          <w:fldData xml:space="preserve">PEVuZE5vdGU+PENpdGU+PEF1dGhvcj5YaWE8L0F1dGhvcj48WWVhcj4yMDI1PC9ZZWFyPjxSZWNO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cGVyaW9kaWNhbD48dm9sdW1lPjEyMjwvdm9sdW1lPjxudW1iZXI+NTA8L251bWJlcj48ZGF0ZXM+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</w:fldData>
        </w:fldChar>
      </w:r>
      <w:r w:rsidR="00282AF2">
        <w:rPr>
          <w:rFonts w:cs="Arial"/>
          <w:szCs w:val="22"/>
        </w:rPr>
        <w:instrText xml:space="preserve"> ADDIN EN.CITE </w:instrText>
      </w:r>
      <w:r w:rsidR="00282AF2">
        <w:rPr>
          <w:rFonts w:cs="Arial"/>
          <w:szCs w:val="22"/>
        </w:rPr>
        <w:fldChar w:fldCharType="begin">
          <w:fldData xml:space="preserve">PEVuZE5vdGU+PENpdGU+PEF1dGhvcj5YaWE8L0F1dGhvcj48WWVhcj4yMDI1PC9ZZWFyPjxSZWNO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cGVyaW9kaWNhbD48dm9sdW1lPjEyMjwvdm9sdW1lPjxudW1iZXI+NTA8L251bWJlcj48ZGF0ZXM+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</w:fldData>
        </w:fldChar>
      </w:r>
      <w:r w:rsidR="00282AF2">
        <w:rPr>
          <w:rFonts w:cs="Arial"/>
          <w:szCs w:val="22"/>
        </w:rPr>
        <w:instrText xml:space="preserve"> ADDIN EN.CITE.DATA </w:instrText>
      </w:r>
      <w:r w:rsidR="00282AF2">
        <w:rPr>
          <w:rFonts w:cs="Arial"/>
          <w:szCs w:val="22"/>
        </w:rPr>
      </w:r>
      <w:r w:rsidR="00282AF2">
        <w:rPr>
          <w:rFonts w:cs="Arial"/>
          <w:szCs w:val="22"/>
        </w:rPr>
        <w:fldChar w:fldCharType="end"/>
      </w:r>
      <w:r w:rsidR="00D96189">
        <w:rPr>
          <w:rFonts w:cs="Arial"/>
          <w:szCs w:val="22"/>
        </w:rPr>
      </w:r>
      <w:r w:rsidR="00D96189">
        <w:rPr>
          <w:rFonts w:cs="Arial"/>
          <w:szCs w:val="22"/>
        </w:rPr>
        <w:fldChar w:fldCharType="separate"/>
      </w:r>
      <w:r w:rsidR="00282AF2" w:rsidRPr="00282AF2">
        <w:rPr>
          <w:rFonts w:cs="Arial"/>
          <w:noProof/>
          <w:szCs w:val="22"/>
          <w:vertAlign w:val="superscript"/>
        </w:rPr>
        <w:t>17,18</w:t>
      </w:r>
      <w:r w:rsidR="00D96189">
        <w:rPr>
          <w:rFonts w:cs="Arial"/>
          <w:szCs w:val="22"/>
        </w:rPr>
        <w:fldChar w:fldCharType="end"/>
      </w:r>
      <w:r w:rsidRPr="00B37FEE">
        <w:rPr>
          <w:rFonts w:cs="Arial"/>
          <w:szCs w:val="22"/>
        </w:rPr>
        <w:t xml:space="preserve">. Meanwhile, their hydrodynamic </w:t>
      </w:r>
      <w:r w:rsidR="006837BE" w:rsidRPr="00B37FEE">
        <w:rPr>
          <w:rFonts w:cs="Arial"/>
          <w:szCs w:val="22"/>
        </w:rPr>
        <w:t xml:space="preserve">characteristics, </w:t>
      </w:r>
      <w:r w:rsidRPr="00B37FEE">
        <w:rPr>
          <w:rFonts w:cs="Arial"/>
          <w:szCs w:val="22"/>
        </w:rPr>
        <w:t xml:space="preserve">namely the large specific interfacial area and rapid surface renewal </w:t>
      </w:r>
      <w:r w:rsidR="006837BE" w:rsidRPr="00B37FEE">
        <w:rPr>
          <w:rFonts w:cs="Arial"/>
          <w:szCs w:val="22"/>
        </w:rPr>
        <w:t xml:space="preserve">rates </w:t>
      </w:r>
      <w:r w:rsidRPr="00B37FEE">
        <w:rPr>
          <w:rFonts w:cs="Arial"/>
          <w:szCs w:val="22"/>
        </w:rPr>
        <w:t>substantially enhance interfacial fluxes, enabling interfacial processes to influence macroscopic reaction behavior</w:t>
      </w:r>
      <w:r w:rsidR="009A4698">
        <w:rPr>
          <w:rFonts w:cs="Arial"/>
          <w:szCs w:val="22"/>
        </w:rPr>
        <w:fldChar w:fldCharType="begin">
          <w:fldData xml:space="preserve">PEVuZE5vdGU+PENpdGU+PEF1dGhvcj5ZdWV3ZWk8L0F1dGhvcj48WWVhcj4yMDI1PC9ZZWFyPjxS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</w:fldData>
        </w:fldChar>
      </w:r>
      <w:r w:rsidR="00282AF2">
        <w:rPr>
          <w:rFonts w:cs="Arial"/>
          <w:szCs w:val="22"/>
        </w:rPr>
        <w:instrText xml:space="preserve"> ADDIN EN.CITE </w:instrText>
      </w:r>
      <w:r w:rsidR="00282AF2">
        <w:rPr>
          <w:rFonts w:cs="Arial"/>
          <w:szCs w:val="22"/>
        </w:rPr>
        <w:fldChar w:fldCharType="begin">
          <w:fldData xml:space="preserve">PEVuZE5vdGU+PENpdGU+PEF1dGhvcj5ZdWV3ZWk8L0F1dGhvcj48WWVhcj4yMDI1PC9ZZWFyPjxS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</w:fldData>
        </w:fldChar>
      </w:r>
      <w:r w:rsidR="00282AF2">
        <w:rPr>
          <w:rFonts w:cs="Arial"/>
          <w:szCs w:val="22"/>
        </w:rPr>
        <w:instrText xml:space="preserve"> ADDIN EN.CITE.DATA </w:instrText>
      </w:r>
      <w:r w:rsidR="00282AF2">
        <w:rPr>
          <w:rFonts w:cs="Arial"/>
          <w:szCs w:val="22"/>
        </w:rPr>
      </w:r>
      <w:r w:rsidR="00282AF2">
        <w:rPr>
          <w:rFonts w:cs="Arial"/>
          <w:szCs w:val="22"/>
        </w:rPr>
        <w:fldChar w:fldCharType="end"/>
      </w:r>
      <w:r w:rsidR="009A4698">
        <w:rPr>
          <w:rFonts w:cs="Arial"/>
          <w:szCs w:val="22"/>
        </w:rPr>
      </w:r>
      <w:r w:rsidR="009A4698">
        <w:rPr>
          <w:rFonts w:cs="Arial"/>
          <w:szCs w:val="22"/>
        </w:rPr>
        <w:fldChar w:fldCharType="separate"/>
      </w:r>
      <w:r w:rsidR="00282AF2" w:rsidRPr="00282AF2">
        <w:rPr>
          <w:rFonts w:cs="Arial"/>
          <w:noProof/>
          <w:szCs w:val="22"/>
          <w:vertAlign w:val="superscript"/>
        </w:rPr>
        <w:t>19,20</w:t>
      </w:r>
      <w:r w:rsidR="009A4698">
        <w:rPr>
          <w:rFonts w:cs="Arial"/>
          <w:szCs w:val="22"/>
        </w:rPr>
        <w:fldChar w:fldCharType="end"/>
      </w:r>
      <w:r w:rsidRPr="00B37FEE">
        <w:rPr>
          <w:rFonts w:cs="Arial"/>
          <w:szCs w:val="22"/>
        </w:rPr>
        <w:t>. Therefore, we adopt EDL-dominated interfacial polarization as a unified framework to interpret the reaction characteristics observed under MIS conditions.</w:t>
      </w:r>
    </w:p>
    <w:p w14:paraId="4532FBFB" w14:textId="117189E5" w:rsidR="004E2A11" w:rsidRPr="004E2A11" w:rsidRDefault="00A941C3" w:rsidP="004E2A11">
      <w:pPr>
        <w:spacing w:line="360" w:lineRule="auto"/>
        <w:ind w:firstLine="420"/>
        <w:rPr>
          <w:rFonts w:cs="Arial"/>
          <w:szCs w:val="22"/>
        </w:rPr>
      </w:pPr>
      <w:r w:rsidRPr="00A941C3">
        <w:rPr>
          <w:rFonts w:cs="Arial"/>
          <w:szCs w:val="22"/>
        </w:rPr>
        <w:t>Based on the functional EDL structure, MIS can provide two distinct forms of interfacial gain.</w:t>
      </w:r>
      <w:r w:rsidR="004E2A11" w:rsidRPr="004E2A11">
        <w:rPr>
          <w:rFonts w:cs="Arial"/>
          <w:szCs w:val="22"/>
        </w:rPr>
        <w:t xml:space="preserve"> The first is in situ active-species gain, such as reactive species generated at the gas–water interface, including ·OH and H</w:t>
      </w:r>
      <w:r w:rsidR="004E2A11" w:rsidRPr="004E2A11">
        <w:rPr>
          <w:rFonts w:ascii="Cambria Math" w:hAnsi="Cambria Math" w:cs="Cambria Math"/>
          <w:szCs w:val="22"/>
        </w:rPr>
        <w:t>₂</w:t>
      </w:r>
      <w:r w:rsidR="004E2A11" w:rsidRPr="004E2A11">
        <w:rPr>
          <w:rFonts w:cs="Arial"/>
          <w:szCs w:val="22"/>
        </w:rPr>
        <w:t>O</w:t>
      </w:r>
      <w:r w:rsidR="004E2A11" w:rsidRPr="004E2A11">
        <w:rPr>
          <w:rFonts w:ascii="Cambria Math" w:hAnsi="Cambria Math" w:cs="Cambria Math"/>
          <w:szCs w:val="22"/>
        </w:rPr>
        <w:t>₂</w:t>
      </w:r>
      <w:r w:rsidR="00324F21">
        <w:rPr>
          <w:rFonts w:ascii="Cambria Math" w:hAnsi="Cambria Math" w:cs="Cambria Math" w:hint="eastAsia"/>
          <w:szCs w:val="22"/>
        </w:rPr>
        <w:t xml:space="preserve"> </w:t>
      </w:r>
      <w:r w:rsidR="00306EF3">
        <w:rPr>
          <w:rFonts w:ascii="Cambria Math" w:hAnsi="Cambria Math" w:cs="Cambria Math"/>
          <w:szCs w:val="22"/>
        </w:rPr>
        <w:fldChar w:fldCharType="begin"/>
      </w:r>
      <w:r w:rsidR="00282AF2">
        <w:rPr>
          <w:rFonts w:ascii="Cambria Math" w:hAnsi="Cambria Math" w:cs="Cambria Math"/>
          <w:szCs w:val="22"/>
        </w:rPr>
        <w:instrText xml:space="preserve"> ADDIN EN.CITE &lt;EndNote&gt;&lt;Cite&gt;&lt;Author&gt;Chen&lt;/Author&gt;&lt;Year&gt;2023&lt;/Year&gt;&lt;RecNum&gt;361&lt;/RecNum&gt;&lt;DisplayText&gt;&lt;style face="superscript"&gt;21&lt;/style&gt;&lt;/DisplayText&gt;&lt;record&gt;&lt;rec-number&gt;361&lt;/rec-number&gt;&lt;foreign-keys&gt;&lt;key app="EN" db-id="0e5tz0z0ke5t29ex5r955wd3advpxrsstet0" timestamp="1773229238" guid="ef189e9c-da28-4571-9407-3c3cccdec38d"&gt;361&lt;/key&gt;&lt;/foreign-keys&gt;&lt;ref-type name="Journal Article"&gt;17&lt;/ref-type&gt;&lt;contributors&gt;&lt;authors&gt;&lt;author&gt;Chen, Huan&lt;/author&gt;&lt;author&gt;Wang, Ruijing&lt;/author&gt;&lt;author&gt;Xu, Jinheng&lt;/author&gt;&lt;author&gt;Yuan, Xu&lt;/author&gt;&lt;author&gt;Zhang, Dongmei&lt;/author&gt;&lt;author&gt;Zhu, Zhaoguo&lt;/author&gt;&lt;author&gt;Marshall, Mary&lt;/author&gt;&lt;author&gt;Bowen, Kit&lt;/author&gt;&lt;author&gt;Zhang, Xinxing&lt;/author&gt;&lt;/authors&gt;&lt;/contributors&gt;&lt;titles&gt;&lt;title&gt;Spontaneous reduction by one electron on water microdroplets facilitates direct carboxylation with CO2&lt;/title&gt;&lt;secondary-title&gt;Journal of the American Chemical Society&lt;/secondary-title&gt;&lt;/titles&gt;&lt;periodical&gt;&lt;full-title&gt;Journal of the American Chemical Society&lt;/full-title&gt;&lt;/periodical&gt;&lt;pages&gt;2647-2652&lt;/pages&gt;&lt;volume&gt;145&lt;/volume&gt;&lt;number&gt;4&lt;/number&gt;&lt;dates&gt;&lt;year&gt;2023&lt;/year&gt;&lt;/dates&gt;&lt;isbn&gt;0002-7863&lt;/isbn&gt;&lt;urls&gt;&lt;/urls&gt;&lt;/record&gt;&lt;/Cite&gt;&lt;/EndNote&gt;</w:instrText>
      </w:r>
      <w:r w:rsidR="00306EF3">
        <w:rPr>
          <w:rFonts w:ascii="Cambria Math" w:hAnsi="Cambria Math" w:cs="Cambria Math"/>
          <w:szCs w:val="22"/>
        </w:rPr>
        <w:fldChar w:fldCharType="separate"/>
      </w:r>
      <w:r w:rsidR="00282AF2" w:rsidRPr="00282AF2">
        <w:rPr>
          <w:rFonts w:ascii="Cambria Math" w:hAnsi="Cambria Math" w:cs="Cambria Math"/>
          <w:noProof/>
          <w:szCs w:val="22"/>
          <w:vertAlign w:val="superscript"/>
        </w:rPr>
        <w:t>21</w:t>
      </w:r>
      <w:r w:rsidR="00306EF3">
        <w:rPr>
          <w:rFonts w:ascii="Cambria Math" w:hAnsi="Cambria Math" w:cs="Cambria Math"/>
          <w:szCs w:val="22"/>
        </w:rPr>
        <w:fldChar w:fldCharType="end"/>
      </w:r>
      <w:r w:rsidR="004E2A11" w:rsidRPr="004E2A11">
        <w:rPr>
          <w:rFonts w:cs="Arial"/>
          <w:szCs w:val="22"/>
        </w:rPr>
        <w:t>. The second is interfacial activation gain, in which electric fields, acid–base stratification, and hydrogen-bond network restructuring cooperatively induce directional activation of reactants and reshape the free-energy landscape of reactions</w:t>
      </w:r>
      <w:r w:rsidR="000B2DD4">
        <w:rPr>
          <w:rFonts w:cs="Arial"/>
          <w:szCs w:val="22"/>
        </w:rPr>
        <w:fldChar w:fldCharType="begin">
          <w:fldData xml:space="preserve">PEVuZE5vdGU+PENpdGU+PEF1dGhvcj5Tb25nPC9BdXRob3I+PFllYXI+MjAyNTwvWWVhcj48UmVj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</w:fldData>
        </w:fldChar>
      </w:r>
      <w:r w:rsidR="00282AF2">
        <w:rPr>
          <w:rFonts w:cs="Arial"/>
          <w:szCs w:val="22"/>
        </w:rPr>
        <w:instrText xml:space="preserve"> ADDIN EN.CITE </w:instrText>
      </w:r>
      <w:r w:rsidR="00282AF2">
        <w:rPr>
          <w:rFonts w:cs="Arial"/>
          <w:szCs w:val="22"/>
        </w:rPr>
        <w:fldChar w:fldCharType="begin">
          <w:fldData xml:space="preserve">PEVuZE5vdGU+PENpdGU+PEF1dGhvcj5Tb25nPC9BdXRob3I+PFllYXI+MjAyNTwvWWVhcj48UmVj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</w:fldData>
        </w:fldChar>
      </w:r>
      <w:r w:rsidR="00282AF2">
        <w:rPr>
          <w:rFonts w:cs="Arial"/>
          <w:szCs w:val="22"/>
        </w:rPr>
        <w:instrText xml:space="preserve"> ADDIN EN.CITE.DATA </w:instrText>
      </w:r>
      <w:r w:rsidR="00282AF2">
        <w:rPr>
          <w:rFonts w:cs="Arial"/>
          <w:szCs w:val="22"/>
        </w:rPr>
      </w:r>
      <w:r w:rsidR="00282AF2">
        <w:rPr>
          <w:rFonts w:cs="Arial"/>
          <w:szCs w:val="22"/>
        </w:rPr>
        <w:fldChar w:fldCharType="end"/>
      </w:r>
      <w:r w:rsidR="000B2DD4">
        <w:rPr>
          <w:rFonts w:cs="Arial"/>
          <w:szCs w:val="22"/>
        </w:rPr>
      </w:r>
      <w:r w:rsidR="000B2DD4">
        <w:rPr>
          <w:rFonts w:cs="Arial"/>
          <w:szCs w:val="22"/>
        </w:rPr>
        <w:fldChar w:fldCharType="separate"/>
      </w:r>
      <w:r w:rsidR="00282AF2" w:rsidRPr="00282AF2">
        <w:rPr>
          <w:rFonts w:cs="Arial"/>
          <w:noProof/>
          <w:szCs w:val="22"/>
          <w:vertAlign w:val="superscript"/>
        </w:rPr>
        <w:t>22-24</w:t>
      </w:r>
      <w:r w:rsidR="000B2DD4">
        <w:rPr>
          <w:rFonts w:cs="Arial"/>
          <w:szCs w:val="22"/>
        </w:rPr>
        <w:fldChar w:fldCharType="end"/>
      </w:r>
      <w:r w:rsidR="004E2A11" w:rsidRPr="004E2A11">
        <w:rPr>
          <w:rFonts w:cs="Arial"/>
          <w:szCs w:val="22"/>
        </w:rPr>
        <w:t xml:space="preserve">. In principle, these two mechanisms may act synergistically. However, because different applications impose distinct requirements on reaction selectivity and stability, current research has largely </w:t>
      </w:r>
      <w:r w:rsidR="004E2A11" w:rsidRPr="004E2A11">
        <w:rPr>
          <w:rFonts w:cs="Arial"/>
          <w:szCs w:val="22"/>
        </w:rPr>
        <w:lastRenderedPageBreak/>
        <w:t>evolved along these two pathways separately.</w:t>
      </w:r>
    </w:p>
    <w:p w14:paraId="37408767" w14:textId="6A11674C" w:rsidR="004E2A11" w:rsidRPr="004E2A11" w:rsidRDefault="00C0137A" w:rsidP="002E37B2">
      <w:pPr>
        <w:spacing w:line="360" w:lineRule="auto"/>
        <w:ind w:firstLine="420"/>
        <w:rPr>
          <w:rFonts w:cs="Arial"/>
          <w:szCs w:val="22"/>
        </w:rPr>
      </w:pPr>
      <w:r w:rsidRPr="00C0137A">
        <w:rPr>
          <w:rFonts w:cs="Arial"/>
          <w:szCs w:val="22"/>
        </w:rPr>
        <w:t>In situ reactive species can arise from two main processes. First, the strong local electric field generated by the EDL can directly induce the formation of ·OH radicals from water or dissolved oxygen.</w:t>
      </w:r>
      <w:r w:rsidR="004E2A11" w:rsidRPr="004E2A11">
        <w:rPr>
          <w:rFonts w:cs="Arial"/>
          <w:szCs w:val="22"/>
        </w:rPr>
        <w:t xml:space="preserve"> Second, during the formation of charged microdroplets, the hydration enthalpy of ions and the effective ionization energy can be reduced, thereby facilitating the generation of ·OH radicals</w:t>
      </w:r>
      <w:r w:rsidR="00912D96">
        <w:rPr>
          <w:rFonts w:ascii="Cambria Math" w:hAnsi="Cambria Math" w:cs="Cambria Math"/>
          <w:szCs w:val="22"/>
        </w:rPr>
        <w:fldChar w:fldCharType="begin">
          <w:fldData xml:space="preserve">PEVuZE5vdGU+PENpdGU+PEF1dGhvcj5MZWU8L0F1dGhvcj48WWVhcj4yMDI1PC9ZZWFyPjxSZWNO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</w:fldData>
        </w:fldChar>
      </w:r>
      <w:r w:rsidR="00282AF2">
        <w:rPr>
          <w:rFonts w:ascii="Cambria Math" w:hAnsi="Cambria Math" w:cs="Cambria Math"/>
          <w:szCs w:val="22"/>
        </w:rPr>
        <w:instrText xml:space="preserve"> ADDIN EN.CITE </w:instrText>
      </w:r>
      <w:r w:rsidR="00282AF2">
        <w:rPr>
          <w:rFonts w:ascii="Cambria Math" w:hAnsi="Cambria Math" w:cs="Cambria Math"/>
          <w:szCs w:val="22"/>
        </w:rPr>
        <w:fldChar w:fldCharType="begin">
          <w:fldData xml:space="preserve">PEVuZE5vdGU+PENpdGU+PEF1dGhvcj5MZWU8L0F1dGhvcj48WWVhcj4yMDI1PC9ZZWFyPjxSZWNO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</w:fldData>
        </w:fldChar>
      </w:r>
      <w:r w:rsidR="00282AF2">
        <w:rPr>
          <w:rFonts w:ascii="Cambria Math" w:hAnsi="Cambria Math" w:cs="Cambria Math"/>
          <w:szCs w:val="22"/>
        </w:rPr>
        <w:instrText xml:space="preserve"> ADDIN EN.CITE.DATA </w:instrText>
      </w:r>
      <w:r w:rsidR="00282AF2">
        <w:rPr>
          <w:rFonts w:ascii="Cambria Math" w:hAnsi="Cambria Math" w:cs="Cambria Math"/>
          <w:szCs w:val="22"/>
        </w:rPr>
      </w:r>
      <w:r w:rsidR="00282AF2">
        <w:rPr>
          <w:rFonts w:ascii="Cambria Math" w:hAnsi="Cambria Math" w:cs="Cambria Math"/>
          <w:szCs w:val="22"/>
        </w:rPr>
        <w:fldChar w:fldCharType="end"/>
      </w:r>
      <w:r w:rsidR="00912D96">
        <w:rPr>
          <w:rFonts w:ascii="Cambria Math" w:hAnsi="Cambria Math" w:cs="Cambria Math"/>
          <w:szCs w:val="22"/>
        </w:rPr>
      </w:r>
      <w:r w:rsidR="00912D96">
        <w:rPr>
          <w:rFonts w:ascii="Cambria Math" w:hAnsi="Cambria Math" w:cs="Cambria Math"/>
          <w:szCs w:val="22"/>
        </w:rPr>
        <w:fldChar w:fldCharType="separate"/>
      </w:r>
      <w:r w:rsidR="00282AF2" w:rsidRPr="00282AF2">
        <w:rPr>
          <w:rFonts w:ascii="Cambria Math" w:hAnsi="Cambria Math" w:cs="Cambria Math"/>
          <w:noProof/>
          <w:szCs w:val="22"/>
          <w:vertAlign w:val="superscript"/>
        </w:rPr>
        <w:t>25-27</w:t>
      </w:r>
      <w:r w:rsidR="00912D96">
        <w:rPr>
          <w:rFonts w:ascii="Cambria Math" w:hAnsi="Cambria Math" w:cs="Cambria Math"/>
          <w:szCs w:val="22"/>
        </w:rPr>
        <w:fldChar w:fldCharType="end"/>
      </w:r>
      <w:r w:rsidR="004E2A11" w:rsidRPr="004E2A11">
        <w:rPr>
          <w:rFonts w:cs="Arial"/>
          <w:szCs w:val="22"/>
        </w:rPr>
        <w:t>. On this basis, several striking conceptual demonstrations have been reported in the literature. For example, under ambient conditions, contact between water microdroplets and N</w:t>
      </w:r>
      <w:r w:rsidR="004E2A11" w:rsidRPr="004E2A11">
        <w:rPr>
          <w:rFonts w:ascii="Cambria Math" w:hAnsi="Cambria Math" w:cs="Cambria Math"/>
          <w:szCs w:val="22"/>
        </w:rPr>
        <w:t>₂</w:t>
      </w:r>
      <w:r w:rsidR="004E2A11" w:rsidRPr="004E2A11">
        <w:rPr>
          <w:rFonts w:cs="Arial"/>
          <w:szCs w:val="22"/>
        </w:rPr>
        <w:t xml:space="preserve"> in a PTFE (polytetrafluoroethylene) triboelectric environment has been reported to produce NH</w:t>
      </w:r>
      <w:r w:rsidR="004E2A11" w:rsidRPr="004E2A11">
        <w:rPr>
          <w:rFonts w:ascii="Cambria Math" w:hAnsi="Cambria Math" w:cs="Cambria Math"/>
          <w:szCs w:val="22"/>
        </w:rPr>
        <w:t>₃</w:t>
      </w:r>
      <w:r w:rsidR="004E2A11" w:rsidRPr="004E2A11">
        <w:rPr>
          <w:rFonts w:cs="Arial"/>
          <w:szCs w:val="22"/>
        </w:rPr>
        <w:t>, accompanied by hydrazine formation</w:t>
      </w:r>
      <w:r w:rsidR="00BB5DC7">
        <w:rPr>
          <w:rFonts w:cs="Arial"/>
          <w:szCs w:val="22"/>
        </w:rPr>
        <w:fldChar w:fldCharType="begin"/>
      </w:r>
      <w:r w:rsidR="00282AF2">
        <w:rPr>
          <w:rFonts w:cs="Arial"/>
          <w:szCs w:val="22"/>
        </w:rPr>
        <w:instrText xml:space="preserve"> ADDIN EN.CITE &lt;EndNote&gt;&lt;Cite&gt;&lt;Author&gt;Song&lt;/Author&gt;&lt;Year&gt;2023&lt;/Year&gt;&lt;RecNum&gt;368&lt;/RecNum&gt;&lt;DisplayText&gt;&lt;style face="superscript"&gt;28,29&lt;/style&gt;&lt;/DisplayText&gt;&lt;record&gt;&lt;rec-number&gt;368&lt;/rec-number&gt;&lt;foreign-keys&gt;&lt;key app="EN" db-id="0e5tz0z0ke5t29ex5r955wd3advpxrsstet0" timestamp="1773230274" guid="d6bc51be-0f81-42ed-b59a-07b93b32cd70"&gt;368&lt;/key&gt;&lt;/foreign-keys&gt;&lt;ref-type name="Journal Article"&gt;17&lt;/ref-type&gt;&lt;contributors&gt;&lt;authors&gt;&lt;author&gt;Song, Xiaowei&lt;/author&gt;&lt;author&gt;Basheer, Chanbasha&lt;/author&gt;&lt;author&gt;Zare, Richard N&lt;/author&gt;&lt;/authors&gt;&lt;/contributors&gt;&lt;titles&gt;&lt;title&gt;Making ammonia from nitrogen and water microdroplets&lt;/title&gt;&lt;secondary-title&gt;Proceedings of the National Academy of Sciences&lt;/secondary-title&gt;&lt;/titles&gt;&lt;periodical&gt;&lt;full-title&gt;Proceedings of the National Academy of Sciences&lt;/full-title&gt;&lt;/periodical&gt;&lt;pages&gt;e2301206120&lt;/pages&gt;&lt;volume&gt;120&lt;/volume&gt;&lt;number&gt;16&lt;/number&gt;&lt;dates&gt;&lt;year&gt;2023&lt;/year&gt;&lt;/dates&gt;&lt;isbn&gt;0027-8424&lt;/isbn&gt;&lt;urls&gt;&lt;/urls&gt;&lt;/record&gt;&lt;/Cite&gt;&lt;Cite&gt;&lt;Author&gt;Li&lt;/Author&gt;&lt;Year&gt;2024&lt;/Year&gt;&lt;RecNum&gt;369&lt;/RecNum&gt;&lt;record&gt;&lt;rec-number&gt;369&lt;/rec-number&gt;&lt;foreign-keys&gt;&lt;key app="EN" db-id="0e5tz0z0ke5t29ex5r955wd3advpxrsstet0" timestamp="1773230331" guid="d58c24d3-f981-4f66-b68b-f4b017219d7f"&gt;369&lt;/key&gt;&lt;/foreign-keys&gt;&lt;ref-type name="Journal Article"&gt;17&lt;/ref-type&gt;&lt;contributors&gt;&lt;authors&gt;&lt;author&gt;Li, Juan&lt;/author&gt;&lt;author&gt;Xia, Yu&lt;/author&gt;&lt;author&gt;Song, Xiaowei&lt;/author&gt;&lt;author&gt;Chen, Bolei&lt;/author&gt;&lt;author&gt;Zare, Richard N&lt;/author&gt;&lt;/authors&gt;&lt;/contributors&gt;&lt;titles&gt;&lt;title&gt;Continuous ammonia synthesis from water and nitrogen via contact electrification&lt;/title&gt;&lt;secondary-title&gt;Proceedings of the National Academy of Sciences&lt;/secondary-title&gt;&lt;/titles&gt;&lt;periodical&gt;&lt;full-title&gt;Proceedings of the National Academy of Sciences&lt;/full-title&gt;&lt;/periodical&gt;&lt;pages&gt;e2318408121&lt;/pages&gt;&lt;volume&gt;121&lt;/volume&gt;&lt;number&gt;4&lt;/number&gt;&lt;dates&gt;&lt;year&gt;2024&lt;/year&gt;&lt;/dates&gt;&lt;isbn&gt;0027-8424&lt;/isbn&gt;&lt;urls&gt;&lt;/urls&gt;&lt;/record&gt;&lt;/Cite&gt;&lt;/EndNote&gt;</w:instrText>
      </w:r>
      <w:r w:rsidR="00BB5DC7">
        <w:rPr>
          <w:rFonts w:cs="Arial"/>
          <w:szCs w:val="22"/>
        </w:rPr>
        <w:fldChar w:fldCharType="separate"/>
      </w:r>
      <w:r w:rsidR="00282AF2" w:rsidRPr="00282AF2">
        <w:rPr>
          <w:rFonts w:cs="Arial"/>
          <w:noProof/>
          <w:szCs w:val="22"/>
          <w:vertAlign w:val="superscript"/>
        </w:rPr>
        <w:t>28,29</w:t>
      </w:r>
      <w:r w:rsidR="00BB5DC7">
        <w:rPr>
          <w:rFonts w:cs="Arial"/>
          <w:szCs w:val="22"/>
        </w:rPr>
        <w:fldChar w:fldCharType="end"/>
      </w:r>
      <w:r w:rsidR="004E2A11" w:rsidRPr="004E2A11">
        <w:rPr>
          <w:rFonts w:cs="Arial"/>
          <w:szCs w:val="22"/>
        </w:rPr>
        <w:t>. In addition, under microdroplet or microbubble conditions combined with Fenton chemistry, oxidation of N</w:t>
      </w:r>
      <w:r w:rsidR="004E2A11" w:rsidRPr="004E2A11">
        <w:rPr>
          <w:rFonts w:ascii="Cambria Math" w:hAnsi="Cambria Math" w:cs="Cambria Math"/>
          <w:szCs w:val="22"/>
        </w:rPr>
        <w:t>₂</w:t>
      </w:r>
      <w:r w:rsidR="004E2A11" w:rsidRPr="004E2A11">
        <w:rPr>
          <w:rFonts w:cs="Arial"/>
          <w:szCs w:val="22"/>
        </w:rPr>
        <w:t xml:space="preserve"> to HNO</w:t>
      </w:r>
      <w:r w:rsidR="004E2A11" w:rsidRPr="004E2A11">
        <w:rPr>
          <w:rFonts w:ascii="Cambria Math" w:hAnsi="Cambria Math" w:cs="Cambria Math"/>
          <w:szCs w:val="22"/>
        </w:rPr>
        <w:t>₃</w:t>
      </w:r>
      <w:r w:rsidR="004E2A11" w:rsidRPr="004E2A11">
        <w:rPr>
          <w:rFonts w:cs="Arial"/>
          <w:szCs w:val="22"/>
        </w:rPr>
        <w:t xml:space="preserve"> has also been proposed</w:t>
      </w:r>
      <w:r w:rsidR="0016138C">
        <w:rPr>
          <w:rFonts w:cs="Arial"/>
          <w:szCs w:val="22"/>
        </w:rPr>
        <w:fldChar w:fldCharType="begin"/>
      </w:r>
      <w:r w:rsidR="00282AF2">
        <w:rPr>
          <w:rFonts w:cs="Arial"/>
          <w:szCs w:val="22"/>
        </w:rPr>
        <w:instrText xml:space="preserve"> ADDIN EN.CITE &lt;EndNote&gt;&lt;Cite&gt;&lt;Author&gt;Song&lt;/Author&gt;&lt;Year&gt;2024&lt;/Year&gt;&lt;RecNum&gt;370&lt;/RecNum&gt;&lt;DisplayText&gt;&lt;style face="superscript"&gt;30&lt;/style&gt;&lt;/DisplayText&gt;&lt;record&gt;&lt;rec-number&gt;370&lt;/rec-number&gt;&lt;foreign-keys&gt;&lt;key app="EN" db-id="0e5tz0z0ke5t29ex5r955wd3advpxrsstet0" timestamp="1773230368" guid="1c865654-0452-4e24-94d3-2a408dd1712b"&gt;370&lt;/key&gt;&lt;/foreign-keys&gt;&lt;ref-type name="Journal Article"&gt;17&lt;/ref-type&gt;&lt;contributors&gt;&lt;authors&gt;&lt;author&gt;Song, Xiaowei&lt;/author&gt;&lt;author&gt;Basheer, Chanbasha&lt;/author&gt;&lt;author&gt;Xia, Yu&lt;/author&gt;&lt;author&gt;Zare, Richard N&lt;/author&gt;&lt;/authors&gt;&lt;/contributors&gt;&lt;titles&gt;&lt;title&gt;Oxidation of ammonia in water microdroplets produces nitrate and molecular hydrogen&lt;/title&gt;&lt;secondary-title&gt;Environmental Science &amp;amp; Technology&lt;/secondary-title&gt;&lt;/titles&gt;&lt;periodical&gt;&lt;full-title&gt;Environmental Science &amp;amp; Technology&lt;/full-title&gt;&lt;/periodical&gt;&lt;pages&gt;16196-16203&lt;/pages&gt;&lt;volume&gt;58&lt;/volume&gt;&lt;number&gt;36&lt;/number&gt;&lt;dates&gt;&lt;year&gt;2024&lt;/year&gt;&lt;/dates&gt;&lt;isbn&gt;0013-936X&lt;/isbn&gt;&lt;urls&gt;&lt;/urls&gt;&lt;/record&gt;&lt;/Cite&gt;&lt;/EndNote&gt;</w:instrText>
      </w:r>
      <w:r w:rsidR="0016138C">
        <w:rPr>
          <w:rFonts w:cs="Arial"/>
          <w:szCs w:val="22"/>
        </w:rPr>
        <w:fldChar w:fldCharType="separate"/>
      </w:r>
      <w:r w:rsidR="00282AF2" w:rsidRPr="00282AF2">
        <w:rPr>
          <w:rFonts w:cs="Arial"/>
          <w:noProof/>
          <w:szCs w:val="22"/>
          <w:vertAlign w:val="superscript"/>
        </w:rPr>
        <w:t>30</w:t>
      </w:r>
      <w:r w:rsidR="0016138C">
        <w:rPr>
          <w:rFonts w:cs="Arial"/>
          <w:szCs w:val="22"/>
        </w:rPr>
        <w:fldChar w:fldCharType="end"/>
      </w:r>
      <w:r w:rsidR="004E2A11" w:rsidRPr="004E2A11">
        <w:rPr>
          <w:rFonts w:cs="Arial"/>
          <w:szCs w:val="22"/>
        </w:rPr>
        <w:t>.</w:t>
      </w:r>
      <w:r w:rsidR="002E37B2">
        <w:rPr>
          <w:rFonts w:cs="Arial" w:hint="eastAsia"/>
          <w:szCs w:val="22"/>
        </w:rPr>
        <w:t xml:space="preserve"> </w:t>
      </w:r>
      <w:r w:rsidR="004E2A11" w:rsidRPr="004E2A11">
        <w:rPr>
          <w:rFonts w:cs="Arial"/>
          <w:szCs w:val="22"/>
        </w:rPr>
        <w:t>Although interfacial intensification based on reactive species has seen preliminary engineering exploration in gas–oil systems</w:t>
      </w:r>
      <w:r w:rsidR="00FA6A56">
        <w:rPr>
          <w:rFonts w:cs="Arial"/>
          <w:szCs w:val="22"/>
        </w:rPr>
        <w:fldChar w:fldCharType="begin"/>
      </w:r>
      <w:r w:rsidR="00282AF2">
        <w:rPr>
          <w:rFonts w:cs="Arial"/>
          <w:szCs w:val="22"/>
        </w:rPr>
        <w:instrText xml:space="preserve"> ADDIN EN.CITE &lt;EndNote&gt;&lt;Cite&gt;&lt;Author&gt;Wei&lt;/Author&gt;&lt;Year&gt;2020&lt;/Year&gt;&lt;RecNum&gt;367&lt;/RecNum&gt;&lt;DisplayText&gt;&lt;style face="superscript"&gt;27&lt;/style&gt;&lt;/DisplayText&gt;&lt;record&gt;&lt;rec-number&gt;367&lt;/rec-number&gt;&lt;foreign-keys&gt;&lt;key app="EN" db-id="0e5tz0z0ke5t29ex5r955wd3advpxrsstet0" timestamp="1773230209" guid="823336fd-978e-4c4e-967a-fafc1c8e4853"&gt;367&lt;/key&gt;&lt;/foreign-keys&gt;&lt;ref-type name="Journal Article"&gt;17&lt;/ref-type&gt;&lt;contributors&gt;&lt;authors&gt;&lt;author&gt;Wei, Zhenwei&lt;/author&gt;&lt;author&gt;Li, Yangjie&lt;/author&gt;&lt;author&gt;Cooks, R Graham&lt;/author&gt;&lt;author&gt;Yan, Xin&lt;/author&gt;&lt;/authors&gt;&lt;/contributors&gt;&lt;titles&gt;&lt;title&gt;Accelerated reaction kinetics in microdroplets: Overview and recent developments&lt;/title&gt;&lt;secondary-title&gt;Annual Review of Physical Chemistry&lt;/secondary-title&gt;&lt;/titles&gt;&lt;periodical&gt;&lt;full-title&gt;Annual Review of Physical Chemistry&lt;/full-title&gt;&lt;/periodical&gt;&lt;pages&gt;31-51&lt;/pages&gt;&lt;volume&gt;71&lt;/volume&gt;&lt;number&gt;1&lt;/number&gt;&lt;dates&gt;&lt;year&gt;2020&lt;/year&gt;&lt;/dates&gt;&lt;isbn&gt;0066-426X&lt;/isbn&gt;&lt;urls&gt;&lt;/urls&gt;&lt;/record&gt;&lt;/Cite&gt;&lt;/EndNote&gt;</w:instrText>
      </w:r>
      <w:r w:rsidR="00FA6A56">
        <w:rPr>
          <w:rFonts w:cs="Arial"/>
          <w:szCs w:val="22"/>
        </w:rPr>
        <w:fldChar w:fldCharType="separate"/>
      </w:r>
      <w:r w:rsidR="00282AF2" w:rsidRPr="00282AF2">
        <w:rPr>
          <w:rFonts w:cs="Arial"/>
          <w:noProof/>
          <w:szCs w:val="22"/>
          <w:vertAlign w:val="superscript"/>
        </w:rPr>
        <w:t>27</w:t>
      </w:r>
      <w:r w:rsidR="00FA6A56">
        <w:rPr>
          <w:rFonts w:cs="Arial"/>
          <w:szCs w:val="22"/>
        </w:rPr>
        <w:fldChar w:fldCharType="end"/>
      </w:r>
      <w:r w:rsidR="004E2A11" w:rsidRPr="004E2A11">
        <w:rPr>
          <w:rFonts w:cs="Arial"/>
          <w:szCs w:val="22"/>
        </w:rPr>
        <w:t>, its application in gas–water systems remains limited by the poor selectivity, rapid diffusion, and short lifetime of reactive oxygen species (ROS), which constrain yield and reproducibility</w:t>
      </w:r>
      <w:r w:rsidR="00172E03">
        <w:rPr>
          <w:rFonts w:cs="Arial"/>
          <w:szCs w:val="22"/>
        </w:rPr>
        <w:fldChar w:fldCharType="begin"/>
      </w:r>
      <w:r w:rsidR="00282AF2">
        <w:rPr>
          <w:rFonts w:cs="Arial"/>
          <w:szCs w:val="22"/>
        </w:rPr>
        <w:instrText xml:space="preserve"> ADDIN EN.CITE &lt;EndNote&gt;&lt;Cite&gt;&lt;Author&gt;Ding&lt;/Author&gt;&lt;Year&gt;2013&lt;/Year&gt;&lt;RecNum&gt;371&lt;/RecNum&gt;&lt;DisplayText&gt;&lt;style face="superscript"&gt;31,32&lt;/style&gt;&lt;/DisplayText&gt;&lt;record&gt;&lt;rec-number&gt;371&lt;/rec-number&gt;&lt;foreign-keys&gt;&lt;key app="EN" db-id="0e5tz0z0ke5t29ex5r955wd3advpxrsstet0" timestamp="1773230751" guid="e9267bc9-e0bd-4dd7-95b8-d7f34be39b45"&gt;371&lt;/key&gt;&lt;/foreign-keys&gt;&lt;ref-type name="Journal Article"&gt;17&lt;/ref-type&gt;&lt;contributors&gt;&lt;authors&gt;&lt;author&gt;Ding, San-Yuan&lt;/author&gt;&lt;author&gt;Wang, Wei&lt;/author&gt;&lt;/authors&gt;&lt;/contributors&gt;&lt;titles&gt;&lt;title&gt;Covalent organic frameworks (COFs): from design to applications&lt;/title&gt;&lt;secondary-title&gt;Chemical Society Reviews&lt;/secondary-title&gt;&lt;/titles&gt;&lt;periodical&gt;&lt;full-title&gt;Chemical Society Reviews&lt;/full-title&gt;&lt;/periodical&gt;&lt;pages&gt;548-568&lt;/pages&gt;&lt;volume&gt;42&lt;/volume&gt;&lt;number&gt;2&lt;/number&gt;&lt;dates&gt;&lt;year&gt;2013&lt;/year&gt;&lt;/dates&gt;&lt;urls&gt;&lt;/urls&gt;&lt;/record&gt;&lt;/Cite&gt;&lt;Cite&gt;&lt;Author&gt;Wen&lt;/Author&gt;&lt;Year&gt;2020&lt;/Year&gt;&lt;RecNum&gt;372&lt;/RecNum&gt;&lt;record&gt;&lt;rec-number&gt;372&lt;/rec-number&gt;&lt;foreign-keys&gt;&lt;key app="EN" db-id="0e5tz0z0ke5t29ex5r955wd3advpxrsstet0" timestamp="1773230830" guid="bc80a912-bf27-4245-8a6a-73014904f625"&gt;372&lt;/key&gt;&lt;/foreign-keys&gt;&lt;ref-type name="Book Section"&gt;5&lt;/ref-type&gt;&lt;contributors&gt;&lt;authors&gt;&lt;author&gt;Wen, Tao&lt;/author&gt;&lt;author&gt;Liu, Jianbo&lt;/author&gt;&lt;author&gt;He, Weiwei&lt;/author&gt;&lt;author&gt;Yang, Aiyun&lt;/author&gt;&lt;/authors&gt;&lt;/contributors&gt;&lt;titles&gt;&lt;title&gt;Nanomaterials and reactive oxygen species (ROS)&lt;/title&gt;&lt;secondary-title&gt;Nanotechnology in regenerative medicine and drug delivery therapy&lt;/secondary-title&gt;&lt;/titles&gt;&lt;pages&gt;361-387&lt;/pages&gt;&lt;dates&gt;&lt;year&gt;2020&lt;/year&gt;&lt;/dates&gt;&lt;publisher&gt;Springer&lt;/publisher&gt;&lt;urls&gt;&lt;/urls&gt;&lt;/record&gt;&lt;/Cite&gt;&lt;/EndNote&gt;</w:instrText>
      </w:r>
      <w:r w:rsidR="00172E03">
        <w:rPr>
          <w:rFonts w:cs="Arial"/>
          <w:szCs w:val="22"/>
        </w:rPr>
        <w:fldChar w:fldCharType="separate"/>
      </w:r>
      <w:r w:rsidR="00282AF2" w:rsidRPr="00282AF2">
        <w:rPr>
          <w:rFonts w:cs="Arial"/>
          <w:noProof/>
          <w:szCs w:val="22"/>
          <w:vertAlign w:val="superscript"/>
        </w:rPr>
        <w:t>31,32</w:t>
      </w:r>
      <w:r w:rsidR="00172E03">
        <w:rPr>
          <w:rFonts w:cs="Arial"/>
          <w:szCs w:val="22"/>
        </w:rPr>
        <w:fldChar w:fldCharType="end"/>
      </w:r>
      <w:r w:rsidR="004E2A11" w:rsidRPr="004E2A11">
        <w:rPr>
          <w:rFonts w:cs="Arial"/>
          <w:szCs w:val="22"/>
        </w:rPr>
        <w:t>. Importantly, these limitations do not diminish the engineering potential of the functional EDL generated by microdroplets or microbubbles. If hydrophobic microphases or interfacial pockets can be constructed using materials such as MOFs, organic macromolecules, or carbon nanocages, radicals may diffuse within low-polarity domains and be effectively captured, thereby significantly prolonging ROS lifetime and improving utilization efficiency. Such strategies may substantially enhance reaction loading and selectivity. Nevertheless, based on current evidence and engineering accessibility, this pathway still requires further mechanistic clarification and optimization of the coupled materials–fluid–electric-field system before large-scale implementation becomes feasible.</w:t>
      </w:r>
    </w:p>
    <w:p w14:paraId="49E7D706" w14:textId="54D118DA" w:rsidR="004C022B" w:rsidRPr="004C022B" w:rsidRDefault="00E179A2" w:rsidP="004C022B">
      <w:pPr>
        <w:spacing w:line="360" w:lineRule="auto"/>
        <w:ind w:firstLine="420"/>
        <w:rPr>
          <w:rFonts w:cs="Arial"/>
          <w:szCs w:val="22"/>
        </w:rPr>
      </w:pPr>
      <w:r>
        <w:rPr>
          <w:rFonts w:cs="Arial" w:hint="eastAsia"/>
          <w:szCs w:val="22"/>
        </w:rPr>
        <w:t>I</w:t>
      </w:r>
      <w:r w:rsidRPr="00E179A2">
        <w:rPr>
          <w:rFonts w:cs="Arial"/>
          <w:szCs w:val="22"/>
        </w:rPr>
        <w:t xml:space="preserve">n contrast, interfacial activation gain arises from the ability of the functional EDL to regulate the enthalpy–entropy balance through the interfacial potential difference. The electric field generated by the EDL can induce directional arrangement and partial desolvation of reactants, for example through acid–base stratification, thereby creating a relatively stable local reaction environment. Such interfacial structuring modifies the solvation configuration of reactants and lowers both the reorganization energy and the transition-state free energy (ΔG‡), effectively activating reaction pathways at the interface. Mechanistically, these effects may enhance a </w:t>
      </w:r>
      <w:r w:rsidRPr="00E179A2">
        <w:rPr>
          <w:rFonts w:cs="Arial"/>
          <w:szCs w:val="22"/>
        </w:rPr>
        <w:lastRenderedPageBreak/>
        <w:t>variety of reactions governed by general acid–base interactions and electric-field effects, including esterification, amidation, nucleophilic substitution (SN1/SN2), and nucleophilic addition reactions such as Michael addition</w:t>
      </w:r>
      <w:r>
        <w:rPr>
          <w:rFonts w:cs="Arial" w:hint="eastAsia"/>
          <w:szCs w:val="22"/>
        </w:rPr>
        <w:t xml:space="preserve"> </w:t>
      </w:r>
      <w:r w:rsidR="006A4275">
        <w:rPr>
          <w:rFonts w:cs="Arial"/>
          <w:szCs w:val="22"/>
        </w:rPr>
        <w:fldChar w:fldCharType="begin">
          <w:fldData xml:space="preserve">PEVuZE5vdGU+PENpdGU+PEF1dGhvcj5Tb25nPC9BdXRob3I+PFllYXI+MjAyNDwvWWVhcj48UmVj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</w:fldData>
        </w:fldChar>
      </w:r>
      <w:r w:rsidR="00282AF2">
        <w:rPr>
          <w:rFonts w:cs="Arial"/>
          <w:szCs w:val="22"/>
        </w:rPr>
        <w:instrText xml:space="preserve"> ADDIN EN.CITE </w:instrText>
      </w:r>
      <w:r w:rsidR="00282AF2">
        <w:rPr>
          <w:rFonts w:cs="Arial"/>
          <w:szCs w:val="22"/>
        </w:rPr>
        <w:fldChar w:fldCharType="begin">
          <w:fldData xml:space="preserve">PEVuZE5vdGU+PENpdGU+PEF1dGhvcj5Tb25nPC9BdXRob3I+PFllYXI+MjAyNDwvWWVhcj48UmVj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</w:fldData>
        </w:fldChar>
      </w:r>
      <w:r w:rsidR="00282AF2">
        <w:rPr>
          <w:rFonts w:cs="Arial"/>
          <w:szCs w:val="22"/>
        </w:rPr>
        <w:instrText xml:space="preserve"> ADDIN EN.CITE.DATA </w:instrText>
      </w:r>
      <w:r w:rsidR="00282AF2">
        <w:rPr>
          <w:rFonts w:cs="Arial"/>
          <w:szCs w:val="22"/>
        </w:rPr>
      </w:r>
      <w:r w:rsidR="00282AF2">
        <w:rPr>
          <w:rFonts w:cs="Arial"/>
          <w:szCs w:val="22"/>
        </w:rPr>
        <w:fldChar w:fldCharType="end"/>
      </w:r>
      <w:r w:rsidR="006A4275">
        <w:rPr>
          <w:rFonts w:cs="Arial"/>
          <w:szCs w:val="22"/>
        </w:rPr>
      </w:r>
      <w:r w:rsidR="006A4275">
        <w:rPr>
          <w:rFonts w:cs="Arial"/>
          <w:szCs w:val="22"/>
        </w:rPr>
        <w:fldChar w:fldCharType="separate"/>
      </w:r>
      <w:r w:rsidR="00282AF2" w:rsidRPr="00282AF2">
        <w:rPr>
          <w:rFonts w:cs="Arial"/>
          <w:noProof/>
          <w:szCs w:val="22"/>
          <w:vertAlign w:val="superscript"/>
        </w:rPr>
        <w:t>33,34</w:t>
      </w:r>
      <w:r w:rsidR="006A4275">
        <w:rPr>
          <w:rFonts w:cs="Arial"/>
          <w:szCs w:val="22"/>
        </w:rPr>
        <w:fldChar w:fldCharType="end"/>
      </w:r>
      <w:r w:rsidR="004E2A11" w:rsidRPr="004E2A11">
        <w:rPr>
          <w:rFonts w:cs="Arial"/>
          <w:szCs w:val="22"/>
        </w:rPr>
        <w:t xml:space="preserve">. </w:t>
      </w:r>
      <w:r w:rsidR="006F23FC" w:rsidRPr="006F23FC">
        <w:rPr>
          <w:rFonts w:cs="Arial"/>
          <w:szCs w:val="22"/>
        </w:rPr>
        <w:t>However, experimental studies directly supporting this interfacial activation framework remain limited.</w:t>
      </w:r>
      <w:r w:rsidR="004E2A11" w:rsidRPr="004E2A11">
        <w:rPr>
          <w:rFonts w:cs="Arial"/>
          <w:szCs w:val="22"/>
        </w:rPr>
        <w:t xml:space="preserve"> </w:t>
      </w:r>
      <w:r w:rsidR="004C022B" w:rsidRPr="004C022B">
        <w:rPr>
          <w:rFonts w:cs="Arial"/>
          <w:szCs w:val="22"/>
        </w:rPr>
        <w:t>This may partly explain why the interfacial activation mechanism has not yet received attention commensurate with its potential.</w:t>
      </w:r>
    </w:p>
    <w:p w14:paraId="5E30CA88" w14:textId="77777777" w:rsidR="004C022B" w:rsidRPr="004C022B" w:rsidRDefault="004C022B" w:rsidP="004C022B">
      <w:pPr>
        <w:spacing w:line="360" w:lineRule="auto"/>
        <w:ind w:firstLine="420"/>
        <w:rPr>
          <w:rFonts w:cs="Arial"/>
          <w:szCs w:val="22"/>
        </w:rPr>
      </w:pPr>
      <w:r w:rsidRPr="004C022B">
        <w:rPr>
          <w:rFonts w:cs="Arial"/>
          <w:szCs w:val="22"/>
        </w:rPr>
        <w:t>On the one hand, the seemingly more dramatic chemistry associated with ROS-driven pathways tends to attract more immediate attention. On the other hand, the application scope and scale-up stability of interfacial activation are still supported by relatively limited experimental evidence. From an engineering perspective, however, structural gains arising from electric-field effects generally offer better reproducibility and tunability, and therefore may be more suitable for stable operation in continuous systems. If EDL-driven interfacial activation can achieve engineering implementation first, it may also provide a baseline framework and synergistic support for the more challenging ROS-based pathways, ultimately promoting the coordinated development of both approaches.</w:t>
      </w:r>
    </w:p>
    <w:p w14:paraId="71738BA9" w14:textId="520C1042" w:rsidR="00D50BC6" w:rsidRPr="00D50BC6" w:rsidRDefault="00D50BC6" w:rsidP="00D50BC6">
      <w:pPr>
        <w:spacing w:line="480" w:lineRule="auto"/>
        <w:rPr>
          <w:rFonts w:eastAsia="KaiTi" w:cs="Arial"/>
          <w:b/>
          <w:bCs/>
          <w:szCs w:val="21"/>
        </w:rPr>
      </w:pPr>
      <w:r>
        <w:rPr>
          <w:rFonts w:eastAsia="KaiTi" w:cs="Arial" w:hint="eastAsia"/>
          <w:b/>
          <w:bCs/>
          <w:szCs w:val="21"/>
        </w:rPr>
        <w:t xml:space="preserve">1.3 </w:t>
      </w:r>
      <w:r w:rsidRPr="00D50BC6">
        <w:rPr>
          <w:rFonts w:eastAsia="KaiTi" w:cs="Arial"/>
          <w:b/>
          <w:bCs/>
          <w:szCs w:val="21"/>
        </w:rPr>
        <w:t>Reaction pathways in amine-based CO</w:t>
      </w:r>
      <w:r w:rsidRPr="00D50BC6">
        <w:rPr>
          <w:rFonts w:ascii="Cambria Math" w:eastAsia="KaiTi" w:hAnsi="Cambria Math" w:cs="Cambria Math"/>
          <w:b/>
          <w:bCs/>
          <w:szCs w:val="21"/>
        </w:rPr>
        <w:t>₂</w:t>
      </w:r>
      <w:r w:rsidRPr="00D50BC6">
        <w:rPr>
          <w:rFonts w:eastAsia="KaiTi" w:cs="Arial"/>
          <w:b/>
          <w:bCs/>
          <w:szCs w:val="21"/>
        </w:rPr>
        <w:t xml:space="preserve"> capture</w:t>
      </w:r>
    </w:p>
    <w:p w14:paraId="59F69629" w14:textId="1E7D2266" w:rsidR="00901051" w:rsidRPr="00901051" w:rsidRDefault="00901051" w:rsidP="00901051">
      <w:pPr>
        <w:spacing w:line="360" w:lineRule="auto"/>
        <w:ind w:firstLine="420"/>
        <w:rPr>
          <w:rFonts w:cs="Arial"/>
          <w:szCs w:val="22"/>
        </w:rPr>
      </w:pPr>
      <w:r w:rsidRPr="00901051">
        <w:rPr>
          <w:rFonts w:cs="Arial"/>
          <w:szCs w:val="22"/>
        </w:rPr>
        <w:t>Under this background, representative primary/secondary amines, tertiary amines, and sterically hindered amine systems were selected as model absorbents to evaluate the intensification effect of the MIS unit across different amine chemistries. Different types of amine solutions exhibit distinct dominant reaction pathways during CO</w:t>
      </w:r>
      <w:r w:rsidRPr="00901051">
        <w:rPr>
          <w:rFonts w:ascii="Cambria Math" w:hAnsi="Cambria Math" w:cs="Cambria Math"/>
          <w:szCs w:val="22"/>
        </w:rPr>
        <w:t>₂</w:t>
      </w:r>
      <w:r w:rsidRPr="00901051">
        <w:rPr>
          <w:rFonts w:cs="Arial"/>
          <w:szCs w:val="22"/>
        </w:rPr>
        <w:t xml:space="preserve"> absorption. For clarity in the subsequent discussion, the key reactions can be simplified as follows</w:t>
      </w:r>
      <w:r w:rsidR="00345224">
        <w:rPr>
          <w:rFonts w:cs="Arial"/>
          <w:szCs w:val="22"/>
        </w:rPr>
        <w:fldChar w:fldCharType="begin">
          <w:fldData xml:space="preserve">PEVuZE5vdGU+PENpdGU+PEF1dGhvcj5DaGFvPC9BdXRob3I+PFllYXI+MjAyMTwvWWVhcj48UmVj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</w:fldData>
        </w:fldChar>
      </w:r>
      <w:r w:rsidR="00282AF2">
        <w:rPr>
          <w:rFonts w:cs="Arial"/>
          <w:szCs w:val="22"/>
        </w:rPr>
        <w:instrText xml:space="preserve"> ADDIN EN.CITE </w:instrText>
      </w:r>
      <w:r w:rsidR="00282AF2">
        <w:rPr>
          <w:rFonts w:cs="Arial"/>
          <w:szCs w:val="22"/>
        </w:rPr>
        <w:fldChar w:fldCharType="begin">
          <w:fldData xml:space="preserve">PEVuZE5vdGU+PENpdGU+PEF1dGhvcj5DaGFvPC9BdXRob3I+PFllYXI+MjAyMTwvWWVhcj48UmVj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</w:fldData>
        </w:fldChar>
      </w:r>
      <w:r w:rsidR="00282AF2">
        <w:rPr>
          <w:rFonts w:cs="Arial"/>
          <w:szCs w:val="22"/>
        </w:rPr>
        <w:instrText xml:space="preserve"> ADDIN EN.CITE.DATA </w:instrText>
      </w:r>
      <w:r w:rsidR="00282AF2">
        <w:rPr>
          <w:rFonts w:cs="Arial"/>
          <w:szCs w:val="22"/>
        </w:rPr>
      </w:r>
      <w:r w:rsidR="00282AF2">
        <w:rPr>
          <w:rFonts w:cs="Arial"/>
          <w:szCs w:val="22"/>
        </w:rPr>
        <w:fldChar w:fldCharType="end"/>
      </w:r>
      <w:r w:rsidR="00345224">
        <w:rPr>
          <w:rFonts w:cs="Arial"/>
          <w:szCs w:val="22"/>
        </w:rPr>
      </w:r>
      <w:r w:rsidR="00345224">
        <w:rPr>
          <w:rFonts w:cs="Arial"/>
          <w:szCs w:val="22"/>
        </w:rPr>
        <w:fldChar w:fldCharType="separate"/>
      </w:r>
      <w:r w:rsidR="00282AF2" w:rsidRPr="00282AF2">
        <w:rPr>
          <w:rFonts w:cs="Arial"/>
          <w:noProof/>
          <w:szCs w:val="22"/>
          <w:vertAlign w:val="superscript"/>
        </w:rPr>
        <w:t>10,35,36</w:t>
      </w:r>
      <w:r w:rsidR="00345224">
        <w:rPr>
          <w:rFonts w:cs="Arial"/>
          <w:szCs w:val="22"/>
        </w:rPr>
        <w:fldChar w:fldCharType="end"/>
      </w:r>
      <w:r w:rsidRPr="00901051">
        <w:rPr>
          <w:rFonts w:cs="Arial"/>
          <w:szCs w:val="22"/>
        </w:rPr>
        <w:t>.</w:t>
      </w:r>
    </w:p>
    <w:p w14:paraId="63EB8FD7" w14:textId="77777777" w:rsidR="00901051" w:rsidRPr="00901051" w:rsidRDefault="00901051" w:rsidP="00901051">
      <w:pPr>
        <w:spacing w:line="360" w:lineRule="auto"/>
        <w:ind w:firstLine="420"/>
        <w:rPr>
          <w:rFonts w:cs="Arial"/>
          <w:szCs w:val="22"/>
        </w:rPr>
      </w:pPr>
      <w:r w:rsidRPr="00901051">
        <w:rPr>
          <w:rFonts w:cs="Arial"/>
          <w:szCs w:val="22"/>
        </w:rPr>
        <w:t>For primary and secondary amines, as well as some sterically hindered amines, CO</w:t>
      </w:r>
      <w:r w:rsidRPr="00901051">
        <w:rPr>
          <w:rFonts w:ascii="Cambria Math" w:hAnsi="Cambria Math" w:cs="Cambria Math"/>
          <w:szCs w:val="22"/>
        </w:rPr>
        <w:t>₂</w:t>
      </w:r>
      <w:r w:rsidRPr="00901051">
        <w:rPr>
          <w:rFonts w:cs="Arial"/>
          <w:szCs w:val="22"/>
        </w:rPr>
        <w:t xml:space="preserve"> first reacts with the amine to form a zwitterionic intermediate:</w:t>
      </w:r>
    </w:p>
    <w:p w14:paraId="5EFA08FD" w14:textId="77777777" w:rsidR="00901051" w:rsidRPr="00901051" w:rsidRDefault="00901051" w:rsidP="00901051">
      <w:pPr>
        <w:spacing w:line="360" w:lineRule="auto"/>
        <w:jc w:val="center"/>
        <w:rPr>
          <w:rFonts w:cs="Arial"/>
          <w:szCs w:val="22"/>
        </w:rPr>
      </w:pPr>
      <w:r w:rsidRPr="00901051">
        <w:rPr>
          <w:rFonts w:cs="Arial"/>
          <w:szCs w:val="22"/>
        </w:rPr>
        <w:t>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NH + CO</w:t>
      </w:r>
      <w:r w:rsidRPr="00901051">
        <w:rPr>
          <w:rFonts w:ascii="Cambria Math" w:hAnsi="Cambria Math" w:cs="Cambria Math"/>
          <w:szCs w:val="22"/>
        </w:rPr>
        <w:t>₂</w:t>
      </w:r>
      <w:r w:rsidRPr="00901051">
        <w:rPr>
          <w:rFonts w:cs="Arial"/>
          <w:szCs w:val="22"/>
        </w:rPr>
        <w:t xml:space="preserve"> </w:t>
      </w:r>
      <w:r w:rsidRPr="00901051">
        <w:rPr>
          <w:rFonts w:ascii="Cambria Math" w:hAnsi="Cambria Math" w:cs="Cambria Math"/>
          <w:szCs w:val="22"/>
        </w:rPr>
        <w:t>⇌</w:t>
      </w:r>
      <w:r w:rsidRPr="00901051">
        <w:rPr>
          <w:rFonts w:cs="Arial"/>
          <w:szCs w:val="22"/>
        </w:rPr>
        <w:t xml:space="preserve"> 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NH</w:t>
      </w:r>
      <w:r w:rsidRPr="00901051">
        <w:rPr>
          <w:rFonts w:ascii="Cambria Math" w:hAnsi="Cambria Math" w:cs="Cambria Math"/>
          <w:szCs w:val="22"/>
        </w:rPr>
        <w:t>⁺</w:t>
      </w:r>
      <w:r w:rsidRPr="00901051">
        <w:rPr>
          <w:rFonts w:cs="Arial"/>
          <w:szCs w:val="22"/>
        </w:rPr>
        <w:t>COO</w:t>
      </w:r>
      <w:r w:rsidRPr="00901051">
        <w:rPr>
          <w:rFonts w:ascii="Cambria Math" w:hAnsi="Cambria Math" w:cs="Cambria Math"/>
          <w:szCs w:val="22"/>
        </w:rPr>
        <w:t>⁻</w:t>
      </w:r>
    </w:p>
    <w:p w14:paraId="3937C29A" w14:textId="77777777" w:rsidR="00901051" w:rsidRPr="00901051" w:rsidRDefault="00901051" w:rsidP="00901051">
      <w:pPr>
        <w:spacing w:line="360" w:lineRule="auto"/>
        <w:ind w:firstLine="420"/>
        <w:rPr>
          <w:rFonts w:cs="Arial"/>
          <w:szCs w:val="22"/>
        </w:rPr>
      </w:pPr>
      <w:r w:rsidRPr="00901051">
        <w:rPr>
          <w:rFonts w:cs="Arial"/>
          <w:szCs w:val="22"/>
        </w:rPr>
        <w:t>This intermediate can subsequently be deprotonated by another amine molecule to generate carbamate:</w:t>
      </w:r>
    </w:p>
    <w:p w14:paraId="2B316EFB" w14:textId="77777777" w:rsidR="00901051" w:rsidRPr="00901051" w:rsidRDefault="00901051" w:rsidP="00901051">
      <w:pPr>
        <w:spacing w:line="360" w:lineRule="auto"/>
        <w:jc w:val="center"/>
        <w:rPr>
          <w:rFonts w:cs="Arial"/>
          <w:szCs w:val="22"/>
        </w:rPr>
      </w:pPr>
      <w:r w:rsidRPr="00901051">
        <w:rPr>
          <w:rFonts w:cs="Arial"/>
          <w:szCs w:val="22"/>
        </w:rPr>
        <w:t>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NH</w:t>
      </w:r>
      <w:r w:rsidRPr="00901051">
        <w:rPr>
          <w:rFonts w:ascii="Cambria Math" w:hAnsi="Cambria Math" w:cs="Cambria Math"/>
          <w:szCs w:val="22"/>
        </w:rPr>
        <w:t>⁺</w:t>
      </w:r>
      <w:r w:rsidRPr="00901051">
        <w:rPr>
          <w:rFonts w:cs="Arial"/>
          <w:szCs w:val="22"/>
        </w:rPr>
        <w:t>COO</w:t>
      </w:r>
      <w:r w:rsidRPr="00901051">
        <w:rPr>
          <w:rFonts w:ascii="Cambria Math" w:hAnsi="Cambria Math" w:cs="Cambria Math"/>
          <w:szCs w:val="22"/>
        </w:rPr>
        <w:t>⁻</w:t>
      </w:r>
      <w:r w:rsidRPr="00901051">
        <w:rPr>
          <w:rFonts w:cs="Arial"/>
          <w:szCs w:val="22"/>
        </w:rPr>
        <w:t xml:space="preserve"> + B → 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NCOO</w:t>
      </w:r>
      <w:r w:rsidRPr="00901051">
        <w:rPr>
          <w:rFonts w:ascii="Cambria Math" w:hAnsi="Cambria Math" w:cs="Cambria Math"/>
          <w:szCs w:val="22"/>
        </w:rPr>
        <w:t>⁻</w:t>
      </w:r>
      <w:r w:rsidRPr="00901051">
        <w:rPr>
          <w:rFonts w:cs="Arial"/>
          <w:szCs w:val="22"/>
        </w:rPr>
        <w:t xml:space="preserve"> + BH</w:t>
      </w:r>
      <w:r w:rsidRPr="00901051">
        <w:rPr>
          <w:rFonts w:ascii="Cambria Math" w:hAnsi="Cambria Math" w:cs="Cambria Math"/>
          <w:szCs w:val="22"/>
        </w:rPr>
        <w:t>⁺</w:t>
      </w:r>
    </w:p>
    <w:p w14:paraId="227B4F47" w14:textId="77777777" w:rsidR="00901051" w:rsidRPr="00901051" w:rsidRDefault="00901051" w:rsidP="00901051">
      <w:pPr>
        <w:spacing w:line="360" w:lineRule="auto"/>
        <w:ind w:firstLine="420"/>
        <w:rPr>
          <w:rFonts w:cs="Arial"/>
          <w:szCs w:val="22"/>
        </w:rPr>
      </w:pPr>
      <w:r w:rsidRPr="00901051">
        <w:rPr>
          <w:rFonts w:cs="Arial"/>
          <w:szCs w:val="22"/>
        </w:rPr>
        <w:lastRenderedPageBreak/>
        <w:t>For sterically hindered amine systems, the formed carbamate is less stable and can further react with water to produce bicarbonate:</w:t>
      </w:r>
    </w:p>
    <w:p w14:paraId="6F9D2431" w14:textId="77777777" w:rsidR="00901051" w:rsidRPr="00901051" w:rsidRDefault="00901051" w:rsidP="00901051">
      <w:pPr>
        <w:spacing w:line="360" w:lineRule="auto"/>
        <w:jc w:val="center"/>
        <w:rPr>
          <w:rFonts w:cs="Arial"/>
          <w:szCs w:val="22"/>
        </w:rPr>
      </w:pPr>
      <w:r w:rsidRPr="00901051">
        <w:rPr>
          <w:rFonts w:cs="Arial"/>
          <w:szCs w:val="22"/>
        </w:rPr>
        <w:t>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NCOO</w:t>
      </w:r>
      <w:r w:rsidRPr="00901051">
        <w:rPr>
          <w:rFonts w:ascii="Cambria Math" w:hAnsi="Cambria Math" w:cs="Cambria Math"/>
          <w:szCs w:val="22"/>
        </w:rPr>
        <w:t>⁻</w:t>
      </w:r>
      <w:r w:rsidRPr="00901051">
        <w:rPr>
          <w:rFonts w:cs="Arial"/>
          <w:szCs w:val="22"/>
        </w:rPr>
        <w:t xml:space="preserve"> + H</w:t>
      </w:r>
      <w:r w:rsidRPr="00901051">
        <w:rPr>
          <w:rFonts w:ascii="Cambria Math" w:hAnsi="Cambria Math" w:cs="Cambria Math"/>
          <w:szCs w:val="22"/>
        </w:rPr>
        <w:t>₂</w:t>
      </w:r>
      <w:r w:rsidRPr="00901051">
        <w:rPr>
          <w:rFonts w:cs="Arial"/>
          <w:szCs w:val="22"/>
        </w:rPr>
        <w:t xml:space="preserve">O </w:t>
      </w:r>
      <w:r w:rsidRPr="00901051">
        <w:rPr>
          <w:rFonts w:ascii="Cambria Math" w:hAnsi="Cambria Math" w:cs="Cambria Math"/>
          <w:szCs w:val="22"/>
        </w:rPr>
        <w:t>⇌</w:t>
      </w:r>
      <w:r w:rsidRPr="00901051">
        <w:rPr>
          <w:rFonts w:cs="Arial"/>
          <w:szCs w:val="22"/>
        </w:rPr>
        <w:t xml:space="preserve"> HCO</w:t>
      </w:r>
      <w:r w:rsidRPr="00901051">
        <w:rPr>
          <w:rFonts w:ascii="Cambria Math" w:hAnsi="Cambria Math" w:cs="Cambria Math"/>
          <w:szCs w:val="22"/>
        </w:rPr>
        <w:t>₃⁻</w:t>
      </w:r>
      <w:r w:rsidRPr="00901051">
        <w:rPr>
          <w:rFonts w:cs="Arial"/>
          <w:szCs w:val="22"/>
        </w:rPr>
        <w:t xml:space="preserve"> + 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NH</w:t>
      </w:r>
    </w:p>
    <w:p w14:paraId="7A825DFD" w14:textId="77777777" w:rsidR="00901051" w:rsidRPr="00901051" w:rsidRDefault="00901051" w:rsidP="00901051">
      <w:pPr>
        <w:spacing w:line="360" w:lineRule="auto"/>
        <w:ind w:firstLine="420"/>
        <w:rPr>
          <w:rFonts w:cs="Arial"/>
          <w:szCs w:val="22"/>
        </w:rPr>
      </w:pPr>
      <w:r w:rsidRPr="00901051">
        <w:rPr>
          <w:rFonts w:cs="Arial"/>
          <w:szCs w:val="22"/>
        </w:rPr>
        <w:t>For tertiary amines, because the nitrogen atom lacks an N–H bond capable of forming a stable carbamate species, CO</w:t>
      </w:r>
      <w:r w:rsidRPr="00901051">
        <w:rPr>
          <w:rFonts w:ascii="Cambria Math" w:hAnsi="Cambria Math" w:cs="Cambria Math"/>
          <w:szCs w:val="22"/>
        </w:rPr>
        <w:t>₂</w:t>
      </w:r>
      <w:r w:rsidRPr="00901051">
        <w:rPr>
          <w:rFonts w:cs="Arial"/>
          <w:szCs w:val="22"/>
        </w:rPr>
        <w:t xml:space="preserve"> absorption mainly proceeds through the bicarbonate pathway, which can be approximated as:</w:t>
      </w:r>
    </w:p>
    <w:p w14:paraId="765CAC37" w14:textId="77777777" w:rsidR="00901051" w:rsidRPr="00901051" w:rsidRDefault="00901051" w:rsidP="00901051">
      <w:pPr>
        <w:spacing w:line="360" w:lineRule="auto"/>
        <w:jc w:val="center"/>
        <w:rPr>
          <w:rFonts w:cs="Arial"/>
          <w:szCs w:val="22"/>
        </w:rPr>
      </w:pPr>
      <w:r w:rsidRPr="00901051">
        <w:rPr>
          <w:rFonts w:cs="Arial"/>
          <w:szCs w:val="22"/>
        </w:rPr>
        <w:t>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R</w:t>
      </w:r>
      <w:r w:rsidRPr="00901051">
        <w:rPr>
          <w:rFonts w:ascii="Cambria Math" w:hAnsi="Cambria Math" w:cs="Cambria Math"/>
          <w:szCs w:val="22"/>
        </w:rPr>
        <w:t>₃</w:t>
      </w:r>
      <w:r w:rsidRPr="00901051">
        <w:rPr>
          <w:rFonts w:cs="Arial"/>
          <w:szCs w:val="22"/>
        </w:rPr>
        <w:t>N + H</w:t>
      </w:r>
      <w:r w:rsidRPr="00901051">
        <w:rPr>
          <w:rFonts w:ascii="Cambria Math" w:hAnsi="Cambria Math" w:cs="Cambria Math"/>
          <w:szCs w:val="22"/>
        </w:rPr>
        <w:t>₂</w:t>
      </w:r>
      <w:r w:rsidRPr="00901051">
        <w:rPr>
          <w:rFonts w:cs="Arial"/>
          <w:szCs w:val="22"/>
        </w:rPr>
        <w:t>CO</w:t>
      </w:r>
      <w:r w:rsidRPr="00901051">
        <w:rPr>
          <w:rFonts w:ascii="Cambria Math" w:hAnsi="Cambria Math" w:cs="Cambria Math"/>
          <w:szCs w:val="22"/>
        </w:rPr>
        <w:t>₃</w:t>
      </w:r>
      <w:r w:rsidRPr="00901051">
        <w:rPr>
          <w:rFonts w:cs="Arial"/>
          <w:szCs w:val="22"/>
        </w:rPr>
        <w:t xml:space="preserve"> </w:t>
      </w:r>
      <w:r w:rsidRPr="00901051">
        <w:rPr>
          <w:rFonts w:ascii="Cambria Math" w:hAnsi="Cambria Math" w:cs="Cambria Math"/>
          <w:szCs w:val="22"/>
        </w:rPr>
        <w:t>⇌</w:t>
      </w:r>
      <w:r w:rsidRPr="00901051">
        <w:rPr>
          <w:rFonts w:cs="Arial"/>
          <w:szCs w:val="22"/>
        </w:rPr>
        <w:t xml:space="preserve"> R</w:t>
      </w:r>
      <w:r w:rsidRPr="00901051">
        <w:rPr>
          <w:rFonts w:ascii="Cambria Math" w:hAnsi="Cambria Math" w:cs="Cambria Math"/>
          <w:szCs w:val="22"/>
        </w:rPr>
        <w:t>₁</w:t>
      </w:r>
      <w:r w:rsidRPr="00901051">
        <w:rPr>
          <w:rFonts w:cs="Arial"/>
          <w:szCs w:val="22"/>
        </w:rPr>
        <w:t>R</w:t>
      </w:r>
      <w:r w:rsidRPr="00901051">
        <w:rPr>
          <w:rFonts w:ascii="Cambria Math" w:hAnsi="Cambria Math" w:cs="Cambria Math"/>
          <w:szCs w:val="22"/>
        </w:rPr>
        <w:t>₂</w:t>
      </w:r>
      <w:r w:rsidRPr="00901051">
        <w:rPr>
          <w:rFonts w:cs="Arial"/>
          <w:szCs w:val="22"/>
        </w:rPr>
        <w:t>R</w:t>
      </w:r>
      <w:r w:rsidRPr="00901051">
        <w:rPr>
          <w:rFonts w:ascii="Cambria Math" w:hAnsi="Cambria Math" w:cs="Cambria Math"/>
          <w:szCs w:val="22"/>
        </w:rPr>
        <w:t>₃</w:t>
      </w:r>
      <w:r w:rsidRPr="00901051">
        <w:rPr>
          <w:rFonts w:cs="Arial"/>
          <w:szCs w:val="22"/>
        </w:rPr>
        <w:t>NH</w:t>
      </w:r>
      <w:r w:rsidRPr="00901051">
        <w:rPr>
          <w:rFonts w:ascii="Cambria Math" w:hAnsi="Cambria Math" w:cs="Cambria Math"/>
          <w:szCs w:val="22"/>
        </w:rPr>
        <w:t>⁺</w:t>
      </w:r>
      <w:r w:rsidRPr="00901051">
        <w:rPr>
          <w:rFonts w:cs="Arial"/>
          <w:szCs w:val="22"/>
        </w:rPr>
        <w:t xml:space="preserve"> + HCO</w:t>
      </w:r>
      <w:r w:rsidRPr="00901051">
        <w:rPr>
          <w:rFonts w:ascii="Cambria Math" w:hAnsi="Cambria Math" w:cs="Cambria Math"/>
          <w:szCs w:val="22"/>
        </w:rPr>
        <w:t>₃⁻</w:t>
      </w:r>
    </w:p>
    <w:p w14:paraId="5C47BD2E" w14:textId="77777777" w:rsidR="00901051" w:rsidRPr="00901051" w:rsidRDefault="00901051" w:rsidP="00901051">
      <w:pPr>
        <w:spacing w:line="360" w:lineRule="auto"/>
        <w:ind w:firstLine="420"/>
        <w:rPr>
          <w:rFonts w:cs="Arial"/>
          <w:szCs w:val="22"/>
        </w:rPr>
      </w:pPr>
      <w:r w:rsidRPr="00901051">
        <w:rPr>
          <w:rFonts w:cs="Arial"/>
          <w:szCs w:val="22"/>
        </w:rPr>
        <w:t>Therefore, in primary and secondary amine systems, CO</w:t>
      </w:r>
      <w:r w:rsidRPr="00901051">
        <w:rPr>
          <w:rFonts w:ascii="Cambria Math" w:hAnsi="Cambria Math" w:cs="Cambria Math"/>
          <w:szCs w:val="22"/>
        </w:rPr>
        <w:t>₂</w:t>
      </w:r>
      <w:r w:rsidRPr="00901051">
        <w:rPr>
          <w:rFonts w:cs="Arial"/>
          <w:szCs w:val="22"/>
        </w:rPr>
        <w:t xml:space="preserve"> absorption is typically dominated by the carbamate pathway, whereas in tertiary and sterically hindered amine systems the macroscopic loading is more commonly governed by bicarbonate formation. Based on this distinction, the subsequent derivation of loading–equilibrium relationships primarily focuses on the bicarbonate-dominated regime.</w:t>
      </w:r>
    </w:p>
    <w:p w14:paraId="473169A6" w14:textId="77777777" w:rsidR="00901051" w:rsidRPr="00901051" w:rsidRDefault="00901051" w:rsidP="00901051">
      <w:pPr>
        <w:spacing w:line="360" w:lineRule="auto"/>
        <w:ind w:firstLine="420"/>
        <w:rPr>
          <w:rFonts w:cs="Arial"/>
          <w:szCs w:val="22"/>
        </w:rPr>
      </w:pPr>
      <w:r w:rsidRPr="00901051">
        <w:rPr>
          <w:rFonts w:cs="Arial"/>
          <w:szCs w:val="22"/>
        </w:rPr>
        <w:t>The solvent combinations employed in this work have been widely studied and applied in industrial processes, thereby providing a realistic platform for evaluating the engineering feasibility of the MIS strategy. In addition, the relatively simple chemistry of these systems facilitates clearer interpretation of interfacial effects. It should be noted that the MIS strategy is not restricted to conventional solvent systems. In principle, it can also be integrated with recently developed solvent strategies designed for low-temperature regeneration or high loading, such as biphasic solvent systems or ionic liquids, thereby further amplifying the thermodynamic advantages associated with interfacial regulation.</w:t>
      </w:r>
    </w:p>
    <w:p w14:paraId="2045F505" w14:textId="77777777" w:rsidR="00D47B25" w:rsidRPr="002211F7" w:rsidRDefault="00D47B25" w:rsidP="00D47B25">
      <w:pPr>
        <w:spacing w:after="0" w:line="480" w:lineRule="auto"/>
        <w:rPr>
          <w:rFonts w:cs="Arial"/>
          <w:b/>
          <w:bCs/>
          <w:sz w:val="28"/>
          <w:szCs w:val="28"/>
        </w:rPr>
      </w:pPr>
      <w:r w:rsidRPr="002211F7">
        <w:rPr>
          <w:rFonts w:cs="Arial"/>
          <w:b/>
          <w:bCs/>
          <w:sz w:val="28"/>
          <w:szCs w:val="28"/>
        </w:rPr>
        <w:t>2 Methods</w:t>
      </w:r>
    </w:p>
    <w:p w14:paraId="36D5714C" w14:textId="77777777" w:rsidR="00D47B25" w:rsidRPr="004F35D4" w:rsidRDefault="00D47B25" w:rsidP="00D47B25">
      <w:pPr>
        <w:spacing w:line="480" w:lineRule="auto"/>
        <w:rPr>
          <w:rFonts w:eastAsia="KaiTi" w:cs="Arial"/>
          <w:b/>
          <w:bCs/>
          <w:szCs w:val="21"/>
        </w:rPr>
      </w:pPr>
      <w:r w:rsidRPr="004F35D4">
        <w:rPr>
          <w:rFonts w:eastAsia="KaiTi" w:cs="Arial"/>
          <w:b/>
          <w:bCs/>
          <w:szCs w:val="21"/>
        </w:rPr>
        <w:t>2.1 Experimental methods</w:t>
      </w:r>
    </w:p>
    <w:p w14:paraId="0DF865B6" w14:textId="0818CFC3" w:rsidR="00816621" w:rsidRDefault="006A2E23" w:rsidP="008B5FEA">
      <w:pPr>
        <w:spacing w:line="360" w:lineRule="auto"/>
        <w:ind w:firstLine="420"/>
        <w:rPr>
          <w:rFonts w:cs="Arial"/>
          <w:szCs w:val="22"/>
        </w:rPr>
      </w:pPr>
      <w:r w:rsidRPr="006A2E23">
        <w:rPr>
          <w:rFonts w:cs="Arial"/>
          <w:szCs w:val="22"/>
        </w:rPr>
        <w:t xml:space="preserve">The continuous absorption–regeneration system consisted of an absorption section, an MIS intensification section, and a regeneration section connected in series. A photograph of the experimental setup is shown in Fig. S1. According to the equipment design specifications, both the absorption column and the regeneration column were atmospheric glass columns with dimensions of φ36 × 3 × 1000 mm and a packed height of 800 mm. Temperature and pressure </w:t>
      </w:r>
      <w:r w:rsidRPr="006A2E23">
        <w:rPr>
          <w:rFonts w:cs="Arial"/>
          <w:szCs w:val="22"/>
        </w:rPr>
        <w:lastRenderedPageBreak/>
        <w:t>monitoring points were installed at both the top and bottom of the columns. The system was equipped with lean and rich solution storage tanks, a lean–rich heat exchanger, a cooler, an online CO</w:t>
      </w:r>
      <w:r w:rsidRPr="006A2E23">
        <w:rPr>
          <w:rFonts w:ascii="Cambria Math" w:hAnsi="Cambria Math" w:cs="Cambria Math"/>
          <w:szCs w:val="22"/>
        </w:rPr>
        <w:t>₂</w:t>
      </w:r>
      <w:r w:rsidRPr="006A2E23">
        <w:rPr>
          <w:rFonts w:cs="Arial"/>
          <w:szCs w:val="22"/>
        </w:rPr>
        <w:t xml:space="preserve"> analyzer, and a mass flow control unit, enabling continuous absorption–regeneration operation. </w:t>
      </w:r>
      <w:r w:rsidR="00501A7E" w:rsidRPr="00501A7E">
        <w:rPr>
          <w:rFonts w:cs="Arial"/>
          <w:szCs w:val="22"/>
        </w:rPr>
        <w:t>The basic operating ranges specified in the operating protocol were as follows: mixed-gas flow rate of 0–30 L min</w:t>
      </w:r>
      <w:r w:rsidR="00501A7E" w:rsidRPr="00501A7E">
        <w:rPr>
          <w:rFonts w:ascii="Cambria Math" w:hAnsi="Cambria Math" w:cs="Cambria Math"/>
          <w:szCs w:val="22"/>
        </w:rPr>
        <w:t>⁻</w:t>
      </w:r>
      <w:r w:rsidR="00501A7E" w:rsidRPr="00501A7E">
        <w:rPr>
          <w:rFonts w:cs="Arial"/>
          <w:szCs w:val="22"/>
        </w:rPr>
        <w:t>¹, CO</w:t>
      </w:r>
      <w:r w:rsidR="00501A7E" w:rsidRPr="00501A7E">
        <w:rPr>
          <w:rFonts w:ascii="Cambria Math" w:hAnsi="Cambria Math" w:cs="Cambria Math"/>
          <w:szCs w:val="22"/>
        </w:rPr>
        <w:t>₂</w:t>
      </w:r>
      <w:r w:rsidR="00501A7E" w:rsidRPr="00501A7E">
        <w:rPr>
          <w:rFonts w:cs="Arial"/>
          <w:szCs w:val="22"/>
        </w:rPr>
        <w:t xml:space="preserve"> volume fraction of approximately 10%, liquid flow rate of 0–100 mL min</w:t>
      </w:r>
      <w:r w:rsidR="00501A7E" w:rsidRPr="00501A7E">
        <w:rPr>
          <w:rFonts w:ascii="Cambria Math" w:hAnsi="Cambria Math" w:cs="Cambria Math"/>
          <w:szCs w:val="22"/>
        </w:rPr>
        <w:t>⁻</w:t>
      </w:r>
      <w:r w:rsidR="00501A7E" w:rsidRPr="00501A7E">
        <w:rPr>
          <w:rFonts w:cs="Arial"/>
          <w:szCs w:val="22"/>
        </w:rPr>
        <w:t>¹, with the system operated at atmospheric pressure.</w:t>
      </w:r>
      <w:r w:rsidR="007B2D5C">
        <w:rPr>
          <w:rFonts w:cs="Arial"/>
          <w:noProof/>
          <w:szCs w:val="22"/>
        </w:rPr>
        <w:drawing>
          <wp:inline distT="0" distB="0" distL="0" distR="0" wp14:anchorId="0953B2C3" wp14:editId="2B165B49">
            <wp:extent cx="5724525" cy="4291965"/>
            <wp:effectExtent l="0" t="0" r="9525" b="0"/>
            <wp:docPr id="1670423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291965"/>
                    </a:xfrm>
                    <a:prstGeom prst="rect">
                      <a:avLst/>
                    </a:prstGeom>
                    <a:noFill/>
                    <a:ln>
                      <a:noFill/>
                    </a:ln>
                  </pic:spPr>
                </pic:pic>
              </a:graphicData>
            </a:graphic>
          </wp:inline>
        </w:drawing>
      </w:r>
    </w:p>
    <w:p w14:paraId="24E3173D" w14:textId="14A987EB" w:rsidR="007B2D5C" w:rsidRPr="002211F7" w:rsidRDefault="007B2D5C" w:rsidP="008F6360">
      <w:pPr>
        <w:spacing w:line="360" w:lineRule="auto"/>
        <w:jc w:val="center"/>
        <w:rPr>
          <w:rFonts w:cs="Arial"/>
          <w:b/>
          <w:bCs/>
          <w:szCs w:val="22"/>
        </w:rPr>
      </w:pPr>
      <w:r w:rsidRPr="002211F7">
        <w:rPr>
          <w:rFonts w:cs="Arial" w:hint="eastAsia"/>
          <w:b/>
          <w:bCs/>
          <w:szCs w:val="22"/>
        </w:rPr>
        <w:t xml:space="preserve">Fig.S1 </w:t>
      </w:r>
      <w:r w:rsidR="008F6360" w:rsidRPr="002211F7">
        <w:rPr>
          <w:rFonts w:cs="Arial"/>
          <w:b/>
          <w:bCs/>
          <w:szCs w:val="22"/>
        </w:rPr>
        <w:t>Photograph of the experimental setup.</w:t>
      </w:r>
    </w:p>
    <w:p w14:paraId="3497C89B" w14:textId="28D982A9" w:rsidR="006A2E23" w:rsidRPr="006A2E23" w:rsidRDefault="00B92A49" w:rsidP="006A2E23">
      <w:pPr>
        <w:spacing w:line="360" w:lineRule="auto"/>
        <w:ind w:firstLine="420"/>
        <w:rPr>
          <w:rFonts w:cs="Arial"/>
          <w:szCs w:val="22"/>
        </w:rPr>
      </w:pPr>
      <w:r>
        <w:rPr>
          <w:rFonts w:cs="Arial" w:hint="eastAsia"/>
          <w:szCs w:val="22"/>
        </w:rPr>
        <w:t>The</w:t>
      </w:r>
      <w:r w:rsidR="006A2E23" w:rsidRPr="006A2E23">
        <w:rPr>
          <w:rFonts w:cs="Arial"/>
          <w:szCs w:val="22"/>
        </w:rPr>
        <w:t xml:space="preserve"> independent MIS intensification section was installed between the absorber outlet and the regenerator inlet. The MIS reactor consisted of a transparent glass column with a total height of 1100 mm, an inner diameter of 100 mm, and a wall thickness of 5 mm. Including the storage tank, the total system volume was approximately 15 L. </w:t>
      </w:r>
      <w:r>
        <w:rPr>
          <w:rFonts w:cs="Arial" w:hint="eastAsia"/>
          <w:szCs w:val="22"/>
        </w:rPr>
        <w:t>The</w:t>
      </w:r>
      <w:r w:rsidR="006A2E23" w:rsidRPr="006A2E23">
        <w:rPr>
          <w:rFonts w:cs="Arial"/>
          <w:szCs w:val="22"/>
        </w:rPr>
        <w:t xml:space="preserve"> MIR micro-interface generator (gas flow capacity 0–30 L min</w:t>
      </w:r>
      <w:r w:rsidR="006A2E23" w:rsidRPr="006A2E23">
        <w:rPr>
          <w:rFonts w:ascii="Cambria Math" w:hAnsi="Cambria Math" w:cs="Cambria Math"/>
          <w:szCs w:val="22"/>
        </w:rPr>
        <w:t>⁻</w:t>
      </w:r>
      <w:r w:rsidR="006A2E23" w:rsidRPr="006A2E23">
        <w:rPr>
          <w:rFonts w:cs="Arial"/>
          <w:szCs w:val="22"/>
        </w:rPr>
        <w:t>¹) was installed at the top of the reactor to efficiently generate microbubbles under negative pressure conditions.</w:t>
      </w:r>
    </w:p>
    <w:p w14:paraId="3DF7AEBC" w14:textId="77777777" w:rsidR="006A2E23" w:rsidRPr="006A2E23" w:rsidRDefault="006A2E23" w:rsidP="006A2E23">
      <w:pPr>
        <w:spacing w:line="360" w:lineRule="auto"/>
        <w:ind w:firstLine="420"/>
        <w:rPr>
          <w:rFonts w:cs="Arial"/>
          <w:szCs w:val="22"/>
        </w:rPr>
      </w:pPr>
      <w:r w:rsidRPr="006A2E23">
        <w:rPr>
          <w:rFonts w:cs="Arial"/>
          <w:szCs w:val="22"/>
        </w:rPr>
        <w:t>Unless otherwise specified, the experimental gases were prepared from CO</w:t>
      </w:r>
      <w:r w:rsidRPr="006A2E23">
        <w:rPr>
          <w:rFonts w:ascii="Cambria Math" w:hAnsi="Cambria Math" w:cs="Cambria Math"/>
          <w:szCs w:val="22"/>
        </w:rPr>
        <w:t>₂</w:t>
      </w:r>
      <w:r w:rsidRPr="006A2E23">
        <w:rPr>
          <w:rFonts w:cs="Arial"/>
          <w:szCs w:val="22"/>
        </w:rPr>
        <w:t>/N</w:t>
      </w:r>
      <w:r w:rsidRPr="006A2E23">
        <w:rPr>
          <w:rFonts w:ascii="Cambria Math" w:hAnsi="Cambria Math" w:cs="Cambria Math"/>
          <w:szCs w:val="22"/>
        </w:rPr>
        <w:t>₂</w:t>
      </w:r>
      <w:r w:rsidRPr="006A2E23">
        <w:rPr>
          <w:rFonts w:cs="Arial"/>
          <w:szCs w:val="22"/>
        </w:rPr>
        <w:t xml:space="preserve"> mixtures </w:t>
      </w:r>
      <w:r w:rsidRPr="006A2E23">
        <w:rPr>
          <w:rFonts w:cs="Arial"/>
          <w:szCs w:val="22"/>
        </w:rPr>
        <w:lastRenderedPageBreak/>
        <w:t>without introducing O</w:t>
      </w:r>
      <w:r w:rsidRPr="006A2E23">
        <w:rPr>
          <w:rFonts w:ascii="Cambria Math" w:hAnsi="Cambria Math" w:cs="Cambria Math"/>
          <w:szCs w:val="22"/>
        </w:rPr>
        <w:t>₂</w:t>
      </w:r>
      <w:r w:rsidRPr="006A2E23">
        <w:rPr>
          <w:rFonts w:cs="Arial"/>
          <w:szCs w:val="22"/>
        </w:rPr>
        <w:t>. The operating temperatures of both the absorption column and the MIS section were maintained at 40 °C. The reboiler temperature of the regeneration column was controlled between 75 and 120 °C, while the column body temperature was typically about 20 °C lower than the reboiler temperature. The system operated under atmospheric pressure. Unless otherwise stated, no demister was installed at intermediate locations. A condenser reflux unit was installed at the top of the system and operated using cooling water at ambient temperature.</w:t>
      </w:r>
    </w:p>
    <w:p w14:paraId="61F746A0" w14:textId="77777777" w:rsidR="006A2E23" w:rsidRPr="006A2E23" w:rsidRDefault="006A2E23" w:rsidP="006A2E23">
      <w:pPr>
        <w:spacing w:line="360" w:lineRule="auto"/>
        <w:ind w:firstLine="420"/>
        <w:rPr>
          <w:rFonts w:cs="Arial"/>
          <w:szCs w:val="22"/>
        </w:rPr>
      </w:pPr>
      <w:r w:rsidRPr="006A2E23">
        <w:rPr>
          <w:rFonts w:cs="Arial"/>
          <w:szCs w:val="22"/>
        </w:rPr>
        <w:t>The total amine concentration used in the experiments was 30 wt%. For the MDEA–PZ system, the molar ratio of MDEA to PZ was 1:3. The total amount of CO</w:t>
      </w:r>
      <w:r w:rsidRPr="006A2E23">
        <w:rPr>
          <w:rFonts w:ascii="Cambria Math" w:hAnsi="Cambria Math" w:cs="Cambria Math"/>
          <w:szCs w:val="22"/>
        </w:rPr>
        <w:t>₂</w:t>
      </w:r>
      <w:r w:rsidRPr="006A2E23">
        <w:rPr>
          <w:rFonts w:cs="Arial"/>
          <w:szCs w:val="22"/>
        </w:rPr>
        <w:t xml:space="preserve"> absorbed during the experiments was determined using two complementary methods. The first method was based on the difference between inlet and outlet CO</w:t>
      </w:r>
      <w:r w:rsidRPr="006A2E23">
        <w:rPr>
          <w:rFonts w:ascii="Cambria Math" w:hAnsi="Cambria Math" w:cs="Cambria Math"/>
          <w:szCs w:val="22"/>
        </w:rPr>
        <w:t>₂</w:t>
      </w:r>
      <w:r w:rsidRPr="006A2E23">
        <w:rPr>
          <w:rFonts w:cs="Arial"/>
          <w:szCs w:val="22"/>
        </w:rPr>
        <w:t xml:space="preserve"> concentrations measured by the online gas analyzer, and the total absorption amount was obtained by integrating the instantaneous absorption rate over time. The second method was a volumetric measurement. A fixed volume of reacted solution was sampled and treated with excess sulfuric acid to release the absorbed CO</w:t>
      </w:r>
      <w:r w:rsidRPr="006A2E23">
        <w:rPr>
          <w:rFonts w:ascii="Cambria Math" w:hAnsi="Cambria Math" w:cs="Cambria Math"/>
          <w:szCs w:val="22"/>
        </w:rPr>
        <w:t>₂</w:t>
      </w:r>
      <w:r w:rsidRPr="006A2E23">
        <w:rPr>
          <w:rFonts w:cs="Arial"/>
          <w:szCs w:val="22"/>
        </w:rPr>
        <w:t xml:space="preserve"> completely. The released gas volume was then measured using a gas burette to calculate the CO</w:t>
      </w:r>
      <w:r w:rsidRPr="006A2E23">
        <w:rPr>
          <w:rFonts w:ascii="Cambria Math" w:hAnsi="Cambria Math" w:cs="Cambria Math"/>
          <w:szCs w:val="22"/>
        </w:rPr>
        <w:t>₂</w:t>
      </w:r>
      <w:r w:rsidRPr="006A2E23">
        <w:rPr>
          <w:rFonts w:cs="Arial"/>
          <w:szCs w:val="22"/>
        </w:rPr>
        <w:t xml:space="preserve"> absorption amount. The deviation between the two methods was controlled within 5%.</w:t>
      </w:r>
    </w:p>
    <w:p w14:paraId="665D4A47" w14:textId="77777777" w:rsidR="006A2E23" w:rsidRPr="006A2E23" w:rsidRDefault="006A2E23" w:rsidP="006A2E23">
      <w:pPr>
        <w:spacing w:line="360" w:lineRule="auto"/>
        <w:ind w:firstLine="420"/>
        <w:rPr>
          <w:rFonts w:cs="Arial"/>
          <w:szCs w:val="22"/>
        </w:rPr>
      </w:pPr>
      <w:r w:rsidRPr="006A2E23">
        <w:rPr>
          <w:rFonts w:cs="Arial"/>
          <w:szCs w:val="22"/>
        </w:rPr>
        <w:t>CO</w:t>
      </w:r>
      <w:r w:rsidRPr="006A2E23">
        <w:rPr>
          <w:rFonts w:ascii="Cambria Math" w:hAnsi="Cambria Math" w:cs="Cambria Math"/>
          <w:szCs w:val="22"/>
        </w:rPr>
        <w:t>₂</w:t>
      </w:r>
      <w:r w:rsidRPr="006A2E23">
        <w:rPr>
          <w:rFonts w:cs="Arial"/>
          <w:szCs w:val="22"/>
        </w:rPr>
        <w:t xml:space="preserve"> loading was defined as the moles of absorbed CO</w:t>
      </w:r>
      <w:r w:rsidRPr="006A2E23">
        <w:rPr>
          <w:rFonts w:ascii="Cambria Math" w:hAnsi="Cambria Math" w:cs="Cambria Math"/>
          <w:szCs w:val="22"/>
        </w:rPr>
        <w:t>₂</w:t>
      </w:r>
      <w:r w:rsidRPr="006A2E23">
        <w:rPr>
          <w:rFonts w:cs="Arial"/>
          <w:szCs w:val="22"/>
        </w:rPr>
        <w:t xml:space="preserve"> per kilogram of absorbent solution (α = nCO</w:t>
      </w:r>
      <w:r w:rsidRPr="006A2E23">
        <w:rPr>
          <w:rFonts w:ascii="Cambria Math" w:hAnsi="Cambria Math" w:cs="Cambria Math"/>
          <w:szCs w:val="22"/>
        </w:rPr>
        <w:t>₂</w:t>
      </w:r>
      <w:r w:rsidRPr="006A2E23">
        <w:rPr>
          <w:rFonts w:cs="Arial"/>
          <w:szCs w:val="22"/>
        </w:rPr>
        <w:t xml:space="preserve"> / kg). The solution leaving the regenerator was defined as lean loading, the solution leaving the absorber as rich loading, and the solution leaving the MIS section as MIS loading. The total liquid flow rate was maintained between 10 and 20 mL min</w:t>
      </w:r>
      <w:r w:rsidRPr="006A2E23">
        <w:rPr>
          <w:rFonts w:ascii="Cambria Math" w:hAnsi="Cambria Math" w:cs="Cambria Math"/>
          <w:szCs w:val="22"/>
        </w:rPr>
        <w:t>⁻</w:t>
      </w:r>
      <w:r w:rsidRPr="006A2E23">
        <w:rPr>
          <w:rFonts w:cs="Arial"/>
          <w:szCs w:val="22"/>
        </w:rPr>
        <w:t>¹. The total gas flow rate and its distribution among the sections were determined according to the liquid flow rate and the target capture efficiency. The CO</w:t>
      </w:r>
      <w:r w:rsidRPr="006A2E23">
        <w:rPr>
          <w:rFonts w:ascii="Cambria Math" w:hAnsi="Cambria Math" w:cs="Cambria Math"/>
          <w:szCs w:val="22"/>
        </w:rPr>
        <w:t>₂</w:t>
      </w:r>
      <w:r w:rsidRPr="006A2E23">
        <w:rPr>
          <w:rFonts w:cs="Arial"/>
          <w:szCs w:val="22"/>
        </w:rPr>
        <w:t xml:space="preserve"> capture efficiency of the absorption column was maintained above 85%, while that of the MIS column was maintained above 75%.</w:t>
      </w:r>
    </w:p>
    <w:p w14:paraId="23F7840D" w14:textId="77777777" w:rsidR="006A2E23" w:rsidRPr="006A2E23" w:rsidRDefault="006A2E23" w:rsidP="006A2E23">
      <w:pPr>
        <w:spacing w:line="360" w:lineRule="auto"/>
        <w:ind w:firstLine="420"/>
        <w:rPr>
          <w:rFonts w:cs="Arial"/>
          <w:szCs w:val="22"/>
        </w:rPr>
      </w:pPr>
      <w:r w:rsidRPr="006A2E23">
        <w:rPr>
          <w:rFonts w:cs="Arial"/>
          <w:szCs w:val="22"/>
        </w:rPr>
        <w:t>During continuous operation, the system was considered to reach steady state when the key operating parameters of the regeneration column fluctuated by less than 5% over a period of 30 min. For each experimental condition, three parallel samples were collected at intervals of 10 min. The monitored parameters during operation included outlet CO</w:t>
      </w:r>
      <w:r w:rsidRPr="006A2E23">
        <w:rPr>
          <w:rFonts w:ascii="Cambria Math" w:hAnsi="Cambria Math" w:cs="Cambria Math"/>
          <w:szCs w:val="22"/>
        </w:rPr>
        <w:t>₂</w:t>
      </w:r>
      <w:r w:rsidRPr="006A2E23">
        <w:rPr>
          <w:rFonts w:cs="Arial"/>
          <w:szCs w:val="22"/>
        </w:rPr>
        <w:t xml:space="preserve"> concentration, temperatures at the column top, column body, and reboiler, pressure drop, and lean and rich solution loadings.</w:t>
      </w:r>
    </w:p>
    <w:p w14:paraId="69919CAB" w14:textId="77777777" w:rsidR="006A2E23" w:rsidRPr="006A2E23" w:rsidRDefault="006A2E23" w:rsidP="006A2E23">
      <w:pPr>
        <w:spacing w:line="360" w:lineRule="auto"/>
        <w:ind w:firstLine="420"/>
        <w:rPr>
          <w:rFonts w:cs="Arial"/>
          <w:szCs w:val="22"/>
        </w:rPr>
      </w:pPr>
      <w:r w:rsidRPr="006A2E23">
        <w:rPr>
          <w:rFonts w:cs="Arial"/>
          <w:szCs w:val="22"/>
        </w:rPr>
        <w:lastRenderedPageBreak/>
        <w:t>Stability tests were conducted using the MDEA–PZ solvent system, with a baseline operation time of 72 h for all stability experiments. The stability evaluation included loading stability under continuous operation, oxidative stability of the solvent, and resistance to sulfur- and nitrogen-containing impurities. Continuous operation stability tests were performed in the same absorption–regeneration setup described above using identical operating parameters. Liquid samples were collected every 2 h for loading analysis, and the solvent level was replenished every 24 h to compensate for evaporation losses. After 72 h of continuous operation, the system was adjusted based on alarm signals from the data-driven online monitoring system, and the cumulative operation time was extended to 100 h.</w:t>
      </w:r>
    </w:p>
    <w:p w14:paraId="123443EF" w14:textId="77777777" w:rsidR="006A2E23" w:rsidRPr="006A2E23" w:rsidRDefault="006A2E23" w:rsidP="006A2E23">
      <w:pPr>
        <w:spacing w:line="360" w:lineRule="auto"/>
        <w:ind w:firstLine="420"/>
        <w:rPr>
          <w:rFonts w:cs="Arial"/>
          <w:szCs w:val="22"/>
        </w:rPr>
      </w:pPr>
      <w:r w:rsidRPr="006A2E23">
        <w:rPr>
          <w:rFonts w:cs="Arial"/>
          <w:szCs w:val="22"/>
        </w:rPr>
        <w:t>The oxidative stability and resistance to sulfur and nitrogen contaminants were evaluated in closed-loop tests conducted in the MIS reactor. The total liquid volume was 10 L and the air flow rate was 5 L min</w:t>
      </w:r>
      <w:r w:rsidRPr="006A2E23">
        <w:rPr>
          <w:rFonts w:ascii="Cambria Math" w:hAnsi="Cambria Math" w:cs="Cambria Math"/>
          <w:szCs w:val="22"/>
        </w:rPr>
        <w:t>⁻</w:t>
      </w:r>
      <w:r w:rsidRPr="006A2E23">
        <w:rPr>
          <w:rFonts w:cs="Arial"/>
          <w:szCs w:val="22"/>
        </w:rPr>
        <w:t>¹. To simulate sulfur- and nitrogen-containing impurities, Na</w:t>
      </w:r>
      <w:r w:rsidRPr="006A2E23">
        <w:rPr>
          <w:rFonts w:ascii="Cambria Math" w:hAnsi="Cambria Math" w:cs="Cambria Math"/>
          <w:szCs w:val="22"/>
        </w:rPr>
        <w:t>₂</w:t>
      </w:r>
      <w:r w:rsidRPr="006A2E23">
        <w:rPr>
          <w:rFonts w:cs="Arial"/>
          <w:szCs w:val="22"/>
        </w:rPr>
        <w:t>SO</w:t>
      </w:r>
      <w:r w:rsidRPr="006A2E23">
        <w:rPr>
          <w:rFonts w:ascii="Cambria Math" w:hAnsi="Cambria Math" w:cs="Cambria Math"/>
          <w:szCs w:val="22"/>
        </w:rPr>
        <w:t>₃</w:t>
      </w:r>
      <w:r w:rsidRPr="006A2E23">
        <w:rPr>
          <w:rFonts w:cs="Arial"/>
          <w:szCs w:val="22"/>
        </w:rPr>
        <w:t xml:space="preserve"> and NaNO</w:t>
      </w:r>
      <w:r w:rsidRPr="006A2E23">
        <w:rPr>
          <w:rFonts w:ascii="Cambria Math" w:hAnsi="Cambria Math" w:cs="Cambria Math"/>
          <w:szCs w:val="22"/>
        </w:rPr>
        <w:t>₂</w:t>
      </w:r>
      <w:r w:rsidRPr="006A2E23">
        <w:rPr>
          <w:rFonts w:cs="Arial"/>
          <w:szCs w:val="22"/>
        </w:rPr>
        <w:t xml:space="preserve"> were added to the solution at concentrations of 5 mM and 0.1 mM, respectively. These concentrations were selected to create representative sulfur- and nitrogen-containing disturbance conditions in order to evaluate solvent stability under impurity exposure. The effects of microdroplet and microbubble generation devices on system stability were also investigated.</w:t>
      </w:r>
    </w:p>
    <w:p w14:paraId="7A1EEC4E" w14:textId="77777777" w:rsidR="006A2E23" w:rsidRPr="006A2E23" w:rsidRDefault="006A2E23" w:rsidP="006A2E23">
      <w:pPr>
        <w:spacing w:line="360" w:lineRule="auto"/>
        <w:ind w:firstLine="420"/>
        <w:rPr>
          <w:rFonts w:cs="Arial"/>
          <w:szCs w:val="22"/>
        </w:rPr>
      </w:pPr>
      <w:r w:rsidRPr="006A2E23">
        <w:rPr>
          <w:rFonts w:cs="Arial"/>
          <w:szCs w:val="22"/>
        </w:rPr>
        <w:t>Amine emission rates were measured in the MIS reactor. Six representative amine systems (NH</w:t>
      </w:r>
      <w:r w:rsidRPr="006A2E23">
        <w:rPr>
          <w:rFonts w:ascii="Cambria Math" w:hAnsi="Cambria Math" w:cs="Cambria Math"/>
          <w:szCs w:val="22"/>
        </w:rPr>
        <w:t>₃</w:t>
      </w:r>
      <w:r w:rsidRPr="006A2E23">
        <w:rPr>
          <w:rFonts w:cs="Arial"/>
          <w:szCs w:val="22"/>
        </w:rPr>
        <w:t>, MEA, DEA, MDEA, PZ, and AMP) were selected for testing. Except for ammonia, all amine solutions had a concentration of 30 wt%, while the ammonia solution concentration was 10 wt%. During the experiments, the liquid volume was 10 L and the gas flow rate was set to the maximum capacity of the reactor (30 L min</w:t>
      </w:r>
      <w:r w:rsidRPr="006A2E23">
        <w:rPr>
          <w:rFonts w:ascii="Cambria Math" w:hAnsi="Cambria Math" w:cs="Cambria Math"/>
          <w:szCs w:val="22"/>
        </w:rPr>
        <w:t>⁻</w:t>
      </w:r>
      <w:r w:rsidRPr="006A2E23">
        <w:rPr>
          <w:rFonts w:cs="Arial"/>
          <w:szCs w:val="22"/>
        </w:rPr>
        <w:t>¹), using high-purity nitrogen as the carrier gas.</w:t>
      </w:r>
    </w:p>
    <w:p w14:paraId="0F5C6D4A" w14:textId="77777777" w:rsidR="006A2E23" w:rsidRPr="006A2E23" w:rsidRDefault="006A2E23" w:rsidP="006A2E23">
      <w:pPr>
        <w:spacing w:line="360" w:lineRule="auto"/>
        <w:ind w:firstLine="420"/>
        <w:rPr>
          <w:rFonts w:cs="Arial"/>
          <w:szCs w:val="22"/>
        </w:rPr>
      </w:pPr>
      <w:r w:rsidRPr="006A2E23">
        <w:rPr>
          <w:rFonts w:cs="Arial"/>
          <w:szCs w:val="22"/>
        </w:rPr>
        <w:t>The outlet gas from the reactor first passed through a drying unit to remove water vapor and was then introduced into an absorption bottle containing 2 M dilute sulfuric acid to capture escaped amines. The tail gas subsequently passed through an aqueous phenolphthalein indicator solution to verify complete absorption of gaseous amines. Each test lasted 6 h. Except for the ammonia system, the escaped amine amount was quantified by measuring the total organic carbon (TOC) content in the sulfuric acid absorption solution. For the ammonia system, the ammonium concentration in the absorption solution was determined by ion chromatography (IC).</w:t>
      </w:r>
    </w:p>
    <w:p w14:paraId="67D97A96" w14:textId="77777777" w:rsidR="006A2E23" w:rsidRPr="006A2E23" w:rsidRDefault="006A2E23" w:rsidP="006A2E23">
      <w:pPr>
        <w:spacing w:line="360" w:lineRule="auto"/>
        <w:ind w:firstLine="420"/>
        <w:rPr>
          <w:rFonts w:cs="Arial"/>
          <w:szCs w:val="22"/>
        </w:rPr>
      </w:pPr>
      <w:r w:rsidRPr="006A2E23">
        <w:rPr>
          <w:rFonts w:cs="Arial"/>
          <w:szCs w:val="22"/>
        </w:rPr>
        <w:lastRenderedPageBreak/>
        <w:t>To evaluate the effect of mist removal on amine emissions, experiments were conducted both with and without a demister. Under demister conditions, a wire-mesh demister was installed at the reactor outlet to reduce the influence of liquid droplet entrainment on amine emission measurements.</w:t>
      </w:r>
    </w:p>
    <w:p w14:paraId="1D40AA01" w14:textId="77777777" w:rsidR="006A2E23" w:rsidRPr="006A2E23" w:rsidRDefault="006A2E23" w:rsidP="006A2E23">
      <w:pPr>
        <w:spacing w:line="360" w:lineRule="auto"/>
        <w:ind w:firstLine="420"/>
        <w:rPr>
          <w:rFonts w:cs="Arial"/>
          <w:szCs w:val="22"/>
        </w:rPr>
      </w:pPr>
      <w:r w:rsidRPr="006A2E23">
        <w:rPr>
          <w:rFonts w:cs="Arial"/>
          <w:szCs w:val="22"/>
        </w:rPr>
        <w:t>Corrosion behavior was evaluated using Tafel polarization measurements. A standard three-electrode system was employed, in which a 316L stainless steel electrode served as the working electrode, a saturated calomel electrode (SCE) served as the reference electrode, and a platinum wire served as the counter electrode. The electrolyte was the amine solution under investigation, and the experimental temperature was maintained at 40 °C. Polarization tests were performed using an electrochemical workstation (CHI760E, CH Instruments, China). The scanning range was −250 mV to +250 mV relative to the open-circuit potential, with a scan rate of 1 mV s</w:t>
      </w:r>
      <w:r w:rsidRPr="006A2E23">
        <w:rPr>
          <w:rFonts w:ascii="Cambria Math" w:hAnsi="Cambria Math" w:cs="Cambria Math"/>
          <w:szCs w:val="22"/>
        </w:rPr>
        <w:t>⁻</w:t>
      </w:r>
      <w:r w:rsidRPr="006A2E23">
        <w:rPr>
          <w:rFonts w:cs="Arial"/>
          <w:szCs w:val="22"/>
        </w:rPr>
        <w:t>¹. The corrosion current density was obtained by Tafel extrapolation and used to evaluate the corrosion tendency of the system under different operating conditions.</w:t>
      </w:r>
    </w:p>
    <w:p w14:paraId="283B620A" w14:textId="77777777" w:rsidR="003E4744" w:rsidRDefault="003E4744" w:rsidP="003E4744">
      <w:pPr>
        <w:spacing w:line="480" w:lineRule="auto"/>
        <w:rPr>
          <w:rFonts w:eastAsia="KaiTi" w:cs="Arial"/>
          <w:b/>
          <w:bCs/>
          <w:szCs w:val="21"/>
        </w:rPr>
      </w:pPr>
      <w:r w:rsidRPr="00351962">
        <w:rPr>
          <w:rFonts w:eastAsia="KaiTi" w:cs="Arial"/>
          <w:b/>
          <w:bCs/>
          <w:szCs w:val="21"/>
        </w:rPr>
        <w:t>2.2 Metadynamics simulation methodology</w:t>
      </w:r>
    </w:p>
    <w:p w14:paraId="5A10BDFC" w14:textId="411A4274" w:rsidR="00B37FEE" w:rsidRDefault="008F11DC" w:rsidP="00B37FEE">
      <w:pPr>
        <w:spacing w:line="360" w:lineRule="auto"/>
        <w:ind w:firstLine="420"/>
        <w:rPr>
          <w:rFonts w:cs="Arial"/>
          <w:szCs w:val="22"/>
        </w:rPr>
      </w:pPr>
      <w:r w:rsidRPr="008F11DC">
        <w:rPr>
          <w:rFonts w:cs="Arial"/>
          <w:szCs w:val="22"/>
        </w:rPr>
        <w:t>The initial configurations of the systems were constructed using the PACKMOL program. Ab initio molecular dynamics simulations were performed with enhanced sampling implemented through well-tempered metadynamics using the PLUMED plugin. The coordination number between the nitrogen atom and surrounding hydrogen atoms CN_NH was chosen as the collective variable to characterize the protonation state of the amine molecule. The coordination number was defined using a smooth switching function with parameters R</w:t>
      </w:r>
      <w:r w:rsidRPr="008F11DC">
        <w:rPr>
          <w:rFonts w:ascii="Cambria Math" w:hAnsi="Cambria Math" w:cs="Cambria Math"/>
          <w:szCs w:val="22"/>
        </w:rPr>
        <w:t>₀</w:t>
      </w:r>
      <w:r w:rsidRPr="008F11DC">
        <w:rPr>
          <w:rFonts w:cs="Arial"/>
          <w:szCs w:val="22"/>
        </w:rPr>
        <w:t xml:space="preserve"> = 1.2 Å, n = 6, and m = 12. Bias potentials were deposited in the form of Gaussian functions with a deposition interval of 25 fs, a Gaussian height of 0.5 kJ mol</w:t>
      </w:r>
      <w:r w:rsidRPr="008F11DC">
        <w:rPr>
          <w:rFonts w:ascii="Cambria Math" w:hAnsi="Cambria Math" w:cs="Cambria Math"/>
          <w:szCs w:val="22"/>
        </w:rPr>
        <w:t>⁻</w:t>
      </w:r>
      <w:r w:rsidRPr="008F11DC">
        <w:rPr>
          <w:rFonts w:cs="Arial"/>
          <w:szCs w:val="22"/>
        </w:rPr>
        <w:t>¹, and a width of 0.10. The bias factor was set to 10. The free-energy profile was reconstructed from the accumulated bias potential.</w:t>
      </w:r>
    </w:p>
    <w:p w14:paraId="31BCFC28" w14:textId="77777777" w:rsidR="00985810" w:rsidRPr="002211F7" w:rsidRDefault="00985810" w:rsidP="00985810">
      <w:pPr>
        <w:spacing w:after="0" w:line="480" w:lineRule="auto"/>
        <w:rPr>
          <w:rFonts w:cs="Arial"/>
          <w:b/>
          <w:bCs/>
          <w:sz w:val="28"/>
          <w:szCs w:val="28"/>
        </w:rPr>
      </w:pPr>
      <w:r w:rsidRPr="002211F7">
        <w:rPr>
          <w:rFonts w:cs="Arial"/>
          <w:b/>
          <w:bCs/>
          <w:sz w:val="28"/>
          <w:szCs w:val="28"/>
        </w:rPr>
        <w:t>3 Theoretical analysis</w:t>
      </w:r>
    </w:p>
    <w:p w14:paraId="3A2245A6" w14:textId="77777777" w:rsidR="00985810" w:rsidRPr="00E11BCF" w:rsidRDefault="00985810" w:rsidP="00985810">
      <w:pPr>
        <w:spacing w:line="480" w:lineRule="auto"/>
        <w:rPr>
          <w:rFonts w:eastAsia="KaiTi" w:cs="Arial"/>
          <w:b/>
          <w:bCs/>
          <w:szCs w:val="21"/>
        </w:rPr>
      </w:pPr>
      <w:r>
        <w:rPr>
          <w:rFonts w:eastAsia="KaiTi" w:cs="Arial" w:hint="eastAsia"/>
          <w:b/>
          <w:bCs/>
          <w:szCs w:val="21"/>
        </w:rPr>
        <w:t xml:space="preserve">3.1 </w:t>
      </w:r>
      <w:r w:rsidRPr="00E11BCF">
        <w:rPr>
          <w:rFonts w:eastAsia="KaiTi" w:cs="Arial"/>
          <w:b/>
          <w:bCs/>
          <w:szCs w:val="21"/>
        </w:rPr>
        <w:t>Thermodynamic derivation of the loading–equilibrium relationship</w:t>
      </w:r>
    </w:p>
    <w:p w14:paraId="2E62F2D5" w14:textId="77777777" w:rsidR="00541AB6" w:rsidRPr="00541AB6" w:rsidRDefault="00541AB6" w:rsidP="00541AB6">
      <w:pPr>
        <w:spacing w:line="360" w:lineRule="auto"/>
        <w:ind w:firstLine="420"/>
        <w:rPr>
          <w:rFonts w:cs="Arial"/>
          <w:szCs w:val="22"/>
        </w:rPr>
      </w:pPr>
      <w:r w:rsidRPr="00541AB6">
        <w:rPr>
          <w:rFonts w:cs="Arial"/>
          <w:szCs w:val="22"/>
        </w:rPr>
        <w:t xml:space="preserve">To rationalize the linear scaling relationship observed experimentally between ln(Δα) and the ζ potential, an approximate derivation can be formulated based on the electrochemical </w:t>
      </w:r>
      <w:r w:rsidRPr="00541AB6">
        <w:rPr>
          <w:rFonts w:cs="Arial"/>
          <w:szCs w:val="22"/>
        </w:rPr>
        <w:lastRenderedPageBreak/>
        <w:t xml:space="preserve">contribution of the interfacial potential to the reaction equilibrium. For a charged species </w:t>
      </w:r>
      <w:r w:rsidRPr="00541AB6">
        <w:rPr>
          <w:rFonts w:cs="Arial"/>
          <w:i/>
          <w:iCs/>
          <w:szCs w:val="22"/>
        </w:rPr>
        <w:t>i</w:t>
      </w:r>
      <w:r w:rsidRPr="00541AB6">
        <w:rPr>
          <w:rFonts w:cs="Arial"/>
          <w:szCs w:val="22"/>
        </w:rPr>
        <w:t>, its electrochemical potential under an interfacial potential ψ can be written as</w:t>
      </w:r>
    </w:p>
    <w:p w14:paraId="1ED0D745" w14:textId="4CDF3BB9" w:rsidR="00254E13" w:rsidRPr="0076388A" w:rsidRDefault="00F80AA9" w:rsidP="00254E13">
      <w:pPr>
        <w:spacing w:line="360" w:lineRule="auto"/>
        <w:ind w:firstLine="420"/>
        <w:jc w:val="center"/>
        <w:rPr>
          <w:rFonts w:cs="Arial"/>
          <w:sz w:val="18"/>
          <w:szCs w:val="20"/>
        </w:rPr>
      </w:pPr>
      <m:oMathPara>
        <m:oMath>
          <m:sSub>
            <m:sSubPr>
              <m:ctrlPr>
                <w:rPr>
                  <w:rFonts w:ascii="Cambria Math" w:eastAsia="SimSun" w:hAnsi="Cambria Math" w:cs="SimSun"/>
                  <w:kern w:val="0"/>
                  <w:szCs w:val="21"/>
                  <w14:ligatures w14:val="none"/>
                </w:rPr>
              </m:ctrlPr>
            </m:sSubPr>
            <m:e>
              <m:acc>
                <m:accPr>
                  <m:chr m:val="̃"/>
                  <m:ctrlPr>
                    <w:rPr>
                      <w:rFonts w:ascii="Cambria Math" w:eastAsia="SimSun" w:hAnsi="Cambria Math" w:cs="SimSun"/>
                      <w:kern w:val="0"/>
                      <w:szCs w:val="21"/>
                      <w14:ligatures w14:val="none"/>
                    </w:rPr>
                  </m:ctrlPr>
                </m:accPr>
                <m:e>
                  <m:r>
                    <w:rPr>
                      <w:rFonts w:ascii="Cambria Math" w:eastAsia="SimSun" w:hAnsi="Cambria Math" w:cs="SimSun"/>
                      <w:kern w:val="0"/>
                      <w:szCs w:val="21"/>
                      <w14:ligatures w14:val="none"/>
                    </w:rPr>
                    <m:t>μ</m:t>
                  </m:r>
                </m:e>
              </m:acc>
            </m:e>
            <m:sub>
              <m:r>
                <w:rPr>
                  <w:rFonts w:ascii="Cambria Math" w:eastAsia="SimSun" w:hAnsi="Cambria Math" w:cs="SimSun"/>
                  <w:kern w:val="0"/>
                  <w:szCs w:val="21"/>
                  <w14:ligatures w14:val="none"/>
                </w:rPr>
                <m:t>i</m:t>
              </m:r>
            </m:sub>
          </m:sSub>
          <m:r>
            <w:rPr>
              <w:rFonts w:ascii="Cambria Math" w:eastAsia="SimSun" w:hAnsi="Cambria Math" w:cs="SimSun"/>
              <w:kern w:val="0"/>
              <w:szCs w:val="21"/>
              <w14:ligatures w14:val="none"/>
            </w:rPr>
            <m:t>=</m:t>
          </m:r>
          <m:sSubSup>
            <m:sSubSupPr>
              <m:ctrlPr>
                <w:rPr>
                  <w:rFonts w:ascii="Cambria Math" w:eastAsia="SimSun" w:hAnsi="Cambria Math" w:cs="SimSun"/>
                  <w:kern w:val="0"/>
                  <w:szCs w:val="21"/>
                  <w14:ligatures w14:val="none"/>
                </w:rPr>
              </m:ctrlPr>
            </m:sSubSupPr>
            <m:e>
              <m:r>
                <w:rPr>
                  <w:rFonts w:ascii="Cambria Math" w:eastAsia="SimSun" w:hAnsi="Cambria Math" w:cs="SimSun"/>
                  <w:kern w:val="0"/>
                  <w:szCs w:val="21"/>
                  <w14:ligatures w14:val="none"/>
                </w:rPr>
                <m:t>μ</m:t>
              </m:r>
            </m:e>
            <m:sub>
              <m:r>
                <w:rPr>
                  <w:rFonts w:ascii="Cambria Math" w:eastAsia="SimSun" w:hAnsi="Cambria Math" w:cs="SimSun"/>
                  <w:kern w:val="0"/>
                  <w:szCs w:val="21"/>
                  <w14:ligatures w14:val="none"/>
                </w:rPr>
                <m:t>i</m:t>
              </m:r>
            </m:sub>
            <m:sup>
              <m:r>
                <w:rPr>
                  <w:rFonts w:ascii="Cambria Math" w:eastAsia="SimSun" w:hAnsi="Cambria Math" w:cs="SimSun"/>
                  <w:kern w:val="0"/>
                  <w:szCs w:val="21"/>
                  <w14:ligatures w14:val="none"/>
                </w:rPr>
                <m:t>0</m:t>
              </m:r>
            </m:sup>
          </m:sSubSup>
          <m:r>
            <w:rPr>
              <w:rFonts w:ascii="Cambria Math" w:eastAsia="SimSun" w:hAnsi="Cambria Math" w:cs="SimSun"/>
              <w:kern w:val="0"/>
              <w:szCs w:val="21"/>
              <w14:ligatures w14:val="none"/>
            </w:rPr>
            <m:t>+RT</m:t>
          </m:r>
          <m:r>
            <m:rPr>
              <m:sty m:val="p"/>
            </m:rPr>
            <w:rPr>
              <w:rFonts w:ascii="Cambria Math" w:eastAsia="SimSun" w:hAnsi="Cambria Math" w:cs="SimSun"/>
              <w:kern w:val="0"/>
              <w:szCs w:val="21"/>
              <w14:ligatures w14:val="none"/>
            </w:rPr>
            <m:t>ln</m:t>
          </m:r>
          <m:r>
            <w:rPr>
              <w:rFonts w:ascii="Cambria Math" w:eastAsia="SimSun" w:hAnsi="Cambria Math" w:cs="SimSun"/>
              <w:kern w:val="0"/>
              <w:szCs w:val="21"/>
              <w14:ligatures w14:val="none"/>
            </w:rPr>
            <m:t>⁡</m:t>
          </m:r>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a</m:t>
              </m:r>
            </m:e>
            <m:sub>
              <m:r>
                <w:rPr>
                  <w:rFonts w:ascii="Cambria Math" w:eastAsia="SimSun" w:hAnsi="Cambria Math" w:cs="SimSun"/>
                  <w:kern w:val="0"/>
                  <w:szCs w:val="21"/>
                  <w14:ligatures w14:val="none"/>
                </w:rPr>
                <m:t>i</m:t>
              </m:r>
            </m:sub>
          </m:sSub>
          <m:r>
            <w:rPr>
              <w:rFonts w:ascii="Cambria Math" w:eastAsia="SimSun" w:hAnsi="Cambria Math" w:cs="SimSun"/>
              <w:kern w:val="0"/>
              <w:szCs w:val="21"/>
              <w14:ligatures w14:val="none"/>
            </w:rPr>
            <m:t>+</m:t>
          </m:r>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z</m:t>
              </m:r>
            </m:e>
            <m:sub>
              <m:r>
                <w:rPr>
                  <w:rFonts w:ascii="Cambria Math" w:eastAsia="SimSun" w:hAnsi="Cambria Math" w:cs="SimSun"/>
                  <w:kern w:val="0"/>
                  <w:szCs w:val="21"/>
                  <w14:ligatures w14:val="none"/>
                </w:rPr>
                <m:t>i</m:t>
              </m:r>
            </m:sub>
          </m:sSub>
          <m:r>
            <w:rPr>
              <w:rFonts w:ascii="Cambria Math" w:eastAsia="SimSun" w:hAnsi="Cambria Math" w:cs="SimSun"/>
              <w:kern w:val="0"/>
              <w:szCs w:val="21"/>
              <w14:ligatures w14:val="none"/>
            </w:rPr>
            <m:t>Fψ</m:t>
          </m:r>
        </m:oMath>
      </m:oMathPara>
    </w:p>
    <w:p w14:paraId="21871BD8" w14:textId="017FCC64" w:rsidR="00541AB6" w:rsidRPr="00541AB6" w:rsidRDefault="00541AB6" w:rsidP="00541AB6">
      <w:pPr>
        <w:spacing w:line="360" w:lineRule="auto"/>
        <w:ind w:firstLine="420"/>
        <w:rPr>
          <w:rFonts w:cs="Arial"/>
          <w:szCs w:val="22"/>
        </w:rPr>
      </w:pPr>
      <w:r w:rsidRPr="00541AB6">
        <w:rPr>
          <w:rFonts w:cs="Arial"/>
          <w:szCs w:val="22"/>
        </w:rPr>
        <w:t>Thus, the interfacial potential alters the relative stability of reactants and products, leading to an apparent equilibrium constant that can be expressed as</w:t>
      </w:r>
    </w:p>
    <w:p w14:paraId="4D3DE35B" w14:textId="77777777" w:rsidR="00C85EBB" w:rsidRPr="0076388A" w:rsidRDefault="00F80AA9" w:rsidP="00C85EBB">
      <w:pPr>
        <w:widowControl/>
        <w:spacing w:after="0" w:line="240" w:lineRule="auto"/>
        <w:rPr>
          <w:rFonts w:ascii="SimSun" w:eastAsia="SimSun" w:hAnsi="SimSun" w:cs="SimSun" w:hint="eastAsia"/>
          <w:kern w:val="0"/>
          <w:szCs w:val="21"/>
          <w14:ligatures w14:val="none"/>
        </w:rPr>
      </w:pPr>
      <m:oMathPara>
        <m:oMath>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K</m:t>
              </m:r>
            </m:e>
            <m:sub>
              <m:r>
                <w:rPr>
                  <w:rFonts w:ascii="Cambria Math" w:eastAsia="SimSun" w:hAnsi="Cambria Math" w:cs="SimSun"/>
                  <w:kern w:val="0"/>
                  <w:szCs w:val="21"/>
                  <w14:ligatures w14:val="none"/>
                </w:rPr>
                <m:t>app</m:t>
              </m:r>
            </m:sub>
          </m:sSub>
          <m:r>
            <w:rPr>
              <w:rFonts w:ascii="Cambria Math" w:eastAsia="SimSun" w:hAnsi="Cambria Math" w:cs="SimSun"/>
              <w:kern w:val="0"/>
              <w:szCs w:val="21"/>
              <w14:ligatures w14:val="none"/>
            </w:rPr>
            <m:t>(ψ)=</m:t>
          </m:r>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K</m:t>
              </m:r>
            </m:e>
            <m:sub>
              <m:r>
                <w:rPr>
                  <w:rFonts w:ascii="Cambria Math" w:eastAsia="SimSun" w:hAnsi="Cambria Math" w:cs="SimSun"/>
                  <w:kern w:val="0"/>
                  <w:szCs w:val="21"/>
                  <w14:ligatures w14:val="none"/>
                </w:rPr>
                <m:t>0</m:t>
              </m:r>
            </m:sub>
          </m:sSub>
          <m:r>
            <m:rPr>
              <m:sty m:val="p"/>
            </m:rPr>
            <w:rPr>
              <w:rFonts w:ascii="Cambria Math" w:eastAsia="SimSun" w:hAnsi="Cambria Math" w:cs="SimSun"/>
              <w:kern w:val="0"/>
              <w:szCs w:val="21"/>
              <w14:ligatures w14:val="none"/>
            </w:rPr>
            <m:t>exp</m:t>
          </m:r>
          <m:r>
            <w:rPr>
              <w:rFonts w:ascii="Cambria Math" w:eastAsia="SimSun" w:hAnsi="Cambria Math" w:cs="SimSun"/>
              <w:kern w:val="0"/>
              <w:szCs w:val="21"/>
              <w14:ligatures w14:val="none"/>
            </w:rPr>
            <m:t>⁡</m:t>
          </m:r>
          <m:d>
            <m:dPr>
              <m:ctrlPr>
                <w:rPr>
                  <w:rFonts w:ascii="Cambria Math" w:eastAsia="SimSun" w:hAnsi="Cambria Math" w:cs="SimSun"/>
                  <w:kern w:val="0"/>
                  <w:szCs w:val="21"/>
                  <w14:ligatures w14:val="none"/>
                </w:rPr>
              </m:ctrlPr>
            </m:dPr>
            <m:e>
              <m:f>
                <m:fPr>
                  <m:ctrlPr>
                    <w:rPr>
                      <w:rFonts w:ascii="Cambria Math" w:eastAsia="SimSun" w:hAnsi="Cambria Math" w:cs="SimSun"/>
                      <w:kern w:val="0"/>
                      <w:szCs w:val="21"/>
                      <w14:ligatures w14:val="none"/>
                    </w:rPr>
                  </m:ctrlPr>
                </m:fPr>
                <m:num>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z</m:t>
                      </m:r>
                    </m:e>
                    <m:sub>
                      <m:r>
                        <w:rPr>
                          <w:rFonts w:ascii="Cambria Math" w:eastAsia="SimSun" w:hAnsi="Cambria Math" w:cs="SimSun"/>
                          <w:kern w:val="0"/>
                          <w:szCs w:val="21"/>
                          <w14:ligatures w14:val="none"/>
                        </w:rPr>
                        <m:t>eff</m:t>
                      </m:r>
                    </m:sub>
                  </m:sSub>
                  <m:r>
                    <w:rPr>
                      <w:rFonts w:ascii="Cambria Math" w:eastAsia="SimSun" w:hAnsi="Cambria Math" w:cs="SimSun"/>
                      <w:kern w:val="0"/>
                      <w:szCs w:val="21"/>
                      <w14:ligatures w14:val="none"/>
                    </w:rPr>
                    <m:t>Fψ</m:t>
                  </m:r>
                </m:num>
                <m:den>
                  <m:r>
                    <w:rPr>
                      <w:rFonts w:ascii="Cambria Math" w:eastAsia="SimSun" w:hAnsi="Cambria Math" w:cs="SimSun"/>
                      <w:kern w:val="0"/>
                      <w:szCs w:val="21"/>
                      <w14:ligatures w14:val="none"/>
                    </w:rPr>
                    <m:t>RT</m:t>
                  </m:r>
                </m:den>
              </m:f>
            </m:e>
          </m:d>
        </m:oMath>
      </m:oMathPara>
    </w:p>
    <w:p w14:paraId="63474801" w14:textId="0BEC7649" w:rsidR="00541AB6" w:rsidRPr="00541AB6" w:rsidRDefault="00541AB6" w:rsidP="00541AB6">
      <w:pPr>
        <w:spacing w:line="360" w:lineRule="auto"/>
        <w:ind w:firstLine="420"/>
        <w:rPr>
          <w:rFonts w:cs="Arial"/>
          <w:szCs w:val="22"/>
        </w:rPr>
      </w:pPr>
      <w:r w:rsidRPr="00541AB6">
        <w:rPr>
          <w:rFonts w:cs="Arial"/>
          <w:szCs w:val="22"/>
        </w:rPr>
        <w:t>where z</w:t>
      </w:r>
      <w:r w:rsidRPr="00541AB6">
        <w:rPr>
          <w:rFonts w:cs="Arial"/>
          <w:szCs w:val="22"/>
          <w:vertAlign w:val="subscript"/>
        </w:rPr>
        <w:t>eff</w:t>
      </w:r>
      <w:r w:rsidRPr="00541AB6">
        <w:rPr>
          <w:rFonts w:cs="Arial"/>
          <w:szCs w:val="22"/>
        </w:rPr>
        <w:t xml:space="preserve"> represents the effective charge number coupled to the reaction coordinate, accounting for the combined effects of local electric fields, ion pairing, and solvent reorganization.</w:t>
      </w:r>
    </w:p>
    <w:p w14:paraId="40A24367" w14:textId="77777777" w:rsidR="00541AB6" w:rsidRPr="00541AB6" w:rsidRDefault="00541AB6" w:rsidP="00541AB6">
      <w:pPr>
        <w:spacing w:line="360" w:lineRule="auto"/>
        <w:ind w:firstLine="420"/>
        <w:rPr>
          <w:rFonts w:cs="Arial"/>
          <w:szCs w:val="22"/>
        </w:rPr>
      </w:pPr>
      <w:r w:rsidRPr="00541AB6">
        <w:rPr>
          <w:rFonts w:cs="Arial"/>
          <w:szCs w:val="22"/>
        </w:rPr>
        <w:t>For the bicarbonate pathway dominated by tertiary amines, the overall reaction can be approximated as</w:t>
      </w:r>
    </w:p>
    <w:p w14:paraId="2C00959E" w14:textId="7CE367C7" w:rsidR="00541AB6" w:rsidRPr="00541AB6" w:rsidRDefault="001C3684" w:rsidP="001C3684">
      <w:pPr>
        <w:widowControl/>
        <w:spacing w:after="0" w:line="240" w:lineRule="auto"/>
        <w:rPr>
          <w:rFonts w:ascii="SimSun" w:eastAsia="SimSun" w:hAnsi="SimSun" w:cs="SimSun" w:hint="eastAsia"/>
          <w:kern w:val="0"/>
          <w:szCs w:val="21"/>
          <w14:ligatures w14:val="none"/>
        </w:rPr>
      </w:pPr>
      <m:oMathPara>
        <m:oMath>
          <m:r>
            <w:rPr>
              <w:rFonts w:ascii="Cambria Math" w:eastAsia="SimSun" w:hAnsi="Cambria Math" w:cs="SimSun"/>
              <w:kern w:val="0"/>
              <w:szCs w:val="21"/>
              <w14:ligatures w14:val="none"/>
            </w:rPr>
            <m:t>C</m:t>
          </m:r>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O</m:t>
              </m:r>
            </m:e>
            <m:sub>
              <m:r>
                <w:rPr>
                  <w:rFonts w:ascii="Cambria Math" w:eastAsia="SimSun" w:hAnsi="Cambria Math" w:cs="SimSun"/>
                  <w:kern w:val="0"/>
                  <w:szCs w:val="21"/>
                  <w14:ligatures w14:val="none"/>
                </w:rPr>
                <m:t>2</m:t>
              </m:r>
            </m:sub>
          </m:sSub>
          <m:r>
            <w:rPr>
              <w:rFonts w:ascii="Cambria Math" w:eastAsia="SimSun" w:hAnsi="Cambria Math" w:cs="SimSun"/>
              <w:kern w:val="0"/>
              <w:szCs w:val="21"/>
              <w14:ligatures w14:val="none"/>
            </w:rPr>
            <m:t>(aq)+</m:t>
          </m:r>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H</m:t>
              </m:r>
            </m:e>
            <m:sub>
              <m:r>
                <w:rPr>
                  <w:rFonts w:ascii="Cambria Math" w:eastAsia="SimSun" w:hAnsi="Cambria Math" w:cs="SimSun"/>
                  <w:kern w:val="0"/>
                  <w:szCs w:val="21"/>
                  <w14:ligatures w14:val="none"/>
                </w:rPr>
                <m:t>2</m:t>
              </m:r>
            </m:sub>
          </m:sSub>
          <m:r>
            <w:rPr>
              <w:rFonts w:ascii="Cambria Math" w:eastAsia="SimSun" w:hAnsi="Cambria Math" w:cs="SimSun"/>
              <w:kern w:val="0"/>
              <w:szCs w:val="21"/>
              <w14:ligatures w14:val="none"/>
            </w:rPr>
            <m:t>O+B⇌B</m:t>
          </m:r>
          <m:sSup>
            <m:sSupPr>
              <m:ctrlPr>
                <w:rPr>
                  <w:rFonts w:ascii="Cambria Math" w:eastAsia="SimSun" w:hAnsi="Cambria Math" w:cs="SimSun"/>
                  <w:kern w:val="0"/>
                  <w:szCs w:val="21"/>
                  <w14:ligatures w14:val="none"/>
                </w:rPr>
              </m:ctrlPr>
            </m:sSupPr>
            <m:e>
              <m:r>
                <w:rPr>
                  <w:rFonts w:ascii="Cambria Math" w:eastAsia="SimSun" w:hAnsi="Cambria Math" w:cs="SimSun"/>
                  <w:kern w:val="0"/>
                  <w:szCs w:val="21"/>
                  <w14:ligatures w14:val="none"/>
                </w:rPr>
                <m:t>H</m:t>
              </m:r>
            </m:e>
            <m:sup>
              <m:r>
                <w:rPr>
                  <w:rFonts w:ascii="Cambria Math" w:eastAsia="SimSun" w:hAnsi="Cambria Math" w:cs="SimSun"/>
                  <w:kern w:val="0"/>
                  <w:szCs w:val="21"/>
                  <w14:ligatures w14:val="none"/>
                </w:rPr>
                <m:t>+</m:t>
              </m:r>
            </m:sup>
          </m:sSup>
          <m:r>
            <w:rPr>
              <w:rFonts w:ascii="Cambria Math" w:eastAsia="SimSun" w:hAnsi="Cambria Math" w:cs="SimSun"/>
              <w:kern w:val="0"/>
              <w:szCs w:val="21"/>
              <w14:ligatures w14:val="none"/>
            </w:rPr>
            <m:t>+HC</m:t>
          </m:r>
          <m:sSubSup>
            <m:sSubSupPr>
              <m:ctrlPr>
                <w:rPr>
                  <w:rFonts w:ascii="Cambria Math" w:eastAsia="SimSun" w:hAnsi="Cambria Math" w:cs="SimSun"/>
                  <w:kern w:val="0"/>
                  <w:szCs w:val="21"/>
                  <w14:ligatures w14:val="none"/>
                </w:rPr>
              </m:ctrlPr>
            </m:sSubSupPr>
            <m:e>
              <m:r>
                <w:rPr>
                  <w:rFonts w:ascii="Cambria Math" w:eastAsia="SimSun" w:hAnsi="Cambria Math" w:cs="SimSun"/>
                  <w:kern w:val="0"/>
                  <w:szCs w:val="21"/>
                  <w14:ligatures w14:val="none"/>
                </w:rPr>
                <m:t>O</m:t>
              </m:r>
            </m:e>
            <m:sub>
              <m:r>
                <w:rPr>
                  <w:rFonts w:ascii="Cambria Math" w:eastAsia="SimSun" w:hAnsi="Cambria Math" w:cs="SimSun"/>
                  <w:kern w:val="0"/>
                  <w:szCs w:val="21"/>
                  <w14:ligatures w14:val="none"/>
                </w:rPr>
                <m:t>3</m:t>
              </m:r>
            </m:sub>
            <m:sup>
              <m:r>
                <w:rPr>
                  <w:rFonts w:ascii="Cambria Math" w:eastAsia="SimSun" w:hAnsi="Cambria Math" w:cs="SimSun"/>
                  <w:kern w:val="0"/>
                  <w:szCs w:val="21"/>
                  <w14:ligatures w14:val="none"/>
                </w:rPr>
                <m:t>-</m:t>
              </m:r>
            </m:sup>
          </m:sSubSup>
        </m:oMath>
      </m:oMathPara>
    </w:p>
    <w:p w14:paraId="2D78A804" w14:textId="77777777" w:rsidR="00541AB6" w:rsidRPr="00541AB6" w:rsidRDefault="00541AB6" w:rsidP="00541AB6">
      <w:pPr>
        <w:spacing w:line="360" w:lineRule="auto"/>
        <w:ind w:firstLine="420"/>
        <w:rPr>
          <w:rFonts w:cs="Arial"/>
          <w:szCs w:val="22"/>
        </w:rPr>
      </w:pPr>
      <w:r w:rsidRPr="00541AB6">
        <w:rPr>
          <w:rFonts w:cs="Arial"/>
          <w:szCs w:val="22"/>
        </w:rPr>
        <w:t>In the bicarbonate-dominated regime, the CO</w:t>
      </w:r>
      <w:r w:rsidRPr="00541AB6">
        <w:rPr>
          <w:rFonts w:ascii="Cambria Math" w:hAnsi="Cambria Math" w:cs="Cambria Math"/>
          <w:szCs w:val="22"/>
        </w:rPr>
        <w:t>₂</w:t>
      </w:r>
      <w:r w:rsidRPr="00541AB6">
        <w:rPr>
          <w:rFonts w:cs="Arial"/>
          <w:szCs w:val="22"/>
        </w:rPr>
        <w:t xml:space="preserve"> loading can be approximated as proportional to the bicarbonate concentration</w:t>
      </w:r>
    </w:p>
    <w:p w14:paraId="52EFD2B2" w14:textId="77777777" w:rsidR="004C2903" w:rsidRPr="0076388A" w:rsidRDefault="004C2903" w:rsidP="004C2903">
      <w:pPr>
        <w:widowControl/>
        <w:spacing w:after="0" w:line="240" w:lineRule="auto"/>
        <w:rPr>
          <w:rFonts w:ascii="SimSun" w:eastAsia="SimSun" w:hAnsi="SimSun" w:cs="SimSun" w:hint="eastAsia"/>
          <w:kern w:val="0"/>
          <w:szCs w:val="21"/>
          <w14:ligatures w14:val="none"/>
        </w:rPr>
      </w:pPr>
      <m:oMathPara>
        <m:oMath>
          <m:r>
            <w:rPr>
              <w:rFonts w:ascii="Cambria Math" w:eastAsia="SimSun" w:hAnsi="Cambria Math" w:cs="SimSun"/>
              <w:kern w:val="0"/>
              <w:szCs w:val="21"/>
              <w14:ligatures w14:val="none"/>
            </w:rPr>
            <m:t>α∝</m:t>
          </m:r>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m</m:t>
              </m:r>
            </m:e>
            <m:sub>
              <m:r>
                <w:rPr>
                  <w:rFonts w:ascii="Cambria Math" w:eastAsia="SimSun" w:hAnsi="Cambria Math" w:cs="SimSun"/>
                  <w:kern w:val="0"/>
                  <w:szCs w:val="21"/>
                  <w14:ligatures w14:val="none"/>
                </w:rPr>
                <m:t>HC</m:t>
              </m:r>
              <m:sSubSup>
                <m:sSubSupPr>
                  <m:ctrlPr>
                    <w:rPr>
                      <w:rFonts w:ascii="Cambria Math" w:eastAsia="SimSun" w:hAnsi="Cambria Math" w:cs="SimSun"/>
                      <w:kern w:val="0"/>
                      <w:szCs w:val="21"/>
                      <w14:ligatures w14:val="none"/>
                    </w:rPr>
                  </m:ctrlPr>
                </m:sSubSupPr>
                <m:e>
                  <m:r>
                    <w:rPr>
                      <w:rFonts w:ascii="Cambria Math" w:eastAsia="SimSun" w:hAnsi="Cambria Math" w:cs="SimSun"/>
                      <w:kern w:val="0"/>
                      <w:szCs w:val="21"/>
                      <w14:ligatures w14:val="none"/>
                    </w:rPr>
                    <m:t>O</m:t>
                  </m:r>
                </m:e>
                <m:sub>
                  <m:r>
                    <w:rPr>
                      <w:rFonts w:ascii="Cambria Math" w:eastAsia="SimSun" w:hAnsi="Cambria Math" w:cs="SimSun"/>
                      <w:kern w:val="0"/>
                      <w:szCs w:val="21"/>
                      <w14:ligatures w14:val="none"/>
                    </w:rPr>
                    <m:t>3</m:t>
                  </m:r>
                </m:sub>
                <m:sup>
                  <m:r>
                    <w:rPr>
                      <w:rFonts w:ascii="Cambria Math" w:eastAsia="SimSun" w:hAnsi="Cambria Math" w:cs="SimSun"/>
                      <w:kern w:val="0"/>
                      <w:szCs w:val="21"/>
                      <w14:ligatures w14:val="none"/>
                    </w:rPr>
                    <m:t>-</m:t>
                  </m:r>
                </m:sup>
              </m:sSubSup>
            </m:sub>
          </m:sSub>
        </m:oMath>
      </m:oMathPara>
    </w:p>
    <w:p w14:paraId="0975701A" w14:textId="77777777" w:rsidR="00541AB6" w:rsidRPr="00541AB6" w:rsidRDefault="00541AB6" w:rsidP="00541AB6">
      <w:pPr>
        <w:spacing w:line="360" w:lineRule="auto"/>
        <w:ind w:firstLine="420"/>
        <w:rPr>
          <w:rFonts w:cs="Arial"/>
          <w:szCs w:val="22"/>
        </w:rPr>
      </w:pPr>
      <w:r w:rsidRPr="00541AB6">
        <w:rPr>
          <w:rFonts w:cs="Arial"/>
          <w:szCs w:val="22"/>
        </w:rPr>
        <w:t>Under the electroneutrality approximation, m(BH</w:t>
      </w:r>
      <w:r w:rsidRPr="00541AB6">
        <w:rPr>
          <w:rFonts w:ascii="Cambria Math" w:hAnsi="Cambria Math" w:cs="Cambria Math"/>
          <w:szCs w:val="22"/>
        </w:rPr>
        <w:t>⁺</w:t>
      </w:r>
      <w:r w:rsidRPr="00541AB6">
        <w:rPr>
          <w:rFonts w:cs="Arial"/>
          <w:szCs w:val="22"/>
        </w:rPr>
        <w:t>) ≈ m(HCO</w:t>
      </w:r>
      <w:r w:rsidRPr="00541AB6">
        <w:rPr>
          <w:rFonts w:ascii="Cambria Math" w:hAnsi="Cambria Math" w:cs="Cambria Math"/>
          <w:szCs w:val="22"/>
        </w:rPr>
        <w:t>₃⁻</w:t>
      </w:r>
      <w:r w:rsidRPr="00541AB6">
        <w:rPr>
          <w:rFonts w:cs="Arial"/>
          <w:szCs w:val="22"/>
        </w:rPr>
        <w:t>). From the equilibrium relation it therefore follows that</w:t>
      </w:r>
    </w:p>
    <w:p w14:paraId="24082CE2" w14:textId="77777777" w:rsidR="003414AB" w:rsidRPr="0076388A" w:rsidRDefault="003414AB" w:rsidP="003414AB">
      <w:pPr>
        <w:widowControl/>
        <w:spacing w:after="0" w:line="240" w:lineRule="auto"/>
        <w:rPr>
          <w:rFonts w:ascii="SimSun" w:eastAsia="SimSun" w:hAnsi="SimSun" w:cs="SimSun" w:hint="eastAsia"/>
          <w:kern w:val="0"/>
          <w:szCs w:val="21"/>
          <w14:ligatures w14:val="none"/>
        </w:rPr>
      </w:pPr>
      <m:oMathPara>
        <m:oMath>
          <m:r>
            <w:rPr>
              <w:rFonts w:ascii="Cambria Math" w:eastAsia="SimSun" w:hAnsi="Cambria Math" w:cs="SimSun"/>
              <w:kern w:val="0"/>
              <w:szCs w:val="21"/>
              <w14:ligatures w14:val="none"/>
            </w:rPr>
            <m:t>α∝(</m:t>
          </m:r>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K</m:t>
              </m:r>
            </m:e>
            <m:sub>
              <m:r>
                <w:rPr>
                  <w:rFonts w:ascii="Cambria Math" w:eastAsia="SimSun" w:hAnsi="Cambria Math" w:cs="SimSun"/>
                  <w:kern w:val="0"/>
                  <w:szCs w:val="21"/>
                  <w14:ligatures w14:val="none"/>
                </w:rPr>
                <m:t>app</m:t>
              </m:r>
            </m:sub>
          </m:sSub>
          <m:sSup>
            <m:sSupPr>
              <m:ctrlPr>
                <w:rPr>
                  <w:rFonts w:ascii="Cambria Math" w:eastAsia="SimSun" w:hAnsi="Cambria Math" w:cs="SimSun"/>
                  <w:kern w:val="0"/>
                  <w:szCs w:val="21"/>
                  <w14:ligatures w14:val="none"/>
                </w:rPr>
              </m:ctrlPr>
            </m:sSupPr>
            <m:e>
              <m:r>
                <w:rPr>
                  <w:rFonts w:ascii="Cambria Math" w:eastAsia="SimSun" w:hAnsi="Cambria Math" w:cs="SimSun"/>
                  <w:kern w:val="0"/>
                  <w:szCs w:val="21"/>
                  <w14:ligatures w14:val="none"/>
                </w:rPr>
                <m:t>)</m:t>
              </m:r>
            </m:e>
            <m:sup>
              <m:r>
                <w:rPr>
                  <w:rFonts w:ascii="Cambria Math" w:eastAsia="SimSun" w:hAnsi="Cambria Math" w:cs="SimSun"/>
                  <w:kern w:val="0"/>
                  <w:szCs w:val="21"/>
                  <w14:ligatures w14:val="none"/>
                </w:rPr>
                <m:t>1</m:t>
              </m:r>
              <m:r>
                <m:rPr>
                  <m:sty m:val="p"/>
                </m:rPr>
                <w:rPr>
                  <w:rFonts w:ascii="Cambria Math" w:eastAsia="SimSun" w:hAnsi="Cambria Math" w:cs="SimSun"/>
                  <w:kern w:val="0"/>
                  <w:szCs w:val="21"/>
                  <w14:ligatures w14:val="none"/>
                </w:rPr>
                <m:t>/</m:t>
              </m:r>
              <m:r>
                <w:rPr>
                  <w:rFonts w:ascii="Cambria Math" w:eastAsia="SimSun" w:hAnsi="Cambria Math" w:cs="SimSun"/>
                  <w:kern w:val="0"/>
                  <w:szCs w:val="21"/>
                  <w14:ligatures w14:val="none"/>
                </w:rPr>
                <m:t>2</m:t>
              </m:r>
            </m:sup>
          </m:sSup>
        </m:oMath>
      </m:oMathPara>
    </w:p>
    <w:p w14:paraId="15C3AD65" w14:textId="77777777" w:rsidR="00541AB6" w:rsidRPr="00541AB6" w:rsidRDefault="00541AB6" w:rsidP="00541AB6">
      <w:pPr>
        <w:spacing w:line="360" w:lineRule="auto"/>
        <w:ind w:firstLine="420"/>
        <w:rPr>
          <w:rFonts w:cs="Arial"/>
          <w:szCs w:val="22"/>
        </w:rPr>
      </w:pPr>
      <w:r w:rsidRPr="00541AB6">
        <w:rPr>
          <w:rFonts w:cs="Arial"/>
          <w:szCs w:val="22"/>
        </w:rPr>
        <w:t>Substituting the interfacial potential dependence of the equilibrium constant gives</w:t>
      </w:r>
    </w:p>
    <w:p w14:paraId="566B9135" w14:textId="77777777" w:rsidR="004F15DD" w:rsidRPr="0076388A" w:rsidRDefault="004F15DD" w:rsidP="004F15DD">
      <w:pPr>
        <w:widowControl/>
        <w:spacing w:after="0" w:line="240" w:lineRule="auto"/>
        <w:rPr>
          <w:rFonts w:ascii="SimSun" w:eastAsia="SimSun" w:hAnsi="SimSun" w:cs="SimSun" w:hint="eastAsia"/>
          <w:kern w:val="0"/>
          <w:szCs w:val="21"/>
          <w14:ligatures w14:val="none"/>
        </w:rPr>
      </w:pPr>
      <m:oMathPara>
        <m:oMath>
          <m:r>
            <w:rPr>
              <w:rFonts w:ascii="Cambria Math" w:eastAsia="SimSun" w:hAnsi="Cambria Math" w:cs="SimSun"/>
              <w:kern w:val="0"/>
              <w:szCs w:val="21"/>
              <w14:ligatures w14:val="none"/>
            </w:rPr>
            <m:t>α(ψ)∝</m:t>
          </m:r>
          <m:r>
            <m:rPr>
              <m:sty m:val="p"/>
            </m:rPr>
            <w:rPr>
              <w:rFonts w:ascii="Cambria Math" w:eastAsia="SimSun" w:hAnsi="Cambria Math" w:cs="SimSun"/>
              <w:kern w:val="0"/>
              <w:szCs w:val="21"/>
              <w14:ligatures w14:val="none"/>
            </w:rPr>
            <m:t>exp</m:t>
          </m:r>
          <m:r>
            <w:rPr>
              <w:rFonts w:ascii="Cambria Math" w:eastAsia="SimSun" w:hAnsi="Cambria Math" w:cs="SimSun"/>
              <w:kern w:val="0"/>
              <w:szCs w:val="21"/>
              <w14:ligatures w14:val="none"/>
            </w:rPr>
            <m:t>⁡</m:t>
          </m:r>
          <m:d>
            <m:dPr>
              <m:ctrlPr>
                <w:rPr>
                  <w:rFonts w:ascii="Cambria Math" w:eastAsia="SimSun" w:hAnsi="Cambria Math" w:cs="SimSun"/>
                  <w:kern w:val="0"/>
                  <w:szCs w:val="21"/>
                  <w14:ligatures w14:val="none"/>
                </w:rPr>
              </m:ctrlPr>
            </m:dPr>
            <m:e>
              <m:f>
                <m:fPr>
                  <m:ctrlPr>
                    <w:rPr>
                      <w:rFonts w:ascii="Cambria Math" w:eastAsia="SimSun" w:hAnsi="Cambria Math" w:cs="SimSun"/>
                      <w:kern w:val="0"/>
                      <w:szCs w:val="21"/>
                      <w14:ligatures w14:val="none"/>
                    </w:rPr>
                  </m:ctrlPr>
                </m:fPr>
                <m:num>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z</m:t>
                      </m:r>
                    </m:e>
                    <m:sub>
                      <m:r>
                        <w:rPr>
                          <w:rFonts w:ascii="Cambria Math" w:eastAsia="SimSun" w:hAnsi="Cambria Math" w:cs="SimSun"/>
                          <w:kern w:val="0"/>
                          <w:szCs w:val="21"/>
                          <w14:ligatures w14:val="none"/>
                        </w:rPr>
                        <m:t>eff</m:t>
                      </m:r>
                    </m:sub>
                  </m:sSub>
                  <m:r>
                    <w:rPr>
                      <w:rFonts w:ascii="Cambria Math" w:eastAsia="SimSun" w:hAnsi="Cambria Math" w:cs="SimSun"/>
                      <w:kern w:val="0"/>
                      <w:szCs w:val="21"/>
                      <w14:ligatures w14:val="none"/>
                    </w:rPr>
                    <m:t>Fψ</m:t>
                  </m:r>
                </m:num>
                <m:den>
                  <m:r>
                    <w:rPr>
                      <w:rFonts w:ascii="Cambria Math" w:eastAsia="SimSun" w:hAnsi="Cambria Math" w:cs="SimSun"/>
                      <w:kern w:val="0"/>
                      <w:szCs w:val="21"/>
                      <w14:ligatures w14:val="none"/>
                    </w:rPr>
                    <m:t>2RT</m:t>
                  </m:r>
                </m:den>
              </m:f>
            </m:e>
          </m:d>
        </m:oMath>
      </m:oMathPara>
    </w:p>
    <w:p w14:paraId="37BFC5BD" w14:textId="74C01E1D" w:rsidR="00541AB6" w:rsidRPr="00541AB6" w:rsidRDefault="00541AB6" w:rsidP="00541AB6">
      <w:pPr>
        <w:spacing w:line="360" w:lineRule="auto"/>
        <w:ind w:firstLine="420"/>
        <w:rPr>
          <w:rFonts w:cs="Arial"/>
          <w:szCs w:val="22"/>
        </w:rPr>
      </w:pPr>
      <w:r w:rsidRPr="00541AB6">
        <w:rPr>
          <w:rFonts w:cs="Arial"/>
          <w:szCs w:val="22"/>
        </w:rPr>
        <w:t xml:space="preserve">Therefore, within the regime where MIS produces a significant enhancement relative to </w:t>
      </w:r>
      <w:r w:rsidR="009A4CEE" w:rsidRPr="00A86891">
        <w:rPr>
          <w:rFonts w:cs="Arial"/>
          <w:szCs w:val="22"/>
        </w:rPr>
        <w:t>m</w:t>
      </w:r>
      <w:r w:rsidR="009A4CEE">
        <w:rPr>
          <w:rFonts w:cs="Arial" w:hint="eastAsia"/>
          <w:szCs w:val="22"/>
        </w:rPr>
        <w:t>a</w:t>
      </w:r>
      <w:r w:rsidR="009A4CEE" w:rsidRPr="00A86891">
        <w:rPr>
          <w:rFonts w:cs="Arial"/>
          <w:szCs w:val="22"/>
        </w:rPr>
        <w:t>cro-interfaces (</w:t>
      </w:r>
      <w:r w:rsidRPr="00541AB6">
        <w:rPr>
          <w:rFonts w:cs="Arial"/>
          <w:szCs w:val="22"/>
        </w:rPr>
        <w:t>MAS</w:t>
      </w:r>
      <w:r w:rsidR="009A4CEE">
        <w:rPr>
          <w:rFonts w:cs="Arial" w:hint="eastAsia"/>
          <w:szCs w:val="22"/>
        </w:rPr>
        <w:t>)</w:t>
      </w:r>
      <w:r w:rsidRPr="00541AB6">
        <w:rPr>
          <w:rFonts w:cs="Arial"/>
          <w:szCs w:val="22"/>
        </w:rPr>
        <w:t>, the incremental loading can be approximated as</w:t>
      </w:r>
    </w:p>
    <w:p w14:paraId="3423EE03" w14:textId="77777777" w:rsidR="000A1186" w:rsidRPr="0076388A" w:rsidRDefault="000A1186" w:rsidP="000A1186">
      <w:pPr>
        <w:widowControl/>
        <w:spacing w:after="0" w:line="240" w:lineRule="auto"/>
        <w:rPr>
          <w:rFonts w:ascii="SimSun" w:eastAsia="SimSun" w:hAnsi="SimSun" w:cs="SimSun" w:hint="eastAsia"/>
          <w:kern w:val="0"/>
          <w:szCs w:val="21"/>
          <w14:ligatures w14:val="none"/>
        </w:rPr>
      </w:pPr>
      <m:oMathPara>
        <m:oMath>
          <m:r>
            <m:rPr>
              <m:sty m:val="p"/>
            </m:rPr>
            <w:rPr>
              <w:rFonts w:ascii="Cambria Math" w:eastAsia="SimSun" w:hAnsi="Cambria Math" w:cs="SimSun"/>
              <w:kern w:val="0"/>
              <w:szCs w:val="21"/>
              <w14:ligatures w14:val="none"/>
            </w:rPr>
            <m:t>Δ</m:t>
          </m:r>
          <m:r>
            <w:rPr>
              <w:rFonts w:ascii="Cambria Math" w:eastAsia="SimSun" w:hAnsi="Cambria Math" w:cs="SimSun"/>
              <w:kern w:val="0"/>
              <w:szCs w:val="21"/>
              <w14:ligatures w14:val="none"/>
            </w:rPr>
            <m:t>α∝</m:t>
          </m:r>
          <m:r>
            <m:rPr>
              <m:sty m:val="p"/>
            </m:rPr>
            <w:rPr>
              <w:rFonts w:ascii="Cambria Math" w:eastAsia="SimSun" w:hAnsi="Cambria Math" w:cs="SimSun"/>
              <w:kern w:val="0"/>
              <w:szCs w:val="21"/>
              <w14:ligatures w14:val="none"/>
            </w:rPr>
            <m:t>exp</m:t>
          </m:r>
          <m:r>
            <w:rPr>
              <w:rFonts w:ascii="Cambria Math" w:eastAsia="SimSun" w:hAnsi="Cambria Math" w:cs="SimSun"/>
              <w:kern w:val="0"/>
              <w:szCs w:val="21"/>
              <w14:ligatures w14:val="none"/>
            </w:rPr>
            <m:t>⁡</m:t>
          </m:r>
          <m:d>
            <m:dPr>
              <m:ctrlPr>
                <w:rPr>
                  <w:rFonts w:ascii="Cambria Math" w:eastAsia="SimSun" w:hAnsi="Cambria Math" w:cs="SimSun"/>
                  <w:kern w:val="0"/>
                  <w:szCs w:val="21"/>
                  <w14:ligatures w14:val="none"/>
                </w:rPr>
              </m:ctrlPr>
            </m:dPr>
            <m:e>
              <m:f>
                <m:fPr>
                  <m:ctrlPr>
                    <w:rPr>
                      <w:rFonts w:ascii="Cambria Math" w:eastAsia="SimSun" w:hAnsi="Cambria Math" w:cs="SimSun"/>
                      <w:kern w:val="0"/>
                      <w:szCs w:val="21"/>
                      <w14:ligatures w14:val="none"/>
                    </w:rPr>
                  </m:ctrlPr>
                </m:fPr>
                <m:num>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z</m:t>
                      </m:r>
                    </m:e>
                    <m:sub>
                      <m:r>
                        <w:rPr>
                          <w:rFonts w:ascii="Cambria Math" w:eastAsia="SimSun" w:hAnsi="Cambria Math" w:cs="SimSun"/>
                          <w:kern w:val="0"/>
                          <w:szCs w:val="21"/>
                          <w14:ligatures w14:val="none"/>
                        </w:rPr>
                        <m:t>eff</m:t>
                      </m:r>
                    </m:sub>
                  </m:sSub>
                  <m:r>
                    <w:rPr>
                      <w:rFonts w:ascii="Cambria Math" w:eastAsia="SimSun" w:hAnsi="Cambria Math" w:cs="SimSun"/>
                      <w:kern w:val="0"/>
                      <w:szCs w:val="21"/>
                      <w14:ligatures w14:val="none"/>
                    </w:rPr>
                    <m:t>Fψ</m:t>
                  </m:r>
                </m:num>
                <m:den>
                  <m:r>
                    <w:rPr>
                      <w:rFonts w:ascii="Cambria Math" w:eastAsia="SimSun" w:hAnsi="Cambria Math" w:cs="SimSun"/>
                      <w:kern w:val="0"/>
                      <w:szCs w:val="21"/>
                      <w14:ligatures w14:val="none"/>
                    </w:rPr>
                    <m:t>2RT</m:t>
                  </m:r>
                </m:den>
              </m:f>
            </m:e>
          </m:d>
        </m:oMath>
      </m:oMathPara>
    </w:p>
    <w:p w14:paraId="6BFE5964" w14:textId="77777777" w:rsidR="00541AB6" w:rsidRPr="00541AB6" w:rsidRDefault="00541AB6" w:rsidP="00541AB6">
      <w:pPr>
        <w:spacing w:line="360" w:lineRule="auto"/>
        <w:ind w:firstLine="420"/>
        <w:rPr>
          <w:rFonts w:cs="Arial"/>
          <w:szCs w:val="22"/>
        </w:rPr>
      </w:pPr>
      <w:r w:rsidRPr="00541AB6">
        <w:rPr>
          <w:rFonts w:cs="Arial"/>
          <w:szCs w:val="22"/>
        </w:rPr>
        <w:t>Taking the natural logarithm on both sides yields</w:t>
      </w:r>
    </w:p>
    <w:p w14:paraId="380A2816" w14:textId="77777777" w:rsidR="00CA36CF" w:rsidRPr="0076388A" w:rsidRDefault="00CA36CF" w:rsidP="00CA36CF">
      <w:pPr>
        <w:widowControl/>
        <w:spacing w:after="0" w:line="240" w:lineRule="auto"/>
        <w:rPr>
          <w:rFonts w:ascii="SimSun" w:eastAsia="SimSun" w:hAnsi="SimSun" w:cs="SimSun" w:hint="eastAsia"/>
          <w:kern w:val="0"/>
          <w:szCs w:val="21"/>
          <w14:ligatures w14:val="none"/>
        </w:rPr>
      </w:pPr>
      <m:oMathPara>
        <m:oMath>
          <m:r>
            <m:rPr>
              <m:sty m:val="p"/>
            </m:rPr>
            <w:rPr>
              <w:rFonts w:ascii="Cambria Math" w:eastAsia="SimSun" w:hAnsi="Cambria Math" w:cs="SimSun"/>
              <w:kern w:val="0"/>
              <w:szCs w:val="21"/>
              <w14:ligatures w14:val="none"/>
            </w:rPr>
            <m:t>ln</m:t>
          </m:r>
          <m:r>
            <w:rPr>
              <w:rFonts w:ascii="Cambria Math" w:eastAsia="SimSun" w:hAnsi="Cambria Math" w:cs="SimSun"/>
              <w:kern w:val="0"/>
              <w:szCs w:val="21"/>
              <w14:ligatures w14:val="none"/>
            </w:rPr>
            <m:t>⁡(</m:t>
          </m:r>
          <m:r>
            <m:rPr>
              <m:sty m:val="p"/>
            </m:rPr>
            <w:rPr>
              <w:rFonts w:ascii="Cambria Math" w:eastAsia="SimSun" w:hAnsi="Cambria Math" w:cs="SimSun"/>
              <w:kern w:val="0"/>
              <w:szCs w:val="21"/>
              <w14:ligatures w14:val="none"/>
            </w:rPr>
            <m:t>Δ</m:t>
          </m:r>
          <m:r>
            <w:rPr>
              <w:rFonts w:ascii="Cambria Math" w:eastAsia="SimSun" w:hAnsi="Cambria Math" w:cs="SimSun"/>
              <w:kern w:val="0"/>
              <w:szCs w:val="21"/>
              <w14:ligatures w14:val="none"/>
            </w:rPr>
            <m:t>α)=</m:t>
          </m:r>
          <m:r>
            <m:rPr>
              <m:nor/>
            </m:rPr>
            <w:rPr>
              <w:rFonts w:eastAsia="SimSun" w:cs="Arial"/>
              <w:kern w:val="0"/>
              <w:szCs w:val="21"/>
              <w14:ligatures w14:val="none"/>
            </w:rPr>
            <m:t>const</m:t>
          </m:r>
          <m:r>
            <w:rPr>
              <w:rFonts w:ascii="Cambria Math" w:eastAsia="SimSun" w:hAnsi="Cambria Math" w:cs="SimSun"/>
              <w:kern w:val="0"/>
              <w:szCs w:val="21"/>
              <w14:ligatures w14:val="none"/>
            </w:rPr>
            <m:t>+</m:t>
          </m:r>
          <m:f>
            <m:fPr>
              <m:ctrlPr>
                <w:rPr>
                  <w:rFonts w:ascii="Cambria Math" w:eastAsia="SimSun" w:hAnsi="Cambria Math" w:cs="SimSun"/>
                  <w:kern w:val="0"/>
                  <w:szCs w:val="21"/>
                  <w14:ligatures w14:val="none"/>
                </w:rPr>
              </m:ctrlPr>
            </m:fPr>
            <m:num>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z</m:t>
                  </m:r>
                </m:e>
                <m:sub>
                  <m:r>
                    <w:rPr>
                      <w:rFonts w:ascii="Cambria Math" w:eastAsia="SimSun" w:hAnsi="Cambria Math" w:cs="SimSun"/>
                      <w:kern w:val="0"/>
                      <w:szCs w:val="21"/>
                      <w14:ligatures w14:val="none"/>
                    </w:rPr>
                    <m:t>eff</m:t>
                  </m:r>
                </m:sub>
              </m:sSub>
              <m:r>
                <w:rPr>
                  <w:rFonts w:ascii="Cambria Math" w:eastAsia="SimSun" w:hAnsi="Cambria Math" w:cs="SimSun"/>
                  <w:kern w:val="0"/>
                  <w:szCs w:val="21"/>
                  <w14:ligatures w14:val="none"/>
                </w:rPr>
                <m:t>F</m:t>
              </m:r>
            </m:num>
            <m:den>
              <m:r>
                <w:rPr>
                  <w:rFonts w:ascii="Cambria Math" w:eastAsia="SimSun" w:hAnsi="Cambria Math" w:cs="SimSun"/>
                  <w:kern w:val="0"/>
                  <w:szCs w:val="21"/>
                  <w14:ligatures w14:val="none"/>
                </w:rPr>
                <m:t>2RT</m:t>
              </m:r>
            </m:den>
          </m:f>
          <m:r>
            <w:rPr>
              <w:rFonts w:ascii="Cambria Math" w:eastAsia="SimSun" w:hAnsi="Cambria Math" w:cs="SimSun"/>
              <w:kern w:val="0"/>
              <w:szCs w:val="21"/>
              <w14:ligatures w14:val="none"/>
            </w:rPr>
            <m:t>ψ</m:t>
          </m:r>
        </m:oMath>
      </m:oMathPara>
    </w:p>
    <w:p w14:paraId="147027EA" w14:textId="77777777" w:rsidR="00541AB6" w:rsidRPr="00541AB6" w:rsidRDefault="00541AB6" w:rsidP="00541AB6">
      <w:pPr>
        <w:spacing w:line="360" w:lineRule="auto"/>
        <w:ind w:firstLine="420"/>
        <w:rPr>
          <w:rFonts w:cs="Arial"/>
          <w:szCs w:val="22"/>
        </w:rPr>
      </w:pPr>
      <w:r w:rsidRPr="00541AB6">
        <w:rPr>
          <w:rFonts w:cs="Arial"/>
          <w:szCs w:val="22"/>
        </w:rPr>
        <w:t>which indicates a linear relationship between ln(Δα) and the effective interfacial potential.</w:t>
      </w:r>
    </w:p>
    <w:p w14:paraId="2DB80716" w14:textId="77777777" w:rsidR="00541AB6" w:rsidRPr="00541AB6" w:rsidRDefault="00541AB6" w:rsidP="00541AB6">
      <w:pPr>
        <w:spacing w:line="360" w:lineRule="auto"/>
        <w:ind w:firstLine="420"/>
        <w:rPr>
          <w:rFonts w:cs="Arial"/>
          <w:szCs w:val="22"/>
        </w:rPr>
      </w:pPr>
      <w:r w:rsidRPr="00541AB6">
        <w:rPr>
          <w:rFonts w:cs="Arial"/>
          <w:szCs w:val="22"/>
        </w:rPr>
        <w:lastRenderedPageBreak/>
        <w:t>Experimentally, the directly measurable quantity is the ζ potential rather than the true potential at the reaction site. The effective interfacial potential can therefore be approximated as</w:t>
      </w:r>
    </w:p>
    <w:p w14:paraId="2EB2A104" w14:textId="77777777" w:rsidR="00747D7C" w:rsidRPr="0076388A" w:rsidRDefault="00F80AA9" w:rsidP="00747D7C">
      <w:pPr>
        <w:widowControl/>
        <w:spacing w:after="0" w:line="240" w:lineRule="auto"/>
        <w:rPr>
          <w:rFonts w:ascii="SimSun" w:eastAsia="SimSun" w:hAnsi="SimSun" w:cs="SimSun" w:hint="eastAsia"/>
          <w:kern w:val="0"/>
          <w:szCs w:val="21"/>
          <w14:ligatures w14:val="none"/>
        </w:rPr>
      </w:pPr>
      <m:oMathPara>
        <m:oMath>
          <m:sSub>
            <m:sSubPr>
              <m:ctrlPr>
                <w:rPr>
                  <w:rFonts w:ascii="Cambria Math" w:eastAsia="SimSun" w:hAnsi="Cambria Math" w:cs="SimSun"/>
                  <w:kern w:val="0"/>
                  <w:szCs w:val="21"/>
                  <w14:ligatures w14:val="none"/>
                </w:rPr>
              </m:ctrlPr>
            </m:sSubPr>
            <m:e>
              <m:r>
                <w:rPr>
                  <w:rFonts w:ascii="Cambria Math" w:eastAsia="SimSun" w:hAnsi="Cambria Math" w:cs="SimSun"/>
                  <w:kern w:val="0"/>
                  <w:szCs w:val="21"/>
                  <w14:ligatures w14:val="none"/>
                </w:rPr>
                <m:t>ψ</m:t>
              </m:r>
            </m:e>
            <m:sub>
              <m:r>
                <w:rPr>
                  <w:rFonts w:ascii="Cambria Math" w:eastAsia="SimSun" w:hAnsi="Cambria Math" w:cs="SimSun"/>
                  <w:kern w:val="0"/>
                  <w:szCs w:val="21"/>
                  <w14:ligatures w14:val="none"/>
                </w:rPr>
                <m:t>eff</m:t>
              </m:r>
            </m:sub>
          </m:sSub>
          <m:r>
            <w:rPr>
              <w:rFonts w:ascii="Cambria Math" w:eastAsia="SimSun" w:hAnsi="Cambria Math" w:cs="SimSun"/>
              <w:kern w:val="0"/>
              <w:szCs w:val="21"/>
              <w14:ligatures w14:val="none"/>
            </w:rPr>
            <m:t>≈λ</m:t>
          </m:r>
          <m:r>
            <m:rPr>
              <m:sty m:val="p"/>
            </m:rPr>
            <w:rPr>
              <w:rFonts w:ascii="Cambria Math" w:eastAsia="SimSun" w:hAnsi="Cambria Math" w:cs="SimSun"/>
              <w:kern w:val="0"/>
              <w:szCs w:val="21"/>
              <w14:ligatures w14:val="none"/>
            </w:rPr>
            <m:t>∣</m:t>
          </m:r>
          <m:r>
            <w:rPr>
              <w:rFonts w:ascii="Cambria Math" w:eastAsia="SimSun" w:hAnsi="Cambria Math" w:cs="SimSun"/>
              <w:kern w:val="0"/>
              <w:szCs w:val="21"/>
              <w14:ligatures w14:val="none"/>
            </w:rPr>
            <m:t>ζ</m:t>
          </m:r>
          <m:r>
            <m:rPr>
              <m:sty m:val="p"/>
            </m:rPr>
            <w:rPr>
              <w:rFonts w:ascii="Cambria Math" w:eastAsia="SimSun" w:hAnsi="Cambria Math" w:cs="SimSun"/>
              <w:kern w:val="0"/>
              <w:szCs w:val="21"/>
              <w14:ligatures w14:val="none"/>
            </w:rPr>
            <m:t>∣</m:t>
          </m:r>
        </m:oMath>
      </m:oMathPara>
    </w:p>
    <w:p w14:paraId="51366CCB" w14:textId="77777777" w:rsidR="00541AB6" w:rsidRPr="00541AB6" w:rsidRDefault="00541AB6" w:rsidP="00541AB6">
      <w:pPr>
        <w:spacing w:line="360" w:lineRule="auto"/>
        <w:ind w:firstLine="420"/>
        <w:rPr>
          <w:rFonts w:cs="Arial"/>
          <w:szCs w:val="22"/>
        </w:rPr>
      </w:pPr>
      <w:r w:rsidRPr="00541AB6">
        <w:rPr>
          <w:rFonts w:cs="Arial"/>
          <w:szCs w:val="21"/>
        </w:rPr>
        <w:t>where λ represents a mapping coefficient between the slip-plane potential and the actual</w:t>
      </w:r>
      <w:r w:rsidRPr="00541AB6">
        <w:rPr>
          <w:rFonts w:cs="Arial"/>
          <w:szCs w:val="22"/>
        </w:rPr>
        <w:t xml:space="preserve"> potential experienced at the reaction site. The resulting scaling relation becomes</w:t>
      </w:r>
    </w:p>
    <w:p w14:paraId="2FF878E5" w14:textId="511ACB0C" w:rsidR="00541AB6" w:rsidRPr="00541AB6" w:rsidRDefault="002E43C3" w:rsidP="002E43C3">
      <w:pPr>
        <w:widowControl/>
        <w:spacing w:after="0" w:line="240" w:lineRule="auto"/>
        <w:rPr>
          <w:rFonts w:ascii="SimSun" w:eastAsia="SimSun" w:hAnsi="SimSun" w:cs="SimSun" w:hint="eastAsia"/>
          <w:kern w:val="0"/>
          <w:szCs w:val="21"/>
          <w14:ligatures w14:val="none"/>
        </w:rPr>
      </w:pPr>
      <m:oMathPara>
        <m:oMath>
          <m:r>
            <m:rPr>
              <m:sty m:val="p"/>
            </m:rPr>
            <w:rPr>
              <w:rFonts w:ascii="Cambria Math" w:eastAsia="SimSun" w:hAnsi="Cambria Math" w:cs="SimSun"/>
              <w:kern w:val="0"/>
              <w:szCs w:val="21"/>
              <w14:ligatures w14:val="none"/>
            </w:rPr>
            <m:t>ln</m:t>
          </m:r>
          <m:r>
            <w:rPr>
              <w:rFonts w:ascii="Cambria Math" w:eastAsia="SimSun" w:hAnsi="Cambria Math" w:cs="SimSun"/>
              <w:kern w:val="0"/>
              <w:szCs w:val="21"/>
              <w14:ligatures w14:val="none"/>
            </w:rPr>
            <m:t>⁡(</m:t>
          </m:r>
          <m:r>
            <m:rPr>
              <m:sty m:val="p"/>
            </m:rPr>
            <w:rPr>
              <w:rFonts w:ascii="Cambria Math" w:eastAsia="SimSun" w:hAnsi="Cambria Math" w:cs="SimSun"/>
              <w:kern w:val="0"/>
              <w:szCs w:val="21"/>
              <w14:ligatures w14:val="none"/>
            </w:rPr>
            <m:t>Δ</m:t>
          </m:r>
          <m:r>
            <w:rPr>
              <w:rFonts w:ascii="Cambria Math" w:eastAsia="SimSun" w:hAnsi="Cambria Math" w:cs="SimSun"/>
              <w:kern w:val="0"/>
              <w:szCs w:val="21"/>
              <w14:ligatures w14:val="none"/>
            </w:rPr>
            <m:t>α)∝</m:t>
          </m:r>
          <m:r>
            <m:rPr>
              <m:sty m:val="p"/>
            </m:rPr>
            <w:rPr>
              <w:rFonts w:ascii="Cambria Math" w:eastAsia="SimSun" w:hAnsi="Cambria Math" w:cs="SimSun"/>
              <w:kern w:val="0"/>
              <w:szCs w:val="21"/>
              <w14:ligatures w14:val="none"/>
            </w:rPr>
            <m:t>∣</m:t>
          </m:r>
          <m:r>
            <w:rPr>
              <w:rFonts w:ascii="Cambria Math" w:eastAsia="SimSun" w:hAnsi="Cambria Math" w:cs="SimSun"/>
              <w:kern w:val="0"/>
              <w:szCs w:val="21"/>
              <w14:ligatures w14:val="none"/>
            </w:rPr>
            <m:t>ζ</m:t>
          </m:r>
          <m:r>
            <m:rPr>
              <m:sty m:val="p"/>
            </m:rPr>
            <w:rPr>
              <w:rFonts w:ascii="Cambria Math" w:eastAsia="SimSun" w:hAnsi="Cambria Math" w:cs="SimSun"/>
              <w:kern w:val="0"/>
              <w:szCs w:val="21"/>
              <w14:ligatures w14:val="none"/>
            </w:rPr>
            <m:t>∣</m:t>
          </m:r>
        </m:oMath>
      </m:oMathPara>
    </w:p>
    <w:p w14:paraId="6A42B82A" w14:textId="098289B7" w:rsidR="00541AB6" w:rsidRPr="00541AB6" w:rsidRDefault="00541AB6" w:rsidP="00541AB6">
      <w:pPr>
        <w:spacing w:line="360" w:lineRule="auto"/>
        <w:ind w:firstLine="420"/>
        <w:rPr>
          <w:rFonts w:cs="Arial"/>
          <w:szCs w:val="22"/>
        </w:rPr>
      </w:pPr>
      <w:r w:rsidRPr="00541AB6">
        <w:rPr>
          <w:rFonts w:cs="Arial"/>
          <w:szCs w:val="22"/>
        </w:rPr>
        <w:t>This result provides a thermodynamic interpretation for the experimentally observed linear scaling relationship between ln(Δα) and the ζ potential. It should be noted that the present derivation aims to illustrate the scaling relationship rather than establish a rigorous microscopic model. In practical systems, ion pairing, molecular self-association, and solvent structural reorganization may further modify the effective coupling coefficient z</w:t>
      </w:r>
      <w:r w:rsidRPr="00541AB6">
        <w:rPr>
          <w:rFonts w:cs="Arial"/>
          <w:szCs w:val="22"/>
          <w:vertAlign w:val="subscript"/>
        </w:rPr>
        <w:t>eff</w:t>
      </w:r>
      <w:r w:rsidRPr="00541AB6">
        <w:rPr>
          <w:rFonts w:cs="Arial"/>
          <w:szCs w:val="22"/>
        </w:rPr>
        <w:t>.</w:t>
      </w:r>
    </w:p>
    <w:p w14:paraId="58DDA932" w14:textId="77777777" w:rsidR="00763B47" w:rsidRPr="00697745" w:rsidRDefault="00763B47" w:rsidP="00763B47">
      <w:pPr>
        <w:spacing w:line="480" w:lineRule="auto"/>
        <w:rPr>
          <w:rFonts w:eastAsia="KaiTi" w:cs="Arial"/>
          <w:b/>
          <w:bCs/>
          <w:szCs w:val="21"/>
        </w:rPr>
      </w:pPr>
      <w:r>
        <w:rPr>
          <w:rFonts w:eastAsia="KaiTi" w:cs="Arial" w:hint="eastAsia"/>
          <w:b/>
          <w:bCs/>
          <w:szCs w:val="21"/>
        </w:rPr>
        <w:t>3.2</w:t>
      </w:r>
      <w:r w:rsidRPr="00697745">
        <w:rPr>
          <w:rFonts w:eastAsia="KaiTi" w:cs="Arial"/>
          <w:b/>
          <w:bCs/>
          <w:szCs w:val="21"/>
        </w:rPr>
        <w:t xml:space="preserve"> Kinetic intensification under MIS conditions</w:t>
      </w:r>
    </w:p>
    <w:p w14:paraId="697C37B6" w14:textId="77777777" w:rsidR="0076388A" w:rsidRPr="0076388A" w:rsidRDefault="0076388A" w:rsidP="0076388A">
      <w:pPr>
        <w:spacing w:line="360" w:lineRule="auto"/>
        <w:ind w:firstLine="420"/>
        <w:rPr>
          <w:rFonts w:cs="Arial"/>
          <w:szCs w:val="22"/>
        </w:rPr>
      </w:pPr>
      <w:r w:rsidRPr="0076388A">
        <w:rPr>
          <w:rFonts w:cs="Arial"/>
          <w:szCs w:val="22"/>
        </w:rPr>
        <w:t>The kinetic enhancement induced by MIS originates from the regulation of reactive configuration distributions by the interfacial potential. In essence, this process can be interpreted as a typical enthalpy–entropy compensation phenomenon. Interfacial polarization reduces the activation barrier of the system while simultaneously decreasing the statistical probability of reactive configurations. This effect is therefore directly reflected in the Arrhenius relationship of the reaction rate constant. The kinetic fitting follows the Arrhenius equation:</w:t>
      </w:r>
    </w:p>
    <w:p w14:paraId="5D7235A1" w14:textId="77777777" w:rsidR="0076388A" w:rsidRPr="0076388A" w:rsidRDefault="0076388A" w:rsidP="0076388A">
      <w:pPr>
        <w:spacing w:line="360" w:lineRule="auto"/>
        <w:jc w:val="center"/>
        <w:rPr>
          <w:rFonts w:cs="Arial"/>
          <w:szCs w:val="22"/>
        </w:rPr>
      </w:pPr>
      <w:r w:rsidRPr="0076388A">
        <w:rPr>
          <w:rFonts w:cs="Arial"/>
          <w:szCs w:val="22"/>
        </w:rPr>
        <w:t>ln k = ln A − Eₐ / RT</w:t>
      </w:r>
    </w:p>
    <w:p w14:paraId="743580C0" w14:textId="29890762" w:rsidR="005B7A71" w:rsidRPr="0076388A" w:rsidRDefault="0076388A" w:rsidP="005B7A71">
      <w:pPr>
        <w:spacing w:line="360" w:lineRule="auto"/>
        <w:ind w:firstLine="420"/>
        <w:rPr>
          <w:rFonts w:cs="Arial"/>
          <w:szCs w:val="22"/>
        </w:rPr>
      </w:pPr>
      <w:r w:rsidRPr="0076388A">
        <w:rPr>
          <w:rFonts w:cs="Arial"/>
          <w:szCs w:val="22"/>
        </w:rPr>
        <w:t>where the slope corresponds to −Eₐ / R and the intercept corresponds to ln A.</w:t>
      </w:r>
    </w:p>
    <w:p w14:paraId="3208D950" w14:textId="15FE22DD" w:rsidR="0076388A" w:rsidRPr="0076388A" w:rsidRDefault="0076388A" w:rsidP="0076388A">
      <w:pPr>
        <w:spacing w:line="360" w:lineRule="auto"/>
        <w:ind w:firstLine="420"/>
        <w:rPr>
          <w:rFonts w:cs="Arial"/>
          <w:szCs w:val="22"/>
        </w:rPr>
      </w:pPr>
      <w:r w:rsidRPr="0076388A">
        <w:rPr>
          <w:rFonts w:cs="Arial"/>
          <w:szCs w:val="22"/>
        </w:rPr>
        <w:t>For the tertiary amine system represented by MDEA–PZ</w:t>
      </w:r>
      <w:r w:rsidR="00A16C99">
        <w:rPr>
          <w:rFonts w:cs="Arial" w:hint="eastAsia"/>
          <w:szCs w:val="22"/>
        </w:rPr>
        <w:t xml:space="preserve"> (</w:t>
      </w:r>
      <w:r w:rsidR="000529C9">
        <w:rPr>
          <w:rFonts w:cs="Arial" w:hint="eastAsia"/>
          <w:szCs w:val="22"/>
        </w:rPr>
        <w:t>Fig.S2a)</w:t>
      </w:r>
      <w:r w:rsidRPr="0076388A">
        <w:rPr>
          <w:rFonts w:cs="Arial"/>
          <w:szCs w:val="22"/>
        </w:rPr>
        <w:t>, the fitted kinetic relationships under MAS conditions are:</w:t>
      </w:r>
    </w:p>
    <w:p w14:paraId="1885B293" w14:textId="77777777" w:rsidR="0076388A" w:rsidRPr="0076388A" w:rsidRDefault="0076388A" w:rsidP="0076388A">
      <w:pPr>
        <w:spacing w:line="360" w:lineRule="auto"/>
        <w:jc w:val="center"/>
        <w:rPr>
          <w:rFonts w:cs="Arial"/>
          <w:szCs w:val="22"/>
        </w:rPr>
      </w:pPr>
      <w:r w:rsidRPr="0076388A">
        <w:rPr>
          <w:rFonts w:cs="Arial"/>
          <w:szCs w:val="22"/>
        </w:rPr>
        <w:t>y = 4.93 − 2816x</w:t>
      </w:r>
    </w:p>
    <w:p w14:paraId="5C206E94" w14:textId="77777777" w:rsidR="0076388A" w:rsidRPr="0076388A" w:rsidRDefault="0076388A" w:rsidP="0076388A">
      <w:pPr>
        <w:spacing w:line="360" w:lineRule="auto"/>
        <w:ind w:firstLine="420"/>
        <w:rPr>
          <w:rFonts w:cs="Arial"/>
          <w:szCs w:val="22"/>
        </w:rPr>
      </w:pPr>
      <w:r w:rsidRPr="0076388A">
        <w:rPr>
          <w:rFonts w:cs="Arial"/>
          <w:szCs w:val="22"/>
        </w:rPr>
        <w:t>whereas under MIS conditions the relationship becomes:</w:t>
      </w:r>
    </w:p>
    <w:p w14:paraId="633F1CA9" w14:textId="77777777" w:rsidR="0076388A" w:rsidRPr="0076388A" w:rsidRDefault="0076388A" w:rsidP="0076388A">
      <w:pPr>
        <w:spacing w:line="360" w:lineRule="auto"/>
        <w:jc w:val="center"/>
        <w:rPr>
          <w:rFonts w:cs="Arial"/>
          <w:szCs w:val="22"/>
        </w:rPr>
      </w:pPr>
      <w:r w:rsidRPr="0076388A">
        <w:rPr>
          <w:rFonts w:cs="Arial"/>
          <w:szCs w:val="22"/>
        </w:rPr>
        <w:t>y = −2.85 − 310x.</w:t>
      </w:r>
    </w:p>
    <w:p w14:paraId="073B6F57" w14:textId="1F786808" w:rsidR="0076388A" w:rsidRDefault="0076388A" w:rsidP="0076388A">
      <w:pPr>
        <w:spacing w:line="360" w:lineRule="auto"/>
        <w:ind w:firstLine="420"/>
        <w:rPr>
          <w:rFonts w:cs="Arial"/>
          <w:szCs w:val="22"/>
        </w:rPr>
      </w:pPr>
      <w:r w:rsidRPr="0076388A">
        <w:rPr>
          <w:rFonts w:cs="Arial"/>
          <w:szCs w:val="22"/>
        </w:rPr>
        <w:t>The corresponding apparent activation energy decreases significantly from 23.4 kJ mol</w:t>
      </w:r>
      <w:r w:rsidRPr="0076388A">
        <w:rPr>
          <w:rFonts w:ascii="Cambria Math" w:hAnsi="Cambria Math" w:cs="Cambria Math"/>
          <w:szCs w:val="22"/>
        </w:rPr>
        <w:t>⁻</w:t>
      </w:r>
      <w:r w:rsidRPr="0076388A">
        <w:rPr>
          <w:rFonts w:cs="Arial"/>
          <w:szCs w:val="22"/>
        </w:rPr>
        <w:t xml:space="preserve">¹ to </w:t>
      </w:r>
      <w:r w:rsidRPr="0076388A">
        <w:rPr>
          <w:rFonts w:cs="Arial"/>
          <w:szCs w:val="22"/>
        </w:rPr>
        <w:lastRenderedPageBreak/>
        <w:t>2.6 kJ mol</w:t>
      </w:r>
      <w:r w:rsidRPr="0076388A">
        <w:rPr>
          <w:rFonts w:ascii="Cambria Math" w:hAnsi="Cambria Math" w:cs="Cambria Math"/>
          <w:szCs w:val="22"/>
        </w:rPr>
        <w:t>⁻</w:t>
      </w:r>
      <w:r w:rsidRPr="0076388A">
        <w:rPr>
          <w:rFonts w:cs="Arial"/>
          <w:szCs w:val="22"/>
        </w:rPr>
        <w:t>¹, nearly an order-of-magnitude reduction. This indicates that the rate-controlling mechanism shifts from conventional chemical reaction control to regulation by the interfacial potential. At the same time, the pre-exponential factor ln A also decreases markedly, suggesting that interfacial polarization lowers the probability of reactive configurations, leading to a characteristic enthalpy–entropy compensation behavior.</w:t>
      </w:r>
    </w:p>
    <w:p w14:paraId="28E66179" w14:textId="69E208CC" w:rsidR="005B7A71" w:rsidRDefault="005B7A71" w:rsidP="005B7A71">
      <w:pPr>
        <w:spacing w:line="360" w:lineRule="auto"/>
        <w:rPr>
          <w:rFonts w:cs="Arial"/>
          <w:szCs w:val="22"/>
        </w:rPr>
      </w:pPr>
      <w:r>
        <w:rPr>
          <w:rFonts w:cs="Arial"/>
          <w:noProof/>
          <w:szCs w:val="22"/>
        </w:rPr>
        <w:drawing>
          <wp:inline distT="0" distB="0" distL="0" distR="0" wp14:anchorId="185E2C4F" wp14:editId="7599D98A">
            <wp:extent cx="5532807" cy="2170706"/>
            <wp:effectExtent l="0" t="0" r="0" b="1270"/>
            <wp:docPr id="10034919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2" t="6079" r="5448"/>
                    <a:stretch>
                      <a:fillRect/>
                    </a:stretch>
                  </pic:blipFill>
                  <pic:spPr bwMode="auto">
                    <a:xfrm>
                      <a:off x="0" y="0"/>
                      <a:ext cx="5532807" cy="2170706"/>
                    </a:xfrm>
                    <a:prstGeom prst="rect">
                      <a:avLst/>
                    </a:prstGeom>
                    <a:noFill/>
                    <a:ln>
                      <a:noFill/>
                    </a:ln>
                    <a:extLst>
                      <a:ext uri="{53640926-AAD7-44D8-BBD7-CCE9431645EC}">
                        <a14:shadowObscured xmlns:a14="http://schemas.microsoft.com/office/drawing/2010/main"/>
                      </a:ext>
                    </a:extLst>
                  </pic:spPr>
                </pic:pic>
              </a:graphicData>
            </a:graphic>
          </wp:inline>
        </w:drawing>
      </w:r>
    </w:p>
    <w:p w14:paraId="4DB4954D" w14:textId="7DBFA120" w:rsidR="004B38BA" w:rsidRPr="00D54C80" w:rsidRDefault="004B38BA" w:rsidP="005B7A71">
      <w:pPr>
        <w:spacing w:line="360" w:lineRule="auto"/>
        <w:rPr>
          <w:rFonts w:cs="Arial"/>
          <w:szCs w:val="22"/>
        </w:rPr>
      </w:pPr>
      <w:r w:rsidRPr="002211F7">
        <w:rPr>
          <w:rFonts w:cs="Arial" w:hint="eastAsia"/>
          <w:b/>
          <w:bCs/>
          <w:szCs w:val="22"/>
        </w:rPr>
        <w:t xml:space="preserve">Fig.S2 </w:t>
      </w:r>
      <w:r w:rsidR="00BF551B" w:rsidRPr="002211F7">
        <w:rPr>
          <w:rFonts w:cs="Arial"/>
          <w:b/>
          <w:bCs/>
          <w:szCs w:val="22"/>
        </w:rPr>
        <w:t>Arrhenius analysis of absorption kinetics under MIS and MAS conditions</w:t>
      </w:r>
      <w:r w:rsidRPr="002211F7">
        <w:rPr>
          <w:rFonts w:cs="Arial"/>
          <w:b/>
          <w:bCs/>
          <w:szCs w:val="22"/>
        </w:rPr>
        <w:t>.</w:t>
      </w:r>
      <w:r w:rsidR="009A4CEE" w:rsidRPr="00D54C80">
        <w:rPr>
          <w:rFonts w:cs="Arial" w:hint="eastAsia"/>
          <w:szCs w:val="22"/>
        </w:rPr>
        <w:t xml:space="preserve"> a</w:t>
      </w:r>
      <w:r w:rsidR="00AB392A">
        <w:rPr>
          <w:rFonts w:cs="Arial" w:hint="eastAsia"/>
          <w:szCs w:val="22"/>
        </w:rPr>
        <w:t>,</w:t>
      </w:r>
      <w:r w:rsidR="009A4CEE" w:rsidRPr="00D54C80">
        <w:rPr>
          <w:rFonts w:cs="Arial" w:hint="eastAsia"/>
          <w:szCs w:val="22"/>
        </w:rPr>
        <w:t xml:space="preserve"> AMP</w:t>
      </w:r>
      <w:r w:rsidR="00D54C80" w:rsidRPr="00D54C80">
        <w:rPr>
          <w:rFonts w:cs="Arial" w:hint="eastAsia"/>
          <w:szCs w:val="22"/>
        </w:rPr>
        <w:t>. b</w:t>
      </w:r>
      <w:r w:rsidR="00AB392A">
        <w:rPr>
          <w:rFonts w:cs="Arial" w:hint="eastAsia"/>
          <w:szCs w:val="22"/>
        </w:rPr>
        <w:t>,</w:t>
      </w:r>
      <w:r w:rsidR="00D54C80" w:rsidRPr="00D54C80">
        <w:rPr>
          <w:rFonts w:cs="Arial" w:hint="eastAsia"/>
          <w:szCs w:val="22"/>
        </w:rPr>
        <w:t xml:space="preserve"> MDEA &amp; PZ.</w:t>
      </w:r>
    </w:p>
    <w:p w14:paraId="0E2B1E52" w14:textId="1A69AB9A" w:rsidR="0076388A" w:rsidRPr="0076388A" w:rsidRDefault="0076388A" w:rsidP="0076388A">
      <w:pPr>
        <w:spacing w:line="360" w:lineRule="auto"/>
        <w:ind w:firstLine="420"/>
        <w:rPr>
          <w:rFonts w:cs="Arial"/>
          <w:szCs w:val="22"/>
        </w:rPr>
      </w:pPr>
      <w:r w:rsidRPr="0076388A">
        <w:rPr>
          <w:rFonts w:cs="Arial"/>
          <w:szCs w:val="22"/>
        </w:rPr>
        <w:t>In contrast</w:t>
      </w:r>
      <w:r w:rsidR="000529C9">
        <w:rPr>
          <w:rFonts w:cs="Arial" w:hint="eastAsia"/>
          <w:szCs w:val="22"/>
        </w:rPr>
        <w:t xml:space="preserve"> (Fig.S2b)</w:t>
      </w:r>
      <w:r w:rsidRPr="0076388A">
        <w:rPr>
          <w:rFonts w:cs="Arial"/>
          <w:szCs w:val="22"/>
        </w:rPr>
        <w:t>, for the AMP system the fitted kinetic relationships under MAS and MIS conditions are:</w:t>
      </w:r>
    </w:p>
    <w:p w14:paraId="2736EEBB" w14:textId="77777777" w:rsidR="0076388A" w:rsidRPr="0076388A" w:rsidRDefault="0076388A" w:rsidP="0076388A">
      <w:pPr>
        <w:spacing w:line="360" w:lineRule="auto"/>
        <w:jc w:val="center"/>
        <w:rPr>
          <w:rFonts w:cs="Arial"/>
          <w:szCs w:val="22"/>
        </w:rPr>
      </w:pPr>
      <w:r w:rsidRPr="0076388A">
        <w:rPr>
          <w:rFonts w:cs="Arial"/>
          <w:szCs w:val="22"/>
        </w:rPr>
        <w:t>y = 5.58 − 3627x</w:t>
      </w:r>
      <w:r w:rsidRPr="0076388A">
        <w:rPr>
          <w:rFonts w:cs="Arial"/>
          <w:szCs w:val="22"/>
        </w:rPr>
        <w:br/>
        <w:t>y = 0.70 − 1802x</w:t>
      </w:r>
    </w:p>
    <w:p w14:paraId="01714598" w14:textId="77777777" w:rsidR="0076388A" w:rsidRPr="0076388A" w:rsidRDefault="0076388A" w:rsidP="0076388A">
      <w:pPr>
        <w:spacing w:line="360" w:lineRule="auto"/>
        <w:ind w:firstLine="420"/>
        <w:rPr>
          <w:rFonts w:cs="Arial"/>
          <w:szCs w:val="22"/>
        </w:rPr>
      </w:pPr>
      <w:r w:rsidRPr="0076388A">
        <w:rPr>
          <w:rFonts w:cs="Arial"/>
          <w:szCs w:val="22"/>
        </w:rPr>
        <w:t>The corresponding activation energy decreases only from 30 kJ mol</w:t>
      </w:r>
      <w:r w:rsidRPr="0076388A">
        <w:rPr>
          <w:rFonts w:ascii="Cambria Math" w:hAnsi="Cambria Math" w:cs="Cambria Math"/>
          <w:szCs w:val="22"/>
        </w:rPr>
        <w:t>⁻</w:t>
      </w:r>
      <w:r w:rsidRPr="0076388A">
        <w:rPr>
          <w:rFonts w:cs="Arial"/>
          <w:szCs w:val="22"/>
        </w:rPr>
        <w:t>¹ to 15 kJ mol</w:t>
      </w:r>
      <w:r w:rsidRPr="0076388A">
        <w:rPr>
          <w:rFonts w:ascii="Cambria Math" w:hAnsi="Cambria Math" w:cs="Cambria Math"/>
          <w:szCs w:val="22"/>
        </w:rPr>
        <w:t>⁻</w:t>
      </w:r>
      <w:r w:rsidRPr="0076388A">
        <w:rPr>
          <w:rFonts w:cs="Arial"/>
          <w:szCs w:val="22"/>
        </w:rPr>
        <w:t>¹. Although MIS still lowers the reaction barrier, the magnitude of the reduction is significantly smaller than that observed in the tertiary amine system. This difference indicates that the protonation process of AMP is more strongly governed by molecular configuration constraints rather than interfacial potential regulation.</w:t>
      </w:r>
    </w:p>
    <w:p w14:paraId="71877A89" w14:textId="77777777" w:rsidR="0076388A" w:rsidRDefault="0076388A" w:rsidP="0076388A">
      <w:pPr>
        <w:spacing w:line="360" w:lineRule="auto"/>
        <w:ind w:firstLine="420"/>
        <w:rPr>
          <w:rFonts w:cs="Arial"/>
          <w:szCs w:val="22"/>
        </w:rPr>
      </w:pPr>
      <w:r w:rsidRPr="0076388A">
        <w:rPr>
          <w:rFonts w:cs="Arial"/>
          <w:szCs w:val="22"/>
        </w:rPr>
        <w:t>Therefore, in tertiary amine systems the role of MIS is not to create a new weak chemical bond, but rather to modify the kinetic pathway by lowering the protonation barrier and stabilizing the protonated state.</w:t>
      </w:r>
    </w:p>
    <w:p w14:paraId="10434577" w14:textId="77777777" w:rsidR="00D54C80" w:rsidRPr="0076388A" w:rsidRDefault="00D54C80" w:rsidP="0076388A">
      <w:pPr>
        <w:spacing w:line="360" w:lineRule="auto"/>
        <w:ind w:firstLine="420"/>
        <w:rPr>
          <w:rFonts w:cs="Arial"/>
          <w:szCs w:val="22"/>
        </w:rPr>
      </w:pPr>
    </w:p>
    <w:p w14:paraId="7B20727D" w14:textId="77777777" w:rsidR="0034318F" w:rsidRPr="002211F7" w:rsidRDefault="0034318F" w:rsidP="0034318F">
      <w:pPr>
        <w:spacing w:after="0" w:line="480" w:lineRule="auto"/>
        <w:rPr>
          <w:rFonts w:cs="Arial"/>
          <w:b/>
          <w:bCs/>
          <w:sz w:val="28"/>
          <w:szCs w:val="28"/>
        </w:rPr>
      </w:pPr>
      <w:r w:rsidRPr="002211F7">
        <w:rPr>
          <w:rFonts w:cs="Arial" w:hint="eastAsia"/>
          <w:b/>
          <w:bCs/>
          <w:sz w:val="28"/>
          <w:szCs w:val="28"/>
        </w:rPr>
        <w:lastRenderedPageBreak/>
        <w:t>4</w:t>
      </w:r>
      <w:r w:rsidRPr="002211F7">
        <w:rPr>
          <w:rFonts w:cs="Arial"/>
          <w:b/>
          <w:bCs/>
          <w:sz w:val="28"/>
          <w:szCs w:val="28"/>
        </w:rPr>
        <w:t xml:space="preserve"> Energy</w:t>
      </w:r>
    </w:p>
    <w:p w14:paraId="26D51B46" w14:textId="77777777" w:rsidR="0034318F" w:rsidRDefault="0034318F" w:rsidP="0034318F">
      <w:pPr>
        <w:spacing w:line="480" w:lineRule="auto"/>
        <w:rPr>
          <w:rFonts w:eastAsia="KaiTi" w:cs="Arial"/>
          <w:b/>
          <w:bCs/>
          <w:szCs w:val="21"/>
        </w:rPr>
      </w:pPr>
      <w:r>
        <w:rPr>
          <w:rFonts w:eastAsia="KaiTi" w:cs="Arial" w:hint="eastAsia"/>
          <w:b/>
          <w:bCs/>
          <w:szCs w:val="21"/>
        </w:rPr>
        <w:t>4</w:t>
      </w:r>
      <w:r w:rsidRPr="00075B43">
        <w:rPr>
          <w:rFonts w:eastAsia="KaiTi" w:cs="Arial"/>
          <w:b/>
          <w:bCs/>
          <w:szCs w:val="21"/>
        </w:rPr>
        <w:t>.1 Regeneration energy calculation</w:t>
      </w:r>
    </w:p>
    <w:p w14:paraId="0C303946" w14:textId="77777777" w:rsidR="0077538C" w:rsidRPr="0077538C" w:rsidRDefault="0077538C" w:rsidP="0077538C">
      <w:pPr>
        <w:spacing w:line="360" w:lineRule="auto"/>
        <w:ind w:firstLine="420"/>
        <w:rPr>
          <w:rFonts w:cs="Arial"/>
          <w:szCs w:val="22"/>
        </w:rPr>
      </w:pPr>
      <w:r w:rsidRPr="0077538C">
        <w:rPr>
          <w:rFonts w:cs="Arial"/>
          <w:szCs w:val="22"/>
        </w:rPr>
        <w:t>In conventional amine-based CO</w:t>
      </w:r>
      <w:r w:rsidRPr="0077538C">
        <w:rPr>
          <w:rFonts w:ascii="Cambria Math" w:hAnsi="Cambria Math" w:cs="Cambria Math"/>
          <w:szCs w:val="22"/>
        </w:rPr>
        <w:t>₂</w:t>
      </w:r>
      <w:r w:rsidRPr="0077538C">
        <w:rPr>
          <w:rFonts w:cs="Arial"/>
          <w:szCs w:val="22"/>
        </w:rPr>
        <w:t xml:space="preserve"> capture processes, the regeneration energy consumption is generally composed of three contributions: the reaction heat, sensible heat, and the latent heat of water evaporation. Therefore, the theoretical regeneration heat requirement of the system can be estimated by evaluating these three components separately. In this study, the apparent thermal duty of the regeneration column was further adopted as the reference for the total energy consumption. The difference between the theoretically calculated energy demand and the measured thermal duty was defined as an additional heat term, representing reflux heat, heat loss, and other energy contributions not explicitly accounted for in the theoretical calculation. The overall energy balance can be expressed as</w:t>
      </w:r>
    </w:p>
    <w:p w14:paraId="3111F6D7" w14:textId="2E2A62ED" w:rsidR="0077538C" w:rsidRPr="0077538C" w:rsidRDefault="00F80AA9" w:rsidP="0077538C">
      <w:pPr>
        <w:spacing w:line="360" w:lineRule="auto"/>
        <w:ind w:firstLine="420"/>
        <w:rPr>
          <w:rFonts w:cs="Arial"/>
          <w:szCs w:val="22"/>
        </w:rPr>
      </w:pPr>
      <m:oMathPara>
        <m:oMath>
          <m:sSub>
            <m:sSubPr>
              <m:ctrlPr>
                <w:rPr>
                  <w:rFonts w:ascii="Cambria Math" w:hAnsi="Cambria Math" w:cs="Arial"/>
                  <w:szCs w:val="22"/>
                </w:rPr>
              </m:ctrlPr>
            </m:sSubPr>
            <m:e>
              <m:r>
                <w:rPr>
                  <w:rFonts w:ascii="Cambria Math" w:hAnsi="Cambria Math" w:cs="Arial"/>
                  <w:szCs w:val="22"/>
                </w:rPr>
                <m:t>Q</m:t>
              </m:r>
            </m:e>
            <m:sub>
              <m:r>
                <m:rPr>
                  <m:nor/>
                </m:rPr>
                <w:rPr>
                  <w:rFonts w:cs="Arial"/>
                  <w:szCs w:val="22"/>
                </w:rPr>
                <m:t>total</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reaction</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sensible</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latent</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additional</m:t>
              </m:r>
            </m:sub>
          </m:sSub>
        </m:oMath>
      </m:oMathPara>
    </w:p>
    <w:p w14:paraId="193769BA" w14:textId="77777777" w:rsidR="0077538C" w:rsidRPr="0077538C" w:rsidRDefault="0077538C" w:rsidP="0077538C">
      <w:pPr>
        <w:spacing w:line="360" w:lineRule="auto"/>
        <w:ind w:firstLine="420"/>
        <w:rPr>
          <w:rFonts w:cs="Arial"/>
          <w:szCs w:val="22"/>
        </w:rPr>
      </w:pPr>
      <w:r w:rsidRPr="0077538C">
        <w:rPr>
          <w:rFonts w:cs="Arial"/>
          <w:szCs w:val="22"/>
        </w:rPr>
        <w:t>The reaction heat corresponds to the enthalpy required for CO</w:t>
      </w:r>
      <w:r w:rsidRPr="0077538C">
        <w:rPr>
          <w:rFonts w:ascii="Cambria Math" w:hAnsi="Cambria Math" w:cs="Cambria Math"/>
          <w:szCs w:val="22"/>
        </w:rPr>
        <w:t>₂</w:t>
      </w:r>
      <w:r w:rsidRPr="0077538C">
        <w:rPr>
          <w:rFonts w:cs="Arial"/>
          <w:szCs w:val="22"/>
        </w:rPr>
        <w:t xml:space="preserve"> desorption from the amine solution. It can be estimated from the difference between rich and lean loadings and the reaction enthalpy of the amine–CO</w:t>
      </w:r>
      <w:r w:rsidRPr="0077538C">
        <w:rPr>
          <w:rFonts w:ascii="Cambria Math" w:hAnsi="Cambria Math" w:cs="Cambria Math"/>
          <w:szCs w:val="22"/>
        </w:rPr>
        <w:t>₂</w:t>
      </w:r>
      <w:r w:rsidRPr="0077538C">
        <w:rPr>
          <w:rFonts w:cs="Arial"/>
          <w:szCs w:val="22"/>
        </w:rPr>
        <w:t xml:space="preserve"> system:</w:t>
      </w:r>
    </w:p>
    <w:p w14:paraId="7DDFD351" w14:textId="2B21F22B" w:rsidR="0077538C" w:rsidRPr="0077538C" w:rsidRDefault="00F80AA9" w:rsidP="0077538C">
      <w:pPr>
        <w:spacing w:line="360" w:lineRule="auto"/>
        <w:ind w:firstLine="420"/>
        <w:rPr>
          <w:rFonts w:cs="Arial"/>
          <w:szCs w:val="22"/>
        </w:rPr>
      </w:pPr>
      <m:oMathPara>
        <m:oMath>
          <m:sSub>
            <m:sSubPr>
              <m:ctrlPr>
                <w:rPr>
                  <w:rFonts w:ascii="Cambria Math" w:hAnsi="Cambria Math" w:cs="Arial"/>
                  <w:szCs w:val="22"/>
                </w:rPr>
              </m:ctrlPr>
            </m:sSubPr>
            <m:e>
              <m:r>
                <w:rPr>
                  <w:rFonts w:ascii="Cambria Math" w:hAnsi="Cambria Math" w:cs="Arial"/>
                  <w:szCs w:val="22"/>
                </w:rPr>
                <m:t>Q</m:t>
              </m:r>
            </m:e>
            <m:sub>
              <m:r>
                <m:rPr>
                  <m:nor/>
                </m:rPr>
                <w:rPr>
                  <w:rFonts w:cs="Arial"/>
                  <w:szCs w:val="22"/>
                </w:rPr>
                <m:t>reaction</m:t>
              </m:r>
            </m:sub>
          </m:sSub>
          <m:r>
            <w:rPr>
              <w:rFonts w:ascii="Cambria Math" w:hAnsi="Cambria Math" w:cs="Arial"/>
              <w:szCs w:val="22"/>
            </w:rPr>
            <m:t>=</m:t>
          </m:r>
          <m:r>
            <m:rPr>
              <m:sty m:val="p"/>
            </m:rPr>
            <w:rPr>
              <w:rFonts w:ascii="Cambria Math" w:hAnsi="Cambria Math" w:cs="Arial"/>
              <w:szCs w:val="22"/>
            </w:rPr>
            <m:t>Δ</m:t>
          </m:r>
          <m:sSub>
            <m:sSubPr>
              <m:ctrlPr>
                <w:rPr>
                  <w:rFonts w:ascii="Cambria Math" w:hAnsi="Cambria Math" w:cs="Arial"/>
                  <w:szCs w:val="22"/>
                </w:rPr>
              </m:ctrlPr>
            </m:sSubPr>
            <m:e>
              <m:r>
                <w:rPr>
                  <w:rFonts w:ascii="Cambria Math" w:hAnsi="Cambria Math" w:cs="Arial"/>
                  <w:szCs w:val="22"/>
                </w:rPr>
                <m:t>H</m:t>
              </m:r>
            </m:e>
            <m:sub>
              <m:r>
                <m:rPr>
                  <m:nor/>
                </m:rPr>
                <w:rPr>
                  <w:rFonts w:cs="Arial"/>
                  <w:szCs w:val="22"/>
                </w:rPr>
                <m:t>des</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α</m:t>
              </m:r>
            </m:e>
            <m:sub>
              <m:r>
                <m:rPr>
                  <m:nor/>
                </m:rPr>
                <w:rPr>
                  <w:rFonts w:cs="Arial"/>
                  <w:szCs w:val="22"/>
                </w:rPr>
                <m:t>rich</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α</m:t>
              </m:r>
            </m:e>
            <m:sub>
              <m:r>
                <m:rPr>
                  <m:nor/>
                </m:rPr>
                <w:rPr>
                  <w:rFonts w:cs="Arial"/>
                  <w:szCs w:val="22"/>
                </w:rPr>
                <m:t>lean</m:t>
              </m:r>
            </m:sub>
          </m:sSub>
          <m:r>
            <w:rPr>
              <w:rFonts w:ascii="Cambria Math" w:hAnsi="Cambria Math" w:cs="Arial"/>
              <w:szCs w:val="22"/>
            </w:rPr>
            <m:t>)</m:t>
          </m:r>
        </m:oMath>
      </m:oMathPara>
    </w:p>
    <w:p w14:paraId="0EBAC6F6" w14:textId="7CF5906E" w:rsidR="0077538C" w:rsidRPr="0077538C" w:rsidRDefault="0077538C" w:rsidP="0077538C">
      <w:pPr>
        <w:spacing w:line="360" w:lineRule="auto"/>
        <w:ind w:firstLine="420"/>
        <w:rPr>
          <w:rFonts w:cs="Arial"/>
          <w:szCs w:val="22"/>
        </w:rPr>
      </w:pPr>
      <w:r w:rsidRPr="0077538C">
        <w:rPr>
          <w:rFonts w:cs="Arial"/>
          <w:szCs w:val="22"/>
        </w:rPr>
        <w:t xml:space="preserve">where </w:t>
      </w:r>
      <m:oMath>
        <m:r>
          <m:rPr>
            <m:sty m:val="p"/>
          </m:rPr>
          <w:rPr>
            <w:rFonts w:ascii="Cambria Math" w:hAnsi="Cambria Math" w:cs="Arial"/>
            <w:szCs w:val="22"/>
          </w:rPr>
          <m:t>Δ</m:t>
        </m:r>
        <m:sSub>
          <m:sSubPr>
            <m:ctrlPr>
              <w:rPr>
                <w:rFonts w:ascii="Cambria Math" w:hAnsi="Cambria Math" w:cs="Arial"/>
                <w:szCs w:val="22"/>
              </w:rPr>
            </m:ctrlPr>
          </m:sSubPr>
          <m:e>
            <m:r>
              <w:rPr>
                <w:rFonts w:ascii="Cambria Math" w:hAnsi="Cambria Math" w:cs="Arial"/>
                <w:szCs w:val="22"/>
              </w:rPr>
              <m:t>H</m:t>
            </m:r>
          </m:e>
          <m:sub>
            <m:r>
              <m:rPr>
                <m:nor/>
              </m:rPr>
              <w:rPr>
                <w:rFonts w:cs="Arial"/>
                <w:szCs w:val="22"/>
              </w:rPr>
              <m:t>des</m:t>
            </m:r>
          </m:sub>
        </m:sSub>
      </m:oMath>
      <w:r w:rsidRPr="0077538C">
        <w:rPr>
          <w:rFonts w:cs="Arial"/>
          <w:szCs w:val="22"/>
        </w:rPr>
        <w:t>represents the desorption enthalpy of CO</w:t>
      </w:r>
      <w:r w:rsidRPr="0077538C">
        <w:rPr>
          <w:rFonts w:ascii="Cambria Math" w:hAnsi="Cambria Math" w:cs="Cambria Math"/>
          <w:szCs w:val="22"/>
        </w:rPr>
        <w:t>₂</w:t>
      </w:r>
      <w:r w:rsidRPr="0077538C">
        <w:rPr>
          <w:rFonts w:cs="Arial"/>
          <w:szCs w:val="22"/>
        </w:rPr>
        <w:t xml:space="preserve">, and </w:t>
      </w:r>
      <m:oMath>
        <m:sSub>
          <m:sSubPr>
            <m:ctrlPr>
              <w:rPr>
                <w:rFonts w:ascii="Cambria Math" w:hAnsi="Cambria Math" w:cs="Arial"/>
                <w:szCs w:val="22"/>
              </w:rPr>
            </m:ctrlPr>
          </m:sSubPr>
          <m:e>
            <m:r>
              <w:rPr>
                <w:rFonts w:ascii="Cambria Math" w:hAnsi="Cambria Math" w:cs="Arial"/>
                <w:szCs w:val="22"/>
              </w:rPr>
              <m:t>α</m:t>
            </m:r>
          </m:e>
          <m:sub>
            <m:r>
              <m:rPr>
                <m:nor/>
              </m:rPr>
              <w:rPr>
                <w:rFonts w:cs="Arial"/>
                <w:szCs w:val="22"/>
              </w:rPr>
              <m:t>rich</m:t>
            </m:r>
          </m:sub>
        </m:sSub>
      </m:oMath>
      <w:r w:rsidRPr="0077538C">
        <w:rPr>
          <w:rFonts w:cs="Arial"/>
          <w:szCs w:val="22"/>
        </w:rPr>
        <w:t xml:space="preserve">and </w:t>
      </w:r>
      <m:oMath>
        <m:sSub>
          <m:sSubPr>
            <m:ctrlPr>
              <w:rPr>
                <w:rFonts w:ascii="Cambria Math" w:hAnsi="Cambria Math" w:cs="Arial"/>
                <w:szCs w:val="22"/>
              </w:rPr>
            </m:ctrlPr>
          </m:sSubPr>
          <m:e>
            <m:r>
              <w:rPr>
                <w:rFonts w:ascii="Cambria Math" w:hAnsi="Cambria Math" w:cs="Arial"/>
                <w:szCs w:val="22"/>
              </w:rPr>
              <m:t>α</m:t>
            </m:r>
          </m:e>
          <m:sub>
            <m:r>
              <m:rPr>
                <m:nor/>
              </m:rPr>
              <w:rPr>
                <w:rFonts w:cs="Arial"/>
                <w:szCs w:val="22"/>
              </w:rPr>
              <m:t>lean</m:t>
            </m:r>
          </m:sub>
        </m:sSub>
      </m:oMath>
      <w:r w:rsidRPr="0077538C">
        <w:rPr>
          <w:rFonts w:cs="Arial"/>
          <w:szCs w:val="22"/>
        </w:rPr>
        <w:t>denote the rich and lean loadings, respectively.</w:t>
      </w:r>
    </w:p>
    <w:p w14:paraId="2E6F7AA6" w14:textId="77777777" w:rsidR="0077538C" w:rsidRPr="0077538C" w:rsidRDefault="0077538C" w:rsidP="0077538C">
      <w:pPr>
        <w:spacing w:line="360" w:lineRule="auto"/>
        <w:ind w:firstLine="420"/>
        <w:rPr>
          <w:rFonts w:cs="Arial"/>
          <w:szCs w:val="22"/>
        </w:rPr>
      </w:pPr>
      <w:r w:rsidRPr="0077538C">
        <w:rPr>
          <w:rFonts w:cs="Arial"/>
          <w:szCs w:val="22"/>
        </w:rPr>
        <w:t>In the MIS system, partial CO</w:t>
      </w:r>
      <w:r w:rsidRPr="0077538C">
        <w:rPr>
          <w:rFonts w:ascii="Cambria Math" w:hAnsi="Cambria Math" w:cs="Cambria Math"/>
          <w:szCs w:val="22"/>
        </w:rPr>
        <w:t>₂</w:t>
      </w:r>
      <w:r w:rsidRPr="0077538C">
        <w:rPr>
          <w:rFonts w:cs="Arial"/>
          <w:szCs w:val="22"/>
        </w:rPr>
        <w:t xml:space="preserve"> enrichment induced by the interfacial potential can lead to a quasi-spontaneous proton-transfer process in the interfacial region. Since the thermal effect associated with this process is relatively small, the conventional reaction enthalpy was used as an approximation in the energy decomposition analysis.</w:t>
      </w:r>
    </w:p>
    <w:p w14:paraId="05C0FD63" w14:textId="77777777" w:rsidR="0077538C" w:rsidRPr="0077538C" w:rsidRDefault="0077538C" w:rsidP="0077538C">
      <w:pPr>
        <w:spacing w:line="360" w:lineRule="auto"/>
        <w:ind w:firstLine="420"/>
        <w:rPr>
          <w:rFonts w:cs="Arial"/>
          <w:szCs w:val="22"/>
        </w:rPr>
      </w:pPr>
      <w:r w:rsidRPr="0077538C">
        <w:rPr>
          <w:rFonts w:cs="Arial"/>
          <w:szCs w:val="22"/>
        </w:rPr>
        <w:t>The sensible heat arises from heating the solution from the absorption temperature to the regeneration temperature during the regeneration process:</w:t>
      </w:r>
    </w:p>
    <w:p w14:paraId="57C57297" w14:textId="50542DD1" w:rsidR="0077538C" w:rsidRPr="0077538C" w:rsidRDefault="00F80AA9" w:rsidP="0077538C">
      <w:pPr>
        <w:spacing w:line="360" w:lineRule="auto"/>
        <w:ind w:firstLine="420"/>
        <w:rPr>
          <w:rFonts w:cs="Arial"/>
          <w:szCs w:val="22"/>
        </w:rPr>
      </w:pPr>
      <m:oMathPara>
        <m:oMath>
          <m:sSub>
            <m:sSubPr>
              <m:ctrlPr>
                <w:rPr>
                  <w:rFonts w:ascii="Cambria Math" w:hAnsi="Cambria Math" w:cs="Arial"/>
                  <w:szCs w:val="22"/>
                </w:rPr>
              </m:ctrlPr>
            </m:sSubPr>
            <m:e>
              <m:r>
                <w:rPr>
                  <w:rFonts w:ascii="Cambria Math" w:hAnsi="Cambria Math" w:cs="Arial"/>
                  <w:szCs w:val="22"/>
                </w:rPr>
                <m:t>Q</m:t>
              </m:r>
            </m:e>
            <m:sub>
              <m:r>
                <m:rPr>
                  <m:nor/>
                </m:rPr>
                <w:rPr>
                  <w:rFonts w:cs="Arial"/>
                  <w:szCs w:val="22"/>
                </w:rPr>
                <m:t>sensible</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C</m:t>
              </m:r>
            </m:e>
            <m:sub>
              <m:r>
                <w:rPr>
                  <w:rFonts w:ascii="Cambria Math" w:hAnsi="Cambria Math" w:cs="Arial"/>
                  <w:szCs w:val="22"/>
                </w:rPr>
                <m:t>p</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T</m:t>
              </m:r>
            </m:e>
            <m:sub>
              <m:r>
                <m:rPr>
                  <m:nor/>
                </m:rPr>
                <w:rPr>
                  <w:rFonts w:cs="Arial"/>
                  <w:szCs w:val="22"/>
                </w:rPr>
                <m:t>regen</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T</m:t>
              </m:r>
            </m:e>
            <m:sub>
              <m:r>
                <m:rPr>
                  <m:nor/>
                </m:rPr>
                <w:rPr>
                  <w:rFonts w:cs="Arial"/>
                  <w:szCs w:val="22"/>
                </w:rPr>
                <m:t>abs</m:t>
              </m:r>
            </m:sub>
          </m:sSub>
          <m:r>
            <w:rPr>
              <w:rFonts w:ascii="Cambria Math" w:hAnsi="Cambria Math" w:cs="Arial"/>
              <w:szCs w:val="22"/>
            </w:rPr>
            <m:t>)</m:t>
          </m:r>
        </m:oMath>
      </m:oMathPara>
    </w:p>
    <w:p w14:paraId="4CC9EA77" w14:textId="43E0FEE8" w:rsidR="0077538C" w:rsidRPr="0077538C" w:rsidRDefault="0077538C" w:rsidP="0077538C">
      <w:pPr>
        <w:spacing w:line="360" w:lineRule="auto"/>
        <w:ind w:firstLine="420"/>
        <w:rPr>
          <w:rFonts w:cs="Arial"/>
          <w:szCs w:val="22"/>
        </w:rPr>
      </w:pPr>
      <w:r w:rsidRPr="0077538C">
        <w:rPr>
          <w:rFonts w:cs="Arial"/>
          <w:szCs w:val="22"/>
        </w:rPr>
        <w:t xml:space="preserve">where </w:t>
      </w:r>
      <m:oMath>
        <m:sSub>
          <m:sSubPr>
            <m:ctrlPr>
              <w:rPr>
                <w:rFonts w:ascii="Cambria Math" w:hAnsi="Cambria Math" w:cs="Arial"/>
                <w:szCs w:val="22"/>
              </w:rPr>
            </m:ctrlPr>
          </m:sSubPr>
          <m:e>
            <m:r>
              <w:rPr>
                <w:rFonts w:ascii="Cambria Math" w:hAnsi="Cambria Math" w:cs="Arial"/>
                <w:szCs w:val="22"/>
              </w:rPr>
              <m:t>C</m:t>
            </m:r>
          </m:e>
          <m:sub>
            <m:r>
              <w:rPr>
                <w:rFonts w:ascii="Cambria Math" w:hAnsi="Cambria Math" w:cs="Arial"/>
                <w:szCs w:val="22"/>
              </w:rPr>
              <m:t>p</m:t>
            </m:r>
          </m:sub>
        </m:sSub>
      </m:oMath>
      <w:r w:rsidRPr="0077538C">
        <w:rPr>
          <w:rFonts w:cs="Arial"/>
          <w:szCs w:val="22"/>
        </w:rPr>
        <w:t xml:space="preserve">is the average heat capacity of the solution, and </w:t>
      </w:r>
      <m:oMath>
        <m:sSub>
          <m:sSubPr>
            <m:ctrlPr>
              <w:rPr>
                <w:rFonts w:ascii="Cambria Math" w:hAnsi="Cambria Math" w:cs="Arial"/>
                <w:szCs w:val="22"/>
              </w:rPr>
            </m:ctrlPr>
          </m:sSubPr>
          <m:e>
            <m:r>
              <w:rPr>
                <w:rFonts w:ascii="Cambria Math" w:hAnsi="Cambria Math" w:cs="Arial"/>
                <w:szCs w:val="22"/>
              </w:rPr>
              <m:t>T</m:t>
            </m:r>
          </m:e>
          <m:sub>
            <m:r>
              <m:rPr>
                <m:nor/>
              </m:rPr>
              <w:rPr>
                <w:rFonts w:cs="Arial"/>
                <w:szCs w:val="22"/>
              </w:rPr>
              <m:t>regen</m:t>
            </m:r>
          </m:sub>
        </m:sSub>
      </m:oMath>
      <w:r w:rsidRPr="0077538C">
        <w:rPr>
          <w:rFonts w:cs="Arial"/>
          <w:szCs w:val="22"/>
        </w:rPr>
        <w:t xml:space="preserve">and </w:t>
      </w:r>
      <m:oMath>
        <m:sSub>
          <m:sSubPr>
            <m:ctrlPr>
              <w:rPr>
                <w:rFonts w:ascii="Cambria Math" w:hAnsi="Cambria Math" w:cs="Arial"/>
                <w:szCs w:val="22"/>
              </w:rPr>
            </m:ctrlPr>
          </m:sSubPr>
          <m:e>
            <m:r>
              <w:rPr>
                <w:rFonts w:ascii="Cambria Math" w:hAnsi="Cambria Math" w:cs="Arial"/>
                <w:szCs w:val="22"/>
              </w:rPr>
              <m:t>T</m:t>
            </m:r>
          </m:e>
          <m:sub>
            <m:r>
              <m:rPr>
                <m:nor/>
              </m:rPr>
              <w:rPr>
                <w:rFonts w:cs="Arial"/>
                <w:szCs w:val="22"/>
              </w:rPr>
              <m:t>abs</m:t>
            </m:r>
          </m:sub>
        </m:sSub>
      </m:oMath>
      <w:r w:rsidRPr="0077538C">
        <w:rPr>
          <w:rFonts w:cs="Arial"/>
          <w:szCs w:val="22"/>
        </w:rPr>
        <w:t xml:space="preserve">represent the </w:t>
      </w:r>
      <w:r w:rsidRPr="0077538C">
        <w:rPr>
          <w:rFonts w:cs="Arial"/>
          <w:szCs w:val="22"/>
        </w:rPr>
        <w:lastRenderedPageBreak/>
        <w:t>regeneration and absorption temperatures, respectively.</w:t>
      </w:r>
    </w:p>
    <w:p w14:paraId="7934A860" w14:textId="1D964A49" w:rsidR="0077538C" w:rsidRDefault="0077538C" w:rsidP="0077538C">
      <w:pPr>
        <w:spacing w:line="360" w:lineRule="auto"/>
        <w:ind w:firstLine="420"/>
        <w:rPr>
          <w:rFonts w:cs="Arial"/>
          <w:szCs w:val="22"/>
        </w:rPr>
      </w:pPr>
      <w:r w:rsidRPr="0077538C">
        <w:rPr>
          <w:rFonts w:cs="Arial"/>
          <w:szCs w:val="22"/>
        </w:rPr>
        <w:t>In conventional amine regeneration processes (with a reboiler temperature of approximately 120 °C), the temperature difference between the rich and lean streams after heat exchange is typically about 10 °C. However, under the low-temperature regeneration conditions investigated in this study, this temperature difference becomes significantly smaller. Therefore, the heat-exchange process was re-estimated using Aspen Plus process simulations. The simulation conditions included a solvent flow rate of 72,000 kg h</w:t>
      </w:r>
      <w:r w:rsidRPr="0077538C">
        <w:rPr>
          <w:rFonts w:ascii="Cambria Math" w:hAnsi="Cambria Math" w:cs="Cambria Math"/>
          <w:szCs w:val="22"/>
        </w:rPr>
        <w:t>⁻</w:t>
      </w:r>
      <w:r w:rsidRPr="0077538C">
        <w:rPr>
          <w:rFonts w:cs="Arial"/>
          <w:szCs w:val="22"/>
        </w:rPr>
        <w:t xml:space="preserve">¹ and a heat-exchanger area of 100 m². Under conventional regeneration conditions, the simulation yielded </w:t>
      </w:r>
      <w:r w:rsidR="006D58F5" w:rsidRPr="00BA5D2C">
        <w:rPr>
          <w:rFonts w:eastAsia="KaiTi" w:cs="Arial"/>
          <w:szCs w:val="21"/>
        </w:rPr>
        <w:t xml:space="preserve">ΔT ≈ 10 </w:t>
      </w:r>
      <w:r w:rsidR="006D58F5" w:rsidRPr="00BA5D2C">
        <w:rPr>
          <w:rFonts w:ascii="Cambria Math" w:eastAsia="KaiTi" w:hAnsi="Cambria Math" w:cs="Cambria Math"/>
          <w:szCs w:val="21"/>
        </w:rPr>
        <w:t>℃</w:t>
      </w:r>
      <w:r w:rsidRPr="0077538C">
        <w:rPr>
          <w:rFonts w:cs="Arial"/>
          <w:szCs w:val="22"/>
        </w:rPr>
        <w:t xml:space="preserve">, whereas the corresponding </w:t>
      </w:r>
      <w:r w:rsidR="006D58F5" w:rsidRPr="006D58F5">
        <w:rPr>
          <w:rFonts w:cs="Arial"/>
          <w:szCs w:val="22"/>
        </w:rPr>
        <w:t xml:space="preserve">ΔT </w:t>
      </w:r>
      <w:r w:rsidRPr="0077538C">
        <w:rPr>
          <w:rFonts w:cs="Arial"/>
          <w:szCs w:val="22"/>
        </w:rPr>
        <w:t xml:space="preserve">values under low-temperature regeneration conditions are shown in Fig. </w:t>
      </w:r>
      <w:r w:rsidR="000529C9">
        <w:rPr>
          <w:rFonts w:cs="Arial" w:hint="eastAsia"/>
          <w:szCs w:val="22"/>
        </w:rPr>
        <w:t>S3</w:t>
      </w:r>
      <w:r w:rsidRPr="0077538C">
        <w:rPr>
          <w:rFonts w:cs="Arial"/>
          <w:szCs w:val="22"/>
        </w:rPr>
        <w:t>. To ensure consistency in the apparent energy accounting, the preheating of the lean solution prior to entering the regenerator was not included in the total regeneration energy consumption. Under low-temperature regeneration conditions, the preheating temperature difference was approximately 4–7 °C.</w:t>
      </w:r>
    </w:p>
    <w:p w14:paraId="464421F9" w14:textId="5DB2D699" w:rsidR="0016529D" w:rsidRDefault="0016529D" w:rsidP="0016529D">
      <w:pPr>
        <w:spacing w:line="360" w:lineRule="auto"/>
        <w:ind w:firstLine="420"/>
        <w:jc w:val="center"/>
        <w:rPr>
          <w:rFonts w:cs="Arial"/>
          <w:szCs w:val="22"/>
        </w:rPr>
      </w:pPr>
      <w:r w:rsidRPr="0016529D">
        <w:rPr>
          <w:rFonts w:cs="Arial"/>
          <w:noProof/>
          <w:szCs w:val="22"/>
        </w:rPr>
        <w:drawing>
          <wp:inline distT="0" distB="0" distL="0" distR="0" wp14:anchorId="30DF8C9E" wp14:editId="7BA97CE7">
            <wp:extent cx="3209813" cy="2099144"/>
            <wp:effectExtent l="0" t="0" r="0" b="0"/>
            <wp:docPr id="3" name="图片 2">
              <a:extLst xmlns:a="http://schemas.openxmlformats.org/drawingml/2006/main">
                <a:ext uri="{FF2B5EF4-FFF2-40B4-BE49-F238E27FC236}">
                  <a16:creationId xmlns:a16="http://schemas.microsoft.com/office/drawing/2014/main" id="{3698DB83-A3AA-AA5F-F2F6-370ED9FB5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698DB83-A3AA-AA5F-F2F6-370ED9FB5836}"/>
                        </a:ext>
                      </a:extLst>
                    </pic:cNvPr>
                    <pic:cNvPicPr>
                      <a:picLocks noChangeAspect="1"/>
                    </pic:cNvPicPr>
                  </pic:nvPicPr>
                  <pic:blipFill rotWithShape="1">
                    <a:blip r:embed="rId9"/>
                    <a:srcRect b="6535"/>
                    <a:stretch>
                      <a:fillRect/>
                    </a:stretch>
                  </pic:blipFill>
                  <pic:spPr bwMode="auto">
                    <a:xfrm>
                      <a:off x="0" y="0"/>
                      <a:ext cx="3263032" cy="2133948"/>
                    </a:xfrm>
                    <a:prstGeom prst="rect">
                      <a:avLst/>
                    </a:prstGeom>
                    <a:ln>
                      <a:noFill/>
                    </a:ln>
                    <a:extLst>
                      <a:ext uri="{53640926-AAD7-44D8-BBD7-CCE9431645EC}">
                        <a14:shadowObscured xmlns:a14="http://schemas.microsoft.com/office/drawing/2010/main"/>
                      </a:ext>
                    </a:extLst>
                  </pic:spPr>
                </pic:pic>
              </a:graphicData>
            </a:graphic>
          </wp:inline>
        </w:drawing>
      </w:r>
    </w:p>
    <w:p w14:paraId="19F379C7" w14:textId="3B954502" w:rsidR="00CF2DCC" w:rsidRPr="002211F7" w:rsidRDefault="00235A60" w:rsidP="00511432">
      <w:pPr>
        <w:spacing w:line="360" w:lineRule="auto"/>
        <w:jc w:val="center"/>
        <w:rPr>
          <w:rFonts w:cs="Arial"/>
          <w:b/>
          <w:bCs/>
          <w:szCs w:val="22"/>
        </w:rPr>
      </w:pPr>
      <w:r w:rsidRPr="002211F7">
        <w:rPr>
          <w:rFonts w:cs="Arial" w:hint="eastAsia"/>
          <w:b/>
          <w:bCs/>
          <w:szCs w:val="22"/>
        </w:rPr>
        <w:t xml:space="preserve">Fig.S3 </w:t>
      </w:r>
      <w:r w:rsidR="00CF2DCC" w:rsidRPr="002211F7">
        <w:rPr>
          <w:rFonts w:cs="Arial"/>
          <w:b/>
          <w:bCs/>
          <w:szCs w:val="22"/>
        </w:rPr>
        <w:t>Lean–rich HX outlet temperature difference, ΔT</w:t>
      </w:r>
      <w:r w:rsidR="00CF2DCC" w:rsidRPr="002211F7">
        <w:rPr>
          <w:rFonts w:cs="Arial" w:hint="eastAsia"/>
          <w:b/>
          <w:bCs/>
          <w:szCs w:val="22"/>
        </w:rPr>
        <w:t>a</w:t>
      </w:r>
      <w:r w:rsidR="00CF2DCC" w:rsidRPr="002211F7">
        <w:rPr>
          <w:rFonts w:cs="Arial"/>
          <w:b/>
          <w:bCs/>
          <w:szCs w:val="22"/>
        </w:rPr>
        <w:t xml:space="preserve"> (°C)</w:t>
      </w:r>
      <w:r w:rsidR="00AB392A">
        <w:rPr>
          <w:rFonts w:cs="Arial" w:hint="eastAsia"/>
          <w:b/>
          <w:bCs/>
          <w:szCs w:val="22"/>
        </w:rPr>
        <w:t>.</w:t>
      </w:r>
    </w:p>
    <w:p w14:paraId="742C6036" w14:textId="77777777" w:rsidR="0077538C" w:rsidRPr="0077538C" w:rsidRDefault="0077538C" w:rsidP="0077538C">
      <w:pPr>
        <w:spacing w:line="360" w:lineRule="auto"/>
        <w:ind w:firstLine="420"/>
        <w:rPr>
          <w:rFonts w:cs="Arial"/>
          <w:szCs w:val="22"/>
        </w:rPr>
      </w:pPr>
      <w:r w:rsidRPr="0077538C">
        <w:rPr>
          <w:rFonts w:cs="Arial"/>
          <w:szCs w:val="22"/>
        </w:rPr>
        <w:t>The latent heat originates from the vaporization of water during regeneration and can be expressed as</w:t>
      </w:r>
    </w:p>
    <w:p w14:paraId="6573E2D6" w14:textId="486E8EBB" w:rsidR="0077538C" w:rsidRPr="0077538C" w:rsidRDefault="00F80AA9" w:rsidP="0077538C">
      <w:pPr>
        <w:spacing w:line="360" w:lineRule="auto"/>
        <w:ind w:firstLine="420"/>
        <w:rPr>
          <w:rFonts w:cs="Arial"/>
          <w:szCs w:val="22"/>
        </w:rPr>
      </w:pPr>
      <m:oMathPara>
        <m:oMath>
          <m:sSub>
            <m:sSubPr>
              <m:ctrlPr>
                <w:rPr>
                  <w:rFonts w:ascii="Cambria Math" w:hAnsi="Cambria Math" w:cs="Arial"/>
                  <w:szCs w:val="22"/>
                </w:rPr>
              </m:ctrlPr>
            </m:sSubPr>
            <m:e>
              <m:r>
                <w:rPr>
                  <w:rFonts w:ascii="Cambria Math" w:hAnsi="Cambria Math" w:cs="Arial"/>
                  <w:szCs w:val="22"/>
                </w:rPr>
                <m:t>Q</m:t>
              </m:r>
            </m:e>
            <m:sub>
              <m:r>
                <m:rPr>
                  <m:nor/>
                </m:rPr>
                <w:rPr>
                  <w:rFonts w:cs="Arial"/>
                  <w:szCs w:val="22"/>
                </w:rPr>
                <m:t>latent</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n</m:t>
              </m:r>
            </m:e>
            <m:sub>
              <m:sSub>
                <m:sSubPr>
                  <m:ctrlPr>
                    <w:rPr>
                      <w:rFonts w:ascii="Cambria Math" w:hAnsi="Cambria Math" w:cs="Arial"/>
                      <w:szCs w:val="22"/>
                    </w:rPr>
                  </m:ctrlPr>
                </m:sSubPr>
                <m:e>
                  <m:r>
                    <m:rPr>
                      <m:nor/>
                    </m:rPr>
                    <w:rPr>
                      <w:rFonts w:cs="Arial"/>
                      <w:szCs w:val="22"/>
                    </w:rPr>
                    <m:t>H</m:t>
                  </m:r>
                </m:e>
                <m:sub>
                  <m:r>
                    <w:rPr>
                      <w:rFonts w:ascii="Cambria Math" w:hAnsi="Cambria Math" w:cs="Arial"/>
                      <w:szCs w:val="22"/>
                    </w:rPr>
                    <m:t>2</m:t>
                  </m:r>
                </m:sub>
              </m:sSub>
              <m:r>
                <m:rPr>
                  <m:nor/>
                </m:rPr>
                <w:rPr>
                  <w:rFonts w:cs="Arial"/>
                  <w:szCs w:val="22"/>
                </w:rPr>
                <m:t>O</m:t>
              </m:r>
            </m:sub>
          </m:sSub>
          <m:r>
            <w:rPr>
              <w:rFonts w:ascii="Cambria Math" w:hAnsi="Cambria Math" w:cs="Arial"/>
              <w:szCs w:val="22"/>
            </w:rPr>
            <m:t>×</m:t>
          </m:r>
          <m:r>
            <m:rPr>
              <m:sty m:val="p"/>
            </m:rPr>
            <w:rPr>
              <w:rFonts w:ascii="Cambria Math" w:hAnsi="Cambria Math" w:cs="Arial"/>
              <w:szCs w:val="22"/>
            </w:rPr>
            <m:t>Δ</m:t>
          </m:r>
          <m:sSub>
            <m:sSubPr>
              <m:ctrlPr>
                <w:rPr>
                  <w:rFonts w:ascii="Cambria Math" w:hAnsi="Cambria Math" w:cs="Arial"/>
                  <w:szCs w:val="22"/>
                </w:rPr>
              </m:ctrlPr>
            </m:sSubPr>
            <m:e>
              <m:r>
                <w:rPr>
                  <w:rFonts w:ascii="Cambria Math" w:hAnsi="Cambria Math" w:cs="Arial"/>
                  <w:szCs w:val="22"/>
                </w:rPr>
                <m:t>H</m:t>
              </m:r>
            </m:e>
            <m:sub>
              <m:r>
                <m:rPr>
                  <m:nor/>
                </m:rPr>
                <w:rPr>
                  <w:rFonts w:cs="Arial"/>
                  <w:szCs w:val="22"/>
                </w:rPr>
                <m:t>vap</m:t>
              </m:r>
            </m:sub>
          </m:sSub>
        </m:oMath>
      </m:oMathPara>
    </w:p>
    <w:p w14:paraId="29D22940" w14:textId="3F2CEAE8" w:rsidR="0077538C" w:rsidRPr="0077538C" w:rsidRDefault="0077538C" w:rsidP="0077538C">
      <w:pPr>
        <w:spacing w:line="360" w:lineRule="auto"/>
        <w:ind w:firstLine="420"/>
        <w:rPr>
          <w:rFonts w:cs="Arial"/>
          <w:szCs w:val="22"/>
        </w:rPr>
      </w:pPr>
      <w:r w:rsidRPr="0077538C">
        <w:rPr>
          <w:rFonts w:cs="Arial"/>
          <w:szCs w:val="22"/>
        </w:rPr>
        <w:t xml:space="preserve">where </w:t>
      </w:r>
      <m:oMath>
        <m:sSub>
          <m:sSubPr>
            <m:ctrlPr>
              <w:rPr>
                <w:rFonts w:ascii="Cambria Math" w:hAnsi="Cambria Math" w:cs="Arial"/>
                <w:szCs w:val="22"/>
              </w:rPr>
            </m:ctrlPr>
          </m:sSubPr>
          <m:e>
            <m:r>
              <w:rPr>
                <w:rFonts w:ascii="Cambria Math" w:hAnsi="Cambria Math" w:cs="Arial"/>
                <w:szCs w:val="22"/>
              </w:rPr>
              <m:t>n</m:t>
            </m:r>
          </m:e>
          <m:sub>
            <m:sSub>
              <m:sSubPr>
                <m:ctrlPr>
                  <w:rPr>
                    <w:rFonts w:ascii="Cambria Math" w:hAnsi="Cambria Math" w:cs="Arial"/>
                    <w:szCs w:val="22"/>
                  </w:rPr>
                </m:ctrlPr>
              </m:sSubPr>
              <m:e>
                <m:r>
                  <m:rPr>
                    <m:nor/>
                  </m:rPr>
                  <w:rPr>
                    <w:rFonts w:cs="Arial"/>
                    <w:szCs w:val="22"/>
                  </w:rPr>
                  <m:t>H</m:t>
                </m:r>
              </m:e>
              <m:sub>
                <m:r>
                  <w:rPr>
                    <w:rFonts w:ascii="Cambria Math" w:hAnsi="Cambria Math" w:cs="Arial"/>
                    <w:szCs w:val="22"/>
                  </w:rPr>
                  <m:t>2</m:t>
                </m:r>
              </m:sub>
            </m:sSub>
            <m:r>
              <m:rPr>
                <m:nor/>
              </m:rPr>
              <w:rPr>
                <w:rFonts w:cs="Arial"/>
                <w:szCs w:val="22"/>
              </w:rPr>
              <m:t>O</m:t>
            </m:r>
          </m:sub>
        </m:sSub>
      </m:oMath>
      <w:r w:rsidRPr="0077538C">
        <w:rPr>
          <w:rFonts w:cs="Arial"/>
          <w:szCs w:val="22"/>
        </w:rPr>
        <w:t>is the amount of evaporated water and</w:t>
      </w:r>
      <w:r w:rsidR="006D58F5">
        <w:rPr>
          <w:rFonts w:cs="Arial" w:hint="eastAsia"/>
          <w:szCs w:val="22"/>
        </w:rPr>
        <w:t xml:space="preserve"> </w:t>
      </w:r>
      <w:r w:rsidR="006D58F5" w:rsidRPr="006D58F5">
        <w:rPr>
          <w:rFonts w:cs="Arial"/>
          <w:szCs w:val="22"/>
        </w:rPr>
        <w:t>ΔH</w:t>
      </w:r>
      <w:r w:rsidR="006D58F5" w:rsidRPr="006D58F5">
        <w:rPr>
          <w:rFonts w:cs="Arial"/>
          <w:szCs w:val="22"/>
          <w:vertAlign w:val="subscript"/>
        </w:rPr>
        <w:t>vap</w:t>
      </w:r>
      <w:r w:rsidR="006D58F5" w:rsidRPr="006D58F5">
        <w:rPr>
          <w:rFonts w:cs="Arial"/>
          <w:szCs w:val="22"/>
        </w:rPr>
        <w:t xml:space="preserve"> </w:t>
      </w:r>
      <w:r w:rsidR="006D58F5">
        <w:rPr>
          <w:rFonts w:cs="Arial" w:hint="eastAsia"/>
          <w:szCs w:val="22"/>
        </w:rPr>
        <w:t>i</w:t>
      </w:r>
      <w:r w:rsidRPr="0077538C">
        <w:rPr>
          <w:rFonts w:cs="Arial"/>
          <w:szCs w:val="22"/>
        </w:rPr>
        <w:t xml:space="preserve">s the latent heat of vaporization of water. The amount of evaporated water was estimated from experimentally measured water loss in the system. Although lowering the regeneration temperature typically reduces water </w:t>
      </w:r>
      <w:r w:rsidRPr="0077538C">
        <w:rPr>
          <w:rFonts w:cs="Arial"/>
          <w:szCs w:val="22"/>
        </w:rPr>
        <w:lastRenderedPageBreak/>
        <w:t>evaporation, within the low-temperature regeneration range investigated in this work (75–90 °C) the water loss per unit gas flow remained relatively constant. This behavior may be associated with the steam-stripping effect accompanying CO</w:t>
      </w:r>
      <w:r w:rsidRPr="0077538C">
        <w:rPr>
          <w:rFonts w:ascii="Cambria Math" w:hAnsi="Cambria Math" w:cs="Cambria Math"/>
          <w:szCs w:val="22"/>
        </w:rPr>
        <w:t>₂</w:t>
      </w:r>
      <w:r w:rsidRPr="0077538C">
        <w:rPr>
          <w:rFonts w:cs="Arial"/>
          <w:szCs w:val="22"/>
        </w:rPr>
        <w:t xml:space="preserve"> desorption.</w:t>
      </w:r>
    </w:p>
    <w:p w14:paraId="7E85393D" w14:textId="77777777" w:rsidR="0077538C" w:rsidRPr="0077538C" w:rsidRDefault="0077538C" w:rsidP="0077538C">
      <w:pPr>
        <w:spacing w:line="360" w:lineRule="auto"/>
        <w:ind w:firstLine="420"/>
        <w:rPr>
          <w:rFonts w:cs="Arial"/>
          <w:szCs w:val="22"/>
        </w:rPr>
      </w:pPr>
      <w:r w:rsidRPr="0077538C">
        <w:rPr>
          <w:rFonts w:cs="Arial"/>
          <w:szCs w:val="22"/>
        </w:rPr>
        <w:t>The additional heat term is defined as the difference between the measured thermal duty of the regeneration column and the theoretically calculated energy consumption:</w:t>
      </w:r>
    </w:p>
    <w:p w14:paraId="57F1D3D1" w14:textId="546673AC" w:rsidR="0077538C" w:rsidRPr="0077538C" w:rsidRDefault="00F80AA9" w:rsidP="0077538C">
      <w:pPr>
        <w:spacing w:line="360" w:lineRule="auto"/>
        <w:ind w:firstLine="420"/>
        <w:rPr>
          <w:rFonts w:cs="Arial"/>
          <w:szCs w:val="22"/>
        </w:rPr>
      </w:pPr>
      <m:oMathPara>
        <m:oMath>
          <m:sSub>
            <m:sSubPr>
              <m:ctrlPr>
                <w:rPr>
                  <w:rFonts w:ascii="Cambria Math" w:hAnsi="Cambria Math" w:cs="Arial"/>
                  <w:szCs w:val="22"/>
                </w:rPr>
              </m:ctrlPr>
            </m:sSubPr>
            <m:e>
              <m:r>
                <w:rPr>
                  <w:rFonts w:ascii="Cambria Math" w:hAnsi="Cambria Math" w:cs="Arial"/>
                  <w:szCs w:val="22"/>
                </w:rPr>
                <m:t>Q</m:t>
              </m:r>
            </m:e>
            <m:sub>
              <m:r>
                <m:rPr>
                  <m:nor/>
                </m:rPr>
                <w:rPr>
                  <w:rFonts w:cs="Arial"/>
                  <w:szCs w:val="22"/>
                </w:rPr>
                <m:t>additional</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measured</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reaction</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sensible</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Q</m:t>
              </m:r>
            </m:e>
            <m:sub>
              <m:r>
                <m:rPr>
                  <m:nor/>
                </m:rPr>
                <w:rPr>
                  <w:rFonts w:cs="Arial"/>
                  <w:szCs w:val="22"/>
                </w:rPr>
                <m:t>latent</m:t>
              </m:r>
            </m:sub>
          </m:sSub>
          <m:r>
            <w:rPr>
              <w:rFonts w:ascii="Cambria Math" w:hAnsi="Cambria Math" w:cs="Arial"/>
              <w:szCs w:val="22"/>
            </w:rPr>
            <m:t>)</m:t>
          </m:r>
        </m:oMath>
      </m:oMathPara>
    </w:p>
    <w:p w14:paraId="7357E019" w14:textId="77777777" w:rsidR="0077538C" w:rsidRPr="0077538C" w:rsidRDefault="0077538C" w:rsidP="0077538C">
      <w:pPr>
        <w:spacing w:line="360" w:lineRule="auto"/>
        <w:ind w:firstLine="420"/>
        <w:rPr>
          <w:rFonts w:cs="Arial"/>
          <w:szCs w:val="22"/>
        </w:rPr>
      </w:pPr>
      <w:r w:rsidRPr="0077538C">
        <w:rPr>
          <w:rFonts w:cs="Arial"/>
          <w:szCs w:val="22"/>
        </w:rPr>
        <w:t>This term mainly reflects reflux heat, equipment heat dissipation, and other energy losses not explicitly included in the theoretical estimation. All energy components were calculated under steady-state operating conditions using energy balance analysis and were converted to the specific energy consumption per unit of CO</w:t>
      </w:r>
      <w:r w:rsidRPr="0077538C">
        <w:rPr>
          <w:rFonts w:ascii="Cambria Math" w:hAnsi="Cambria Math" w:cs="Cambria Math"/>
          <w:szCs w:val="22"/>
        </w:rPr>
        <w:t>₂</w:t>
      </w:r>
      <w:r w:rsidRPr="0077538C">
        <w:rPr>
          <w:rFonts w:cs="Arial"/>
          <w:szCs w:val="22"/>
        </w:rPr>
        <w:t xml:space="preserve"> desorbed (GJ·t</w:t>
      </w:r>
      <w:r w:rsidRPr="0077538C">
        <w:rPr>
          <w:rFonts w:ascii="Cambria Math" w:hAnsi="Cambria Math" w:cs="Cambria Math"/>
          <w:szCs w:val="22"/>
        </w:rPr>
        <w:t>⁻</w:t>
      </w:r>
      <w:r w:rsidRPr="0077538C">
        <w:rPr>
          <w:rFonts w:cs="Arial"/>
          <w:szCs w:val="22"/>
        </w:rPr>
        <w:t>¹ CO</w:t>
      </w:r>
      <w:r w:rsidRPr="0077538C">
        <w:rPr>
          <w:rFonts w:ascii="Cambria Math" w:hAnsi="Cambria Math" w:cs="Cambria Math"/>
          <w:szCs w:val="22"/>
        </w:rPr>
        <w:t>₂</w:t>
      </w:r>
      <w:r w:rsidRPr="0077538C">
        <w:rPr>
          <w:rFonts w:cs="Arial"/>
          <w:szCs w:val="22"/>
        </w:rPr>
        <w:t>).</w:t>
      </w:r>
    </w:p>
    <w:p w14:paraId="1639F103" w14:textId="77777777" w:rsidR="00590EA9" w:rsidRPr="00697745" w:rsidRDefault="00590EA9" w:rsidP="00590EA9">
      <w:pPr>
        <w:spacing w:line="480" w:lineRule="auto"/>
        <w:rPr>
          <w:rFonts w:eastAsia="KaiTi" w:cs="Arial"/>
          <w:b/>
          <w:bCs/>
          <w:szCs w:val="21"/>
        </w:rPr>
      </w:pPr>
      <w:r>
        <w:rPr>
          <w:rFonts w:eastAsia="KaiTi" w:cs="Arial" w:hint="eastAsia"/>
          <w:b/>
          <w:bCs/>
          <w:szCs w:val="21"/>
        </w:rPr>
        <w:t>4</w:t>
      </w:r>
      <w:r w:rsidRPr="00697745">
        <w:rPr>
          <w:rFonts w:eastAsia="KaiTi" w:cs="Arial"/>
          <w:b/>
          <w:bCs/>
          <w:szCs w:val="21"/>
        </w:rPr>
        <w:t>.2 Interfacial energy consumption estimation</w:t>
      </w:r>
    </w:p>
    <w:p w14:paraId="49FC23ED" w14:textId="1B290C3D" w:rsidR="005E33B9" w:rsidRPr="005E33B9" w:rsidRDefault="005E33B9" w:rsidP="005E33B9">
      <w:pPr>
        <w:spacing w:line="360" w:lineRule="auto"/>
        <w:ind w:firstLine="420"/>
        <w:rPr>
          <w:rFonts w:cs="Arial"/>
          <w:szCs w:val="22"/>
        </w:rPr>
      </w:pPr>
      <w:r w:rsidRPr="005E33B9">
        <w:rPr>
          <w:rFonts w:cs="Arial"/>
          <w:szCs w:val="22"/>
        </w:rPr>
        <w:t>In MIS</w:t>
      </w:r>
      <w:r w:rsidR="00010313">
        <w:rPr>
          <w:rFonts w:cs="Arial" w:hint="eastAsia"/>
          <w:szCs w:val="22"/>
        </w:rPr>
        <w:t xml:space="preserve"> </w:t>
      </w:r>
      <w:r w:rsidRPr="005E33B9">
        <w:rPr>
          <w:rFonts w:cs="Arial"/>
          <w:szCs w:val="22"/>
        </w:rPr>
        <w:t>systems, the formation of an interfacial potential environment requires additional energy input. Moreover, in practical CCUS processes, a large fraction of inert N</w:t>
      </w:r>
      <w:r w:rsidRPr="005E33B9">
        <w:rPr>
          <w:rFonts w:ascii="Cambria Math" w:hAnsi="Cambria Math" w:cs="Cambria Math"/>
          <w:szCs w:val="22"/>
        </w:rPr>
        <w:t>₂</w:t>
      </w:r>
      <w:r w:rsidRPr="005E33B9">
        <w:rPr>
          <w:rFonts w:cs="Arial"/>
          <w:szCs w:val="22"/>
        </w:rPr>
        <w:t xml:space="preserve"> must be dispersed into microbubbles or microdroplets to generate gas–liquid interfaces. Therefore, </w:t>
      </w:r>
      <w:r w:rsidR="00010313" w:rsidRPr="005E33B9">
        <w:rPr>
          <w:rFonts w:cs="Arial"/>
          <w:szCs w:val="22"/>
        </w:rPr>
        <w:t>energy</w:t>
      </w:r>
      <w:r w:rsidRPr="005E33B9">
        <w:rPr>
          <w:rFonts w:cs="Arial"/>
          <w:szCs w:val="22"/>
        </w:rPr>
        <w:t xml:space="preserve"> consumption associated with interfacial generation should be included in the overall energy evaluation. Table S1 summarizes the interfacial energy density ξ corresponding to different gas–liquid dispersion technologies. This parameter represents the energy required to generate a unit interfacial area and already accounts for pumping losses and electrical conversion efficiency.</w:t>
      </w:r>
    </w:p>
    <w:p w14:paraId="68FB195B" w14:textId="10C74BEA" w:rsidR="005E33B9" w:rsidRPr="005E33B9" w:rsidRDefault="005E33B9" w:rsidP="005E33B9">
      <w:pPr>
        <w:spacing w:line="360" w:lineRule="auto"/>
        <w:ind w:firstLine="420"/>
        <w:rPr>
          <w:rFonts w:cs="Arial"/>
          <w:szCs w:val="22"/>
        </w:rPr>
      </w:pPr>
      <w:r w:rsidRPr="005E33B9">
        <w:rPr>
          <w:rFonts w:cs="Arial"/>
          <w:szCs w:val="22"/>
        </w:rPr>
        <w:t>For typical coal-fired flue gas (approximately 10% CO</w:t>
      </w:r>
      <w:r w:rsidRPr="005E33B9">
        <w:rPr>
          <w:rFonts w:ascii="Cambria Math" w:hAnsi="Cambria Math" w:cs="Cambria Math"/>
          <w:szCs w:val="22"/>
        </w:rPr>
        <w:t>₂</w:t>
      </w:r>
      <w:r w:rsidRPr="005E33B9">
        <w:rPr>
          <w:rFonts w:cs="Arial"/>
          <w:szCs w:val="22"/>
        </w:rPr>
        <w:t>), capturing 1 t of CO</w:t>
      </w:r>
      <w:r w:rsidRPr="005E33B9">
        <w:rPr>
          <w:rFonts w:ascii="Cambria Math" w:hAnsi="Cambria Math" w:cs="Cambria Math"/>
          <w:szCs w:val="22"/>
        </w:rPr>
        <w:t>₂</w:t>
      </w:r>
      <w:r w:rsidRPr="005E33B9">
        <w:rPr>
          <w:rFonts w:cs="Arial"/>
          <w:szCs w:val="22"/>
        </w:rPr>
        <w:t xml:space="preserve"> requires processing approximately 5000 Nm³ of flue gas. Under the MIS configuration, about 40% of the flue gas passes through the MIS unit, corresponding to an interfacial generation volume of approximately 2000 Nm³ t</w:t>
      </w:r>
      <w:r w:rsidRPr="005E33B9">
        <w:rPr>
          <w:rFonts w:ascii="Cambria Math" w:hAnsi="Cambria Math" w:cs="Cambria Math"/>
          <w:szCs w:val="22"/>
        </w:rPr>
        <w:t>⁻</w:t>
      </w:r>
      <w:r w:rsidRPr="005E33B9">
        <w:rPr>
          <w:rFonts w:cs="Arial"/>
          <w:szCs w:val="22"/>
        </w:rPr>
        <w:t>¹ CO</w:t>
      </w:r>
      <w:r w:rsidRPr="005E33B9">
        <w:rPr>
          <w:rFonts w:ascii="Cambria Math" w:hAnsi="Cambria Math" w:cs="Cambria Math"/>
          <w:szCs w:val="22"/>
        </w:rPr>
        <w:t>₂</w:t>
      </w:r>
      <w:r w:rsidRPr="005E33B9">
        <w:rPr>
          <w:rFonts w:cs="Arial"/>
          <w:szCs w:val="22"/>
        </w:rPr>
        <w:t xml:space="preserve">. For MIS formed by microbubble generation, assuming the bubbles are uniformly spherical, the gas–liquid interfacial area density can be estimated from the Sauter mean bubble diameter </w:t>
      </w:r>
      <m:oMath>
        <m:sSub>
          <m:sSubPr>
            <m:ctrlPr>
              <w:rPr>
                <w:rFonts w:ascii="Cambria Math" w:hAnsi="Cambria Math" w:cs="Arial"/>
                <w:szCs w:val="22"/>
              </w:rPr>
            </m:ctrlPr>
          </m:sSubPr>
          <m:e>
            <m:r>
              <w:rPr>
                <w:rFonts w:ascii="Cambria Math" w:hAnsi="Cambria Math" w:cs="Arial"/>
                <w:szCs w:val="22"/>
              </w:rPr>
              <m:t>d</m:t>
            </m:r>
          </m:e>
          <m:sub>
            <m:r>
              <w:rPr>
                <w:rFonts w:ascii="Cambria Math" w:hAnsi="Cambria Math" w:cs="Arial"/>
                <w:szCs w:val="22"/>
              </w:rPr>
              <m:t>32</m:t>
            </m:r>
          </m:sub>
        </m:sSub>
      </m:oMath>
      <w:r w:rsidRPr="005E33B9">
        <w:rPr>
          <w:rFonts w:cs="Arial"/>
          <w:szCs w:val="22"/>
        </w:rPr>
        <w:t>:</w:t>
      </w:r>
    </w:p>
    <w:p w14:paraId="0408A53C" w14:textId="4EF3ADB8" w:rsidR="005E33B9" w:rsidRPr="005E33B9" w:rsidRDefault="005E33B9" w:rsidP="005E33B9">
      <w:pPr>
        <w:spacing w:line="360" w:lineRule="auto"/>
        <w:ind w:firstLine="420"/>
        <w:rPr>
          <w:rFonts w:cs="Arial"/>
          <w:szCs w:val="22"/>
        </w:rPr>
      </w:pPr>
      <m:oMathPara>
        <m:oMath>
          <m:r>
            <w:rPr>
              <w:rFonts w:ascii="Cambria Math" w:hAnsi="Cambria Math" w:cs="Arial"/>
              <w:szCs w:val="22"/>
            </w:rPr>
            <m:t>a=</m:t>
          </m:r>
          <m:f>
            <m:fPr>
              <m:ctrlPr>
                <w:rPr>
                  <w:rFonts w:ascii="Cambria Math" w:hAnsi="Cambria Math" w:cs="Arial"/>
                  <w:szCs w:val="22"/>
                </w:rPr>
              </m:ctrlPr>
            </m:fPr>
            <m:num>
              <m:r>
                <w:rPr>
                  <w:rFonts w:ascii="Cambria Math" w:hAnsi="Cambria Math" w:cs="Arial"/>
                  <w:szCs w:val="22"/>
                </w:rPr>
                <m:t>6</m:t>
              </m:r>
            </m:num>
            <m:den>
              <m:sSub>
                <m:sSubPr>
                  <m:ctrlPr>
                    <w:rPr>
                      <w:rFonts w:ascii="Cambria Math" w:hAnsi="Cambria Math" w:cs="Arial"/>
                      <w:szCs w:val="22"/>
                    </w:rPr>
                  </m:ctrlPr>
                </m:sSubPr>
                <m:e>
                  <m:r>
                    <w:rPr>
                      <w:rFonts w:ascii="Cambria Math" w:hAnsi="Cambria Math" w:cs="Arial"/>
                      <w:szCs w:val="22"/>
                    </w:rPr>
                    <m:t>d</m:t>
                  </m:r>
                </m:e>
                <m:sub>
                  <m:r>
                    <w:rPr>
                      <w:rFonts w:ascii="Cambria Math" w:hAnsi="Cambria Math" w:cs="Arial"/>
                      <w:szCs w:val="22"/>
                    </w:rPr>
                    <m:t>32</m:t>
                  </m:r>
                </m:sub>
              </m:sSub>
            </m:den>
          </m:f>
        </m:oMath>
      </m:oMathPara>
    </w:p>
    <w:p w14:paraId="21955ED0" w14:textId="77777777" w:rsidR="00290A16" w:rsidRPr="001A1C22" w:rsidRDefault="00290A16" w:rsidP="00290A16">
      <w:pPr>
        <w:spacing w:line="240" w:lineRule="auto"/>
        <w:jc w:val="center"/>
        <w:rPr>
          <w:rFonts w:eastAsia="KaiTi" w:cs="Arial"/>
          <w:szCs w:val="21"/>
        </w:rPr>
      </w:pPr>
      <w:r w:rsidRPr="002501C4">
        <w:rPr>
          <w:rFonts w:eastAsia="KaiTi" w:cs="Arial"/>
          <w:szCs w:val="21"/>
        </w:rPr>
        <w:lastRenderedPageBreak/>
        <w:t>Table</w:t>
      </w:r>
      <w:r w:rsidRPr="002501C4">
        <w:rPr>
          <w:rFonts w:eastAsia="KaiTi" w:cs="Arial" w:hint="eastAsia"/>
          <w:szCs w:val="21"/>
        </w:rPr>
        <w:t xml:space="preserve"> S</w:t>
      </w:r>
      <w:r>
        <w:rPr>
          <w:rFonts w:eastAsia="KaiTi" w:cs="Arial" w:hint="eastAsia"/>
          <w:szCs w:val="21"/>
        </w:rPr>
        <w:t>1</w:t>
      </w:r>
      <w:r w:rsidRPr="002501C4">
        <w:rPr>
          <w:rFonts w:eastAsia="KaiTi" w:cs="Arial"/>
          <w:szCs w:val="21"/>
        </w:rPr>
        <w:t xml:space="preserve"> Energy comparison of industrial bubble generating systems</w:t>
      </w:r>
      <w:r w:rsidRPr="002501C4">
        <w:rPr>
          <w:rFonts w:eastAsia="KaiTi" w:cs="Arial" w:hint="eastAsia"/>
          <w:szCs w:val="21"/>
        </w:rPr>
        <w:t>.</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4567"/>
        <w:gridCol w:w="1985"/>
      </w:tblGrid>
      <w:tr w:rsidR="00290A16" w:rsidRPr="002501C4" w14:paraId="45CA95AE" w14:textId="77777777" w:rsidTr="00DC5748">
        <w:trPr>
          <w:jc w:val="center"/>
        </w:trPr>
        <w:tc>
          <w:tcPr>
            <w:tcW w:w="2096" w:type="dxa"/>
            <w:tcBorders>
              <w:top w:val="single" w:sz="4" w:space="0" w:color="auto"/>
              <w:bottom w:val="single" w:sz="4" w:space="0" w:color="auto"/>
            </w:tcBorders>
            <w:vAlign w:val="center"/>
            <w:hideMark/>
          </w:tcPr>
          <w:p w14:paraId="7A630569" w14:textId="77777777" w:rsidR="00290A16" w:rsidRPr="002501C4" w:rsidRDefault="00290A16" w:rsidP="00DC5748">
            <w:pPr>
              <w:spacing w:after="160"/>
              <w:jc w:val="center"/>
              <w:rPr>
                <w:rFonts w:eastAsia="KaiTi" w:cs="Arial"/>
                <w:szCs w:val="21"/>
              </w:rPr>
            </w:pPr>
            <w:r w:rsidRPr="002501C4">
              <w:rPr>
                <w:rFonts w:eastAsia="KaiTi" w:cs="Arial"/>
                <w:szCs w:val="21"/>
              </w:rPr>
              <w:t>References</w:t>
            </w:r>
          </w:p>
        </w:tc>
        <w:tc>
          <w:tcPr>
            <w:tcW w:w="4567" w:type="dxa"/>
            <w:tcBorders>
              <w:top w:val="single" w:sz="4" w:space="0" w:color="auto"/>
              <w:bottom w:val="single" w:sz="4" w:space="0" w:color="auto"/>
            </w:tcBorders>
            <w:vAlign w:val="center"/>
            <w:hideMark/>
          </w:tcPr>
          <w:p w14:paraId="43D381A8" w14:textId="77777777" w:rsidR="00290A16" w:rsidRPr="002501C4" w:rsidRDefault="00290A16" w:rsidP="00DC5748">
            <w:pPr>
              <w:spacing w:after="160"/>
              <w:jc w:val="center"/>
              <w:rPr>
                <w:rFonts w:eastAsia="KaiTi" w:cs="Arial"/>
                <w:szCs w:val="21"/>
              </w:rPr>
            </w:pPr>
            <w:r w:rsidRPr="002501C4">
              <w:rPr>
                <w:rFonts w:eastAsia="KaiTi" w:cs="Arial"/>
                <w:szCs w:val="21"/>
              </w:rPr>
              <w:t>Reactor Type</w:t>
            </w:r>
          </w:p>
        </w:tc>
        <w:tc>
          <w:tcPr>
            <w:tcW w:w="1985" w:type="dxa"/>
            <w:tcBorders>
              <w:top w:val="single" w:sz="4" w:space="0" w:color="auto"/>
              <w:bottom w:val="single" w:sz="4" w:space="0" w:color="auto"/>
            </w:tcBorders>
            <w:vAlign w:val="center"/>
            <w:hideMark/>
          </w:tcPr>
          <w:p w14:paraId="2421F541" w14:textId="77777777" w:rsidR="00290A16" w:rsidRPr="002501C4" w:rsidRDefault="00290A16" w:rsidP="00DC5748">
            <w:pPr>
              <w:spacing w:after="160"/>
              <w:jc w:val="center"/>
              <w:rPr>
                <w:rFonts w:eastAsia="KaiTi" w:cs="Arial"/>
                <w:szCs w:val="21"/>
              </w:rPr>
            </w:pPr>
            <w:r w:rsidRPr="002501C4">
              <w:rPr>
                <w:rFonts w:eastAsia="KaiTi" w:cs="Arial"/>
                <w:szCs w:val="21"/>
              </w:rPr>
              <w:t>ξ (kJ/m</w:t>
            </w:r>
            <w:r w:rsidRPr="002501C4">
              <w:rPr>
                <w:rFonts w:eastAsia="KaiTi" w:cs="Arial"/>
                <w:szCs w:val="21"/>
                <w:vertAlign w:val="superscript"/>
              </w:rPr>
              <w:t>2</w:t>
            </w:r>
            <w:r w:rsidRPr="002501C4">
              <w:rPr>
                <w:rFonts w:eastAsia="KaiTi" w:cs="Arial"/>
                <w:szCs w:val="21"/>
              </w:rPr>
              <w:t>)</w:t>
            </w:r>
          </w:p>
        </w:tc>
      </w:tr>
      <w:tr w:rsidR="00290A16" w:rsidRPr="002501C4" w14:paraId="515250BF" w14:textId="77777777" w:rsidTr="00DC5748">
        <w:trPr>
          <w:jc w:val="center"/>
        </w:trPr>
        <w:tc>
          <w:tcPr>
            <w:tcW w:w="2096" w:type="dxa"/>
            <w:tcBorders>
              <w:top w:val="single" w:sz="4" w:space="0" w:color="auto"/>
            </w:tcBorders>
            <w:vAlign w:val="center"/>
            <w:hideMark/>
          </w:tcPr>
          <w:p w14:paraId="07DD109A" w14:textId="2683C97B" w:rsidR="00290A16" w:rsidRPr="002501C4" w:rsidRDefault="00290A16" w:rsidP="00DC5748">
            <w:pPr>
              <w:spacing w:after="160"/>
              <w:jc w:val="center"/>
              <w:rPr>
                <w:rFonts w:eastAsia="KaiTi" w:cs="Arial"/>
                <w:szCs w:val="21"/>
              </w:rPr>
            </w:pPr>
            <w:r w:rsidRPr="002501C4">
              <w:rPr>
                <w:rFonts w:eastAsia="KaiTi" w:cs="Arial"/>
                <w:szCs w:val="21"/>
              </w:rPr>
              <w:t>Linek et al.</w:t>
            </w:r>
            <w:r w:rsidR="00DF1574">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&lt;EndNote&gt;&lt;Cite&gt;&lt;Author&gt;Linek&lt;/Author&gt;&lt;Year&gt;1987&lt;/Year&gt;&lt;RecNum&gt;386&lt;/RecNum&gt;&lt;DisplayText&gt;&lt;style face="superscript"&gt;37&lt;/style&gt;&lt;/DisplayText&gt;&lt;record&gt;&lt;rec-number&gt;386&lt;/rec-number&gt;&lt;foreign-keys&gt;&lt;key app="EN" db-id="0e5tz0z0ke5t29ex5r955wd3advpxrsstet0" timestamp="1773242775" guid="7ce14bc6-99d8-4c66-9e19-04e6ee511a10"&gt;386&lt;/key&gt;&lt;/foreign-keys&gt;&lt;ref-type name="Journal Article"&gt;17&lt;/ref-type&gt;&lt;contributors&gt;&lt;authors&gt;&lt;author&gt;Linek, V&lt;/author&gt;&lt;author&gt;Vacek, V&lt;/author&gt;&lt;author&gt;Beneš, P&lt;/author&gt;&lt;/authors&gt;&lt;/contributors&gt;&lt;titles&gt;&lt;title&gt;A critical review and experimental verification of the correct use of the dynamic method for the determination of oxygen transfer in aerated agitated vessels to water, electrolyte solutions and viscous liquids&lt;/title&gt;&lt;secondary-title&gt;The Chemical Engineering Journal&lt;/secondary-title&gt;&lt;/titles&gt;&lt;periodical&gt;&lt;full-title&gt;The Chemical Engineering Journal&lt;/full-title&gt;&lt;/periodical&gt;&lt;pages&gt;11-34&lt;/pages&gt;&lt;volume&gt;34&lt;/volume&gt;&lt;number&gt;1&lt;/number&gt;&lt;dates&gt;&lt;year&gt;1987&lt;/year&gt;&lt;/dates&gt;&lt;isbn&gt;0300-9467&lt;/isbn&gt;&lt;urls&gt;&lt;/urls&gt;&lt;/record&gt;&lt;/Cite&gt;&lt;/EndNote&gt;</w:instrText>
            </w:r>
            <w:r w:rsidR="00DF1574">
              <w:rPr>
                <w:rFonts w:eastAsia="KaiTi" w:cs="Arial"/>
                <w:szCs w:val="21"/>
                <w:vertAlign w:val="superscript"/>
              </w:rPr>
              <w:fldChar w:fldCharType="separate"/>
            </w:r>
            <w:r w:rsidR="00282AF2">
              <w:rPr>
                <w:rFonts w:eastAsia="KaiTi" w:cs="Arial"/>
                <w:noProof/>
                <w:szCs w:val="21"/>
                <w:vertAlign w:val="superscript"/>
              </w:rPr>
              <w:t>37</w:t>
            </w:r>
            <w:r w:rsidR="00DF1574">
              <w:rPr>
                <w:rFonts w:eastAsia="KaiTi" w:cs="Arial"/>
                <w:szCs w:val="21"/>
                <w:vertAlign w:val="superscript"/>
              </w:rPr>
              <w:fldChar w:fldCharType="end"/>
            </w:r>
          </w:p>
        </w:tc>
        <w:tc>
          <w:tcPr>
            <w:tcW w:w="4567" w:type="dxa"/>
            <w:tcBorders>
              <w:top w:val="single" w:sz="4" w:space="0" w:color="auto"/>
            </w:tcBorders>
            <w:vAlign w:val="center"/>
            <w:hideMark/>
          </w:tcPr>
          <w:p w14:paraId="46D295FF" w14:textId="77777777" w:rsidR="00290A16" w:rsidRPr="002501C4" w:rsidRDefault="00290A16" w:rsidP="00DC5748">
            <w:pPr>
              <w:spacing w:after="160"/>
              <w:jc w:val="center"/>
              <w:rPr>
                <w:rFonts w:eastAsia="KaiTi" w:cs="Arial"/>
                <w:szCs w:val="21"/>
              </w:rPr>
            </w:pPr>
            <w:r w:rsidRPr="002501C4">
              <w:rPr>
                <w:rFonts w:eastAsia="KaiTi" w:cs="Arial"/>
                <w:szCs w:val="21"/>
              </w:rPr>
              <w:t>Stirred tank, Rushton turbine</w:t>
            </w:r>
          </w:p>
        </w:tc>
        <w:tc>
          <w:tcPr>
            <w:tcW w:w="1985" w:type="dxa"/>
            <w:tcBorders>
              <w:top w:val="single" w:sz="4" w:space="0" w:color="auto"/>
            </w:tcBorders>
            <w:vAlign w:val="center"/>
            <w:hideMark/>
          </w:tcPr>
          <w:p w14:paraId="17D13E5E" w14:textId="77777777" w:rsidR="00290A16" w:rsidRPr="002501C4" w:rsidRDefault="00290A16" w:rsidP="00DC5748">
            <w:pPr>
              <w:spacing w:after="160"/>
              <w:jc w:val="center"/>
              <w:rPr>
                <w:rFonts w:eastAsia="KaiTi" w:cs="Arial"/>
                <w:szCs w:val="21"/>
              </w:rPr>
            </w:pPr>
            <w:r w:rsidRPr="002501C4">
              <w:rPr>
                <w:rFonts w:eastAsia="KaiTi" w:cs="Arial"/>
                <w:szCs w:val="21"/>
              </w:rPr>
              <w:t>0.1–0.3</w:t>
            </w:r>
          </w:p>
        </w:tc>
      </w:tr>
      <w:tr w:rsidR="00290A16" w:rsidRPr="002501C4" w14:paraId="49FD4EEF" w14:textId="77777777" w:rsidTr="00DC5748">
        <w:trPr>
          <w:jc w:val="center"/>
        </w:trPr>
        <w:tc>
          <w:tcPr>
            <w:tcW w:w="2096" w:type="dxa"/>
            <w:vAlign w:val="center"/>
            <w:hideMark/>
          </w:tcPr>
          <w:p w14:paraId="5DF09CDB" w14:textId="4F8E9BB8" w:rsidR="00290A16" w:rsidRPr="002501C4" w:rsidRDefault="00290A16" w:rsidP="00DC5748">
            <w:pPr>
              <w:spacing w:after="160"/>
              <w:jc w:val="center"/>
              <w:rPr>
                <w:rFonts w:eastAsia="KaiTi" w:cs="Arial"/>
                <w:szCs w:val="21"/>
              </w:rPr>
            </w:pPr>
            <w:r w:rsidRPr="002501C4">
              <w:rPr>
                <w:rFonts w:eastAsia="KaiTi" w:cs="Arial"/>
                <w:szCs w:val="21"/>
              </w:rPr>
              <w:t>Majumder et al.</w:t>
            </w:r>
            <w:r w:rsidR="00A609CF">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&lt;EndNote&gt;&lt;Cite&gt;&lt;Author&gt;Majumder&lt;/Author&gt;&lt;Year&gt;2006&lt;/Year&gt;&lt;RecNum&gt;387&lt;/RecNum&gt;&lt;DisplayText&gt;&lt;style face="superscript"&gt;38&lt;/style&gt;&lt;/DisplayText&gt;&lt;record&gt;&lt;rec-number&gt;387&lt;/rec-number&gt;&lt;foreign-keys&gt;&lt;key app="EN" db-id="0e5tz0z0ke5t29ex5r955wd3advpxrsstet0" timestamp="1773242845" guid="fbed85e9-8e9f-4125-b474-61dcaad674d9"&gt;387&lt;/key&gt;&lt;/foreign-keys&gt;&lt;ref-type name="Journal Article"&gt;17&lt;/ref-type&gt;&lt;contributors&gt;&lt;authors&gt;&lt;author&gt;Majumder, Subrata Kumar&lt;/author&gt;&lt;author&gt;Kundu, Gautam&lt;/author&gt;&lt;author&gt;Mukherjee, Dibyendu&lt;/author&gt;&lt;/authors&gt;&lt;/contributors&gt;&lt;titles&gt;&lt;title&gt;Bubble size distribution and gas–liquid interfacial area in a modified downflow bubble column&lt;/title&gt;&lt;secondary-title&gt;Chemical Engineering Journal&lt;/secondary-title&gt;&lt;/titles&gt;&lt;periodical&gt;&lt;full-title&gt;Chemical Engineering Journal&lt;/full-title&gt;&lt;/periodical&gt;&lt;pages&gt;1-10&lt;/pages&gt;&lt;volume&gt;122&lt;/volume&gt;&lt;number&gt;1-2&lt;/number&gt;&lt;dates&gt;&lt;year&gt;2006&lt;/year&gt;&lt;/dates&gt;&lt;isbn&gt;1385-8947&lt;/isbn&gt;&lt;urls&gt;&lt;/urls&gt;&lt;/record&gt;&lt;/Cite&gt;&lt;/EndNote&gt;</w:instrText>
            </w:r>
            <w:r w:rsidR="00A609CF">
              <w:rPr>
                <w:rFonts w:eastAsia="KaiTi" w:cs="Arial"/>
                <w:szCs w:val="21"/>
                <w:vertAlign w:val="superscript"/>
              </w:rPr>
              <w:fldChar w:fldCharType="separate"/>
            </w:r>
            <w:r w:rsidR="00282AF2">
              <w:rPr>
                <w:rFonts w:eastAsia="KaiTi" w:cs="Arial"/>
                <w:noProof/>
                <w:szCs w:val="21"/>
                <w:vertAlign w:val="superscript"/>
              </w:rPr>
              <w:t>38</w:t>
            </w:r>
            <w:r w:rsidR="00A609CF">
              <w:rPr>
                <w:rFonts w:eastAsia="KaiTi" w:cs="Arial"/>
                <w:szCs w:val="21"/>
                <w:vertAlign w:val="superscript"/>
              </w:rPr>
              <w:fldChar w:fldCharType="end"/>
            </w:r>
          </w:p>
        </w:tc>
        <w:tc>
          <w:tcPr>
            <w:tcW w:w="4567" w:type="dxa"/>
            <w:vAlign w:val="center"/>
            <w:hideMark/>
          </w:tcPr>
          <w:p w14:paraId="72BE65DB" w14:textId="77777777" w:rsidR="00290A16" w:rsidRPr="002501C4" w:rsidRDefault="00290A16" w:rsidP="00DC5748">
            <w:pPr>
              <w:spacing w:after="160"/>
              <w:jc w:val="center"/>
              <w:rPr>
                <w:rFonts w:eastAsia="KaiTi" w:cs="Arial"/>
                <w:szCs w:val="21"/>
              </w:rPr>
            </w:pPr>
            <w:r w:rsidRPr="002501C4">
              <w:rPr>
                <w:rFonts w:eastAsia="KaiTi" w:cs="Arial"/>
                <w:szCs w:val="21"/>
              </w:rPr>
              <w:t>Downward impinging jet</w:t>
            </w:r>
          </w:p>
        </w:tc>
        <w:tc>
          <w:tcPr>
            <w:tcW w:w="1985" w:type="dxa"/>
            <w:vAlign w:val="center"/>
            <w:hideMark/>
          </w:tcPr>
          <w:p w14:paraId="0D567CC5" w14:textId="77777777" w:rsidR="00290A16" w:rsidRPr="002501C4" w:rsidRDefault="00290A16" w:rsidP="00DC5748">
            <w:pPr>
              <w:spacing w:after="160"/>
              <w:jc w:val="center"/>
              <w:rPr>
                <w:rFonts w:eastAsia="KaiTi" w:cs="Arial"/>
                <w:szCs w:val="21"/>
              </w:rPr>
            </w:pPr>
            <w:r w:rsidRPr="002501C4">
              <w:rPr>
                <w:rFonts w:eastAsia="KaiTi" w:cs="Arial"/>
                <w:szCs w:val="21"/>
              </w:rPr>
              <w:t>0.04</w:t>
            </w:r>
          </w:p>
        </w:tc>
      </w:tr>
      <w:tr w:rsidR="00290A16" w:rsidRPr="002501C4" w14:paraId="078A1C97" w14:textId="77777777" w:rsidTr="00DC5748">
        <w:trPr>
          <w:jc w:val="center"/>
        </w:trPr>
        <w:tc>
          <w:tcPr>
            <w:tcW w:w="2096" w:type="dxa"/>
            <w:vAlign w:val="center"/>
            <w:hideMark/>
          </w:tcPr>
          <w:p w14:paraId="15C9F79A" w14:textId="6C3DC361" w:rsidR="00290A16" w:rsidRPr="002501C4" w:rsidRDefault="00290A16" w:rsidP="00DC5748">
            <w:pPr>
              <w:spacing w:after="160"/>
              <w:jc w:val="center"/>
              <w:rPr>
                <w:rFonts w:eastAsia="KaiTi" w:cs="Arial"/>
                <w:szCs w:val="21"/>
              </w:rPr>
            </w:pPr>
            <w:r w:rsidRPr="002501C4">
              <w:rPr>
                <w:rFonts w:eastAsia="KaiTi" w:cs="Arial"/>
                <w:szCs w:val="21"/>
              </w:rPr>
              <w:t>Burns et al.</w:t>
            </w:r>
            <w:r w:rsidR="00D24B33">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&lt;EndNote&gt;&lt;Cite&gt;&lt;Author&gt;Burns&lt;/Author&gt;&lt;Year&gt;1997&lt;/Year&gt;&lt;RecNum&gt;388&lt;/RecNum&gt;&lt;DisplayText&gt;&lt;style face="superscript"&gt;39&lt;/style&gt;&lt;/DisplayText&gt;&lt;record&gt;&lt;rec-number&gt;388&lt;/rec-number&gt;&lt;foreign-keys&gt;&lt;key app="EN" db-id="0e5tz0z0ke5t29ex5r955wd3advpxrsstet0" timestamp="1773242901" guid="8b19e4d5-06b2-4f2c-aba8-4e6666aa023b"&gt;388&lt;/key&gt;&lt;/foreign-keys&gt;&lt;ref-type name="Journal Article"&gt;17&lt;/ref-type&gt;&lt;contributors&gt;&lt;authors&gt;&lt;author&gt;Burns, SE&lt;/author&gt;&lt;author&gt;Yiacoumi, S&lt;/author&gt;&lt;author&gt;Tsouris, C&lt;/author&gt;&lt;/authors&gt;&lt;/contributors&gt;&lt;titles&gt;&lt;title&gt;Microbubble generation for environmental and industrial separations&lt;/title&gt;&lt;secondary-title&gt;Separation and purification technology&lt;/secondary-title&gt;&lt;/titles&gt;&lt;periodical&gt;&lt;full-title&gt;Separation and Purification Technology&lt;/full-title&gt;&lt;/periodical&gt;&lt;pages&gt;221-232&lt;/pages&gt;&lt;volume&gt;11&lt;/volume&gt;&lt;number&gt;3&lt;/number&gt;&lt;dates&gt;&lt;year&gt;1997&lt;/year&gt;&lt;/dates&gt;&lt;isbn&gt;1383-5866&lt;/isbn&gt;&lt;urls&gt;&lt;/urls&gt;&lt;/record&gt;&lt;/Cite&gt;&lt;/EndNote&gt;</w:instrText>
            </w:r>
            <w:r w:rsidR="00D24B33">
              <w:rPr>
                <w:rFonts w:eastAsia="KaiTi" w:cs="Arial"/>
                <w:szCs w:val="21"/>
                <w:vertAlign w:val="superscript"/>
              </w:rPr>
              <w:fldChar w:fldCharType="separate"/>
            </w:r>
            <w:r w:rsidR="00282AF2">
              <w:rPr>
                <w:rFonts w:eastAsia="KaiTi" w:cs="Arial"/>
                <w:noProof/>
                <w:szCs w:val="21"/>
                <w:vertAlign w:val="superscript"/>
              </w:rPr>
              <w:t>39</w:t>
            </w:r>
            <w:r w:rsidR="00D24B33">
              <w:rPr>
                <w:rFonts w:eastAsia="KaiTi" w:cs="Arial"/>
                <w:szCs w:val="21"/>
                <w:vertAlign w:val="superscript"/>
              </w:rPr>
              <w:fldChar w:fldCharType="end"/>
            </w:r>
          </w:p>
        </w:tc>
        <w:tc>
          <w:tcPr>
            <w:tcW w:w="4567" w:type="dxa"/>
            <w:vAlign w:val="center"/>
            <w:hideMark/>
          </w:tcPr>
          <w:p w14:paraId="002C7B15" w14:textId="77777777" w:rsidR="00290A16" w:rsidRPr="002501C4" w:rsidRDefault="00290A16" w:rsidP="00DC5748">
            <w:pPr>
              <w:spacing w:after="160"/>
              <w:jc w:val="center"/>
              <w:rPr>
                <w:rFonts w:eastAsia="KaiTi" w:cs="Arial"/>
                <w:szCs w:val="21"/>
              </w:rPr>
            </w:pPr>
            <w:r w:rsidRPr="002501C4">
              <w:rPr>
                <w:rFonts w:eastAsia="KaiTi" w:cs="Arial"/>
                <w:szCs w:val="21"/>
              </w:rPr>
              <w:t>Electro flotation</w:t>
            </w:r>
          </w:p>
          <w:p w14:paraId="457A8795" w14:textId="77777777" w:rsidR="00290A16" w:rsidRPr="002501C4" w:rsidRDefault="00290A16" w:rsidP="00DC5748">
            <w:pPr>
              <w:spacing w:after="160"/>
              <w:jc w:val="center"/>
              <w:rPr>
                <w:rFonts w:eastAsia="KaiTi" w:cs="Arial"/>
                <w:szCs w:val="21"/>
              </w:rPr>
            </w:pPr>
            <w:r w:rsidRPr="002501C4">
              <w:rPr>
                <w:rFonts w:eastAsia="KaiTi" w:cs="Arial"/>
                <w:szCs w:val="21"/>
              </w:rPr>
              <w:t>Dissolved air flotation</w:t>
            </w:r>
          </w:p>
          <w:p w14:paraId="08B02664" w14:textId="77777777" w:rsidR="00290A16" w:rsidRPr="002501C4" w:rsidRDefault="00290A16" w:rsidP="00DC5748">
            <w:pPr>
              <w:spacing w:after="160"/>
              <w:jc w:val="center"/>
              <w:rPr>
                <w:rFonts w:eastAsia="KaiTi" w:cs="Arial"/>
                <w:szCs w:val="21"/>
              </w:rPr>
            </w:pPr>
            <w:r w:rsidRPr="002501C4">
              <w:rPr>
                <w:rFonts w:eastAsia="KaiTi" w:cs="Arial"/>
                <w:szCs w:val="21"/>
              </w:rPr>
              <w:t>Electrostatic spraying</w:t>
            </w:r>
          </w:p>
        </w:tc>
        <w:tc>
          <w:tcPr>
            <w:tcW w:w="1985" w:type="dxa"/>
            <w:vAlign w:val="center"/>
            <w:hideMark/>
          </w:tcPr>
          <w:p w14:paraId="68BD8239" w14:textId="77777777" w:rsidR="00290A16" w:rsidRPr="002501C4" w:rsidRDefault="00290A16" w:rsidP="00DC5748">
            <w:pPr>
              <w:spacing w:after="160"/>
              <w:jc w:val="center"/>
              <w:rPr>
                <w:rFonts w:eastAsia="KaiTi" w:cs="Arial"/>
                <w:szCs w:val="21"/>
              </w:rPr>
            </w:pPr>
            <w:r w:rsidRPr="002501C4">
              <w:rPr>
                <w:rFonts w:eastAsia="KaiTi" w:cs="Arial"/>
                <w:szCs w:val="21"/>
              </w:rPr>
              <w:t>1.8</w:t>
            </w:r>
          </w:p>
          <w:p w14:paraId="4939B1E1" w14:textId="77777777" w:rsidR="00290A16" w:rsidRPr="002501C4" w:rsidRDefault="00290A16" w:rsidP="00DC5748">
            <w:pPr>
              <w:spacing w:after="160"/>
              <w:jc w:val="center"/>
              <w:rPr>
                <w:rFonts w:eastAsia="KaiTi" w:cs="Arial"/>
                <w:szCs w:val="21"/>
              </w:rPr>
            </w:pPr>
            <w:r w:rsidRPr="002501C4">
              <w:rPr>
                <w:rFonts w:eastAsia="KaiTi" w:cs="Arial"/>
                <w:szCs w:val="21"/>
              </w:rPr>
              <w:t>1.1</w:t>
            </w:r>
          </w:p>
          <w:p w14:paraId="4569D12A" w14:textId="77777777" w:rsidR="00290A16" w:rsidRPr="002501C4" w:rsidRDefault="00290A16" w:rsidP="00DC5748">
            <w:pPr>
              <w:spacing w:after="160"/>
              <w:jc w:val="center"/>
              <w:rPr>
                <w:rFonts w:eastAsia="KaiTi" w:cs="Arial"/>
                <w:szCs w:val="21"/>
              </w:rPr>
            </w:pPr>
            <w:r w:rsidRPr="002501C4">
              <w:rPr>
                <w:rFonts w:eastAsia="KaiTi" w:cs="Arial"/>
                <w:szCs w:val="21"/>
              </w:rPr>
              <w:t>2.7</w:t>
            </w:r>
          </w:p>
        </w:tc>
      </w:tr>
      <w:tr w:rsidR="00290A16" w:rsidRPr="002501C4" w14:paraId="1CEAEBC5" w14:textId="77777777" w:rsidTr="00DC5748">
        <w:trPr>
          <w:jc w:val="center"/>
        </w:trPr>
        <w:tc>
          <w:tcPr>
            <w:tcW w:w="2096" w:type="dxa"/>
            <w:vAlign w:val="center"/>
            <w:hideMark/>
          </w:tcPr>
          <w:p w14:paraId="587788A6" w14:textId="546FA47C" w:rsidR="00290A16" w:rsidRPr="002501C4" w:rsidRDefault="00290A16" w:rsidP="00DC5748">
            <w:pPr>
              <w:spacing w:after="160"/>
              <w:jc w:val="center"/>
              <w:rPr>
                <w:rFonts w:eastAsia="KaiTi" w:cs="Arial"/>
                <w:szCs w:val="21"/>
              </w:rPr>
            </w:pPr>
            <w:r w:rsidRPr="002501C4">
              <w:rPr>
                <w:rFonts w:eastAsia="KaiTi" w:cs="Arial"/>
                <w:szCs w:val="21"/>
              </w:rPr>
              <w:t>Hsu et al.</w:t>
            </w:r>
            <w:r w:rsidR="00450C66">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&lt;EndNote&gt;&lt;Cite&gt;&lt;Author&gt;Hsu&lt;/Author&gt;&lt;Year&gt;1997&lt;/Year&gt;&lt;RecNum&gt;389&lt;/RecNum&gt;&lt;DisplayText&gt;&lt;style face="superscript"&gt;40&lt;/style&gt;&lt;/DisplayText&gt;&lt;record&gt;&lt;rec-number&gt;389&lt;/rec-number&gt;&lt;foreign-keys&gt;&lt;key app="EN" db-id="0e5tz0z0ke5t29ex5r955wd3advpxrsstet0" timestamp="1773242942" guid="35c1ccb8-bda4-4575-a68e-00acdfd64890"&gt;389&lt;/key&gt;&lt;/foreign-keys&gt;&lt;ref-type name="Journal Article"&gt;17&lt;/ref-type&gt;&lt;contributors&gt;&lt;authors&gt;&lt;author&gt;Hsu, Yung-Chien&lt;/author&gt;&lt;author&gt;Peng, Robert Y&lt;/author&gt;&lt;author&gt;Huang, Chyuan-Jih&lt;/author&gt;&lt;/authors&gt;&lt;/contributors&gt;&lt;titles&gt;&lt;title&gt;Onset of gas induction, power consumption, gas holdup and mass transfer in a new gas-induced reactor&lt;/title&gt;&lt;secondary-title&gt;Chemical engineering science&lt;/secondary-title&gt;&lt;/titles&gt;&lt;periodical&gt;&lt;full-title&gt;Chemical Engineering Science&lt;/full-title&gt;&lt;/periodical&gt;&lt;pages&gt;3883-3891&lt;/pages&gt;&lt;volume&gt;52&lt;/volume&gt;&lt;number&gt;21-22&lt;/number&gt;&lt;dates&gt;&lt;year&gt;1997&lt;/year&gt;&lt;/dates&gt;&lt;isbn&gt;0009-2509&lt;/isbn&gt;&lt;urls&gt;&lt;/urls&gt;&lt;/record&gt;&lt;/Cite&gt;&lt;/EndNote&gt;</w:instrText>
            </w:r>
            <w:r w:rsidR="00450C66">
              <w:rPr>
                <w:rFonts w:eastAsia="KaiTi" w:cs="Arial"/>
                <w:szCs w:val="21"/>
                <w:vertAlign w:val="superscript"/>
              </w:rPr>
              <w:fldChar w:fldCharType="separate"/>
            </w:r>
            <w:r w:rsidR="00282AF2">
              <w:rPr>
                <w:rFonts w:eastAsia="KaiTi" w:cs="Arial"/>
                <w:noProof/>
                <w:szCs w:val="21"/>
                <w:vertAlign w:val="superscript"/>
              </w:rPr>
              <w:t>40</w:t>
            </w:r>
            <w:r w:rsidR="00450C66">
              <w:rPr>
                <w:rFonts w:eastAsia="KaiTi" w:cs="Arial"/>
                <w:szCs w:val="21"/>
                <w:vertAlign w:val="superscript"/>
              </w:rPr>
              <w:fldChar w:fldCharType="end"/>
            </w:r>
          </w:p>
        </w:tc>
        <w:tc>
          <w:tcPr>
            <w:tcW w:w="4567" w:type="dxa"/>
            <w:vAlign w:val="center"/>
            <w:hideMark/>
          </w:tcPr>
          <w:p w14:paraId="7CC22031" w14:textId="77777777" w:rsidR="00290A16" w:rsidRPr="002501C4" w:rsidRDefault="00290A16" w:rsidP="00DC5748">
            <w:pPr>
              <w:spacing w:after="160"/>
              <w:jc w:val="center"/>
              <w:rPr>
                <w:rFonts w:eastAsia="KaiTi" w:cs="Arial"/>
                <w:szCs w:val="21"/>
              </w:rPr>
            </w:pPr>
            <w:r w:rsidRPr="002501C4">
              <w:rPr>
                <w:rFonts w:eastAsia="KaiTi" w:cs="Arial"/>
                <w:szCs w:val="21"/>
              </w:rPr>
              <w:t>Gas-inducing dual turbine</w:t>
            </w:r>
          </w:p>
        </w:tc>
        <w:tc>
          <w:tcPr>
            <w:tcW w:w="1985" w:type="dxa"/>
            <w:vAlign w:val="center"/>
            <w:hideMark/>
          </w:tcPr>
          <w:p w14:paraId="3E59FA7A" w14:textId="77777777" w:rsidR="00290A16" w:rsidRPr="002501C4" w:rsidRDefault="00290A16" w:rsidP="00DC5748">
            <w:pPr>
              <w:spacing w:after="160"/>
              <w:jc w:val="center"/>
              <w:rPr>
                <w:rFonts w:eastAsia="KaiTi" w:cs="Arial"/>
                <w:szCs w:val="21"/>
              </w:rPr>
            </w:pPr>
            <w:r w:rsidRPr="002501C4">
              <w:rPr>
                <w:rFonts w:eastAsia="KaiTi" w:cs="Arial"/>
                <w:szCs w:val="21"/>
              </w:rPr>
              <w:t>0.002-0.02</w:t>
            </w:r>
          </w:p>
        </w:tc>
      </w:tr>
      <w:tr w:rsidR="00290A16" w:rsidRPr="002501C4" w14:paraId="4FA6C9B7" w14:textId="77777777" w:rsidTr="00DC5748">
        <w:trPr>
          <w:jc w:val="center"/>
        </w:trPr>
        <w:tc>
          <w:tcPr>
            <w:tcW w:w="2096" w:type="dxa"/>
            <w:vAlign w:val="center"/>
            <w:hideMark/>
          </w:tcPr>
          <w:p w14:paraId="7B63A90C" w14:textId="5FE93E7E" w:rsidR="00290A16" w:rsidRPr="002501C4" w:rsidRDefault="00290A16" w:rsidP="00DC5748">
            <w:pPr>
              <w:spacing w:after="160"/>
              <w:jc w:val="center"/>
              <w:rPr>
                <w:rFonts w:eastAsia="KaiTi" w:cs="Arial"/>
                <w:szCs w:val="21"/>
              </w:rPr>
            </w:pPr>
            <w:r w:rsidRPr="002501C4">
              <w:rPr>
                <w:rFonts w:eastAsia="KaiTi" w:cs="Arial"/>
                <w:szCs w:val="21"/>
              </w:rPr>
              <w:t>Gagnon et al</w:t>
            </w:r>
            <w:r w:rsidRPr="002501C4">
              <w:rPr>
                <w:rFonts w:eastAsia="KaiTi" w:cs="Arial" w:hint="eastAsia"/>
                <w:szCs w:val="21"/>
              </w:rPr>
              <w:t>.</w:t>
            </w:r>
            <w:r w:rsidR="00B97614">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&lt;EndNote&gt;&lt;Cite&gt;&lt;Author&gt;Gagnon&lt;/Author&gt;&lt;Year&gt;1998&lt;/Year&gt;&lt;RecNum&gt;390&lt;/RecNum&gt;&lt;DisplayText&gt;&lt;style face="superscript"&gt;41&lt;/style&gt;&lt;/DisplayText&gt;&lt;record&gt;&lt;rec-number&gt;390&lt;/rec-number&gt;&lt;foreign-keys&gt;&lt;key app="EN" db-id="0e5tz0z0ke5t29ex5r955wd3advpxrsstet0" timestamp="1773243006" guid="11b76552-dd7d-4f7d-9e01-e0cbbf9e804f"&gt;390&lt;/key&gt;&lt;/foreign-keys&gt;&lt;ref-type name="Journal Article"&gt;17&lt;/ref-type&gt;&lt;contributors&gt;&lt;authors&gt;&lt;author&gt;Gagnon, Hélène&lt;/author&gt;&lt;author&gt;Lounes, Mustapha&lt;/author&gt;&lt;author&gt;Thibault, Jules&lt;</w:instrText>
            </w:r>
            <w:r w:rsidR="00282AF2">
              <w:rPr>
                <w:rFonts w:eastAsia="KaiTi" w:cs="Arial" w:hint="eastAsia"/>
                <w:szCs w:val="21"/>
                <w:vertAlign w:val="superscript"/>
              </w:rPr>
              <w:instrText>/author&gt;&lt;/authors&gt;&lt;/contributors&gt;&lt;titles&gt;&lt;title&gt;Power consumption and mass transfer in agitated gas</w:instrText>
            </w:r>
            <w:r w:rsidR="00282AF2">
              <w:rPr>
                <w:rFonts w:eastAsia="KaiTi" w:cs="Arial" w:hint="eastAsia"/>
                <w:szCs w:val="21"/>
                <w:vertAlign w:val="superscript"/>
              </w:rPr>
              <w:instrText>‐</w:instrText>
            </w:r>
            <w:r w:rsidR="00282AF2">
              <w:rPr>
                <w:rFonts w:eastAsia="KaiTi" w:cs="Arial" w:hint="eastAsia"/>
                <w:szCs w:val="21"/>
                <w:vertAlign w:val="superscript"/>
              </w:rPr>
              <w:instrText>liquid columns: A comparative study&lt;/title&gt;&lt;secondary-title&gt;The Canadian Journal of Chemical Engineering&lt;/secondary-title&gt;&lt;/titles&gt;&lt;periodical&gt;&lt;full-title&gt;</w:instrText>
            </w:r>
            <w:r w:rsidR="00282AF2">
              <w:rPr>
                <w:rFonts w:eastAsia="KaiTi" w:cs="Arial"/>
                <w:szCs w:val="21"/>
                <w:vertAlign w:val="superscript"/>
              </w:rPr>
              <w:instrText>The Canadian Journal of Chemical Engineering&lt;/full-title&gt;&lt;/periodical&gt;&lt;pages&gt;379-389&lt;/pages&gt;&lt;volume&gt;76&lt;/volume&gt;&lt;number&gt;3&lt;/number&gt;&lt;dates&gt;&lt;year&gt;1998&lt;/year&gt;&lt;/dates&gt;&lt;isbn&gt;0008-4034&lt;/isbn&gt;&lt;urls&gt;&lt;/urls&gt;&lt;/record&gt;&lt;/Cite&gt;&lt;/EndNote&gt;</w:instrText>
            </w:r>
            <w:r w:rsidR="00B97614">
              <w:rPr>
                <w:rFonts w:eastAsia="KaiTi" w:cs="Arial"/>
                <w:szCs w:val="21"/>
                <w:vertAlign w:val="superscript"/>
              </w:rPr>
              <w:fldChar w:fldCharType="separate"/>
            </w:r>
            <w:r w:rsidR="00282AF2">
              <w:rPr>
                <w:rFonts w:eastAsia="KaiTi" w:cs="Arial"/>
                <w:noProof/>
                <w:szCs w:val="21"/>
                <w:vertAlign w:val="superscript"/>
              </w:rPr>
              <w:t>41</w:t>
            </w:r>
            <w:r w:rsidR="00B97614">
              <w:rPr>
                <w:rFonts w:eastAsia="KaiTi" w:cs="Arial"/>
                <w:szCs w:val="21"/>
                <w:vertAlign w:val="superscript"/>
              </w:rPr>
              <w:fldChar w:fldCharType="end"/>
            </w:r>
          </w:p>
        </w:tc>
        <w:tc>
          <w:tcPr>
            <w:tcW w:w="4567" w:type="dxa"/>
            <w:vAlign w:val="center"/>
            <w:hideMark/>
          </w:tcPr>
          <w:p w14:paraId="39593250" w14:textId="77777777" w:rsidR="00290A16" w:rsidRPr="002501C4" w:rsidRDefault="00290A16" w:rsidP="00DC5748">
            <w:pPr>
              <w:spacing w:after="160"/>
              <w:jc w:val="center"/>
              <w:rPr>
                <w:rFonts w:eastAsia="KaiTi" w:cs="Arial"/>
                <w:szCs w:val="21"/>
              </w:rPr>
            </w:pPr>
            <w:r w:rsidRPr="002501C4">
              <w:rPr>
                <w:rFonts w:eastAsia="KaiTi" w:cs="Arial"/>
                <w:szCs w:val="21"/>
              </w:rPr>
              <w:t>Stirred tank, Rushton turbine</w:t>
            </w:r>
          </w:p>
        </w:tc>
        <w:tc>
          <w:tcPr>
            <w:tcW w:w="1985" w:type="dxa"/>
            <w:vAlign w:val="center"/>
            <w:hideMark/>
          </w:tcPr>
          <w:p w14:paraId="2DEBF1C4" w14:textId="77777777" w:rsidR="00290A16" w:rsidRPr="002501C4" w:rsidRDefault="00290A16" w:rsidP="00DC5748">
            <w:pPr>
              <w:spacing w:after="160"/>
              <w:jc w:val="center"/>
              <w:rPr>
                <w:rFonts w:eastAsia="KaiTi" w:cs="Arial"/>
                <w:szCs w:val="21"/>
              </w:rPr>
            </w:pPr>
            <w:r w:rsidRPr="002501C4">
              <w:rPr>
                <w:rFonts w:eastAsia="KaiTi" w:cs="Arial"/>
                <w:szCs w:val="21"/>
              </w:rPr>
              <w:t>0.02–0.04</w:t>
            </w:r>
          </w:p>
        </w:tc>
      </w:tr>
      <w:tr w:rsidR="00290A16" w:rsidRPr="002501C4" w14:paraId="54D3A3C2" w14:textId="77777777" w:rsidTr="00DC5748">
        <w:trPr>
          <w:jc w:val="center"/>
        </w:trPr>
        <w:tc>
          <w:tcPr>
            <w:tcW w:w="2096" w:type="dxa"/>
            <w:vAlign w:val="center"/>
            <w:hideMark/>
          </w:tcPr>
          <w:p w14:paraId="4C953F55" w14:textId="7B64CCD0" w:rsidR="00290A16" w:rsidRPr="002501C4" w:rsidRDefault="00290A16" w:rsidP="00DC5748">
            <w:pPr>
              <w:spacing w:after="160"/>
              <w:jc w:val="center"/>
              <w:rPr>
                <w:rFonts w:eastAsia="KaiTi" w:cs="Arial"/>
                <w:szCs w:val="21"/>
              </w:rPr>
            </w:pPr>
            <w:r w:rsidRPr="002501C4">
              <w:rPr>
                <w:rFonts w:eastAsia="KaiTi" w:cs="Arial"/>
                <w:szCs w:val="21"/>
              </w:rPr>
              <w:t>Majumder et al.</w:t>
            </w:r>
            <w:r w:rsidR="005531A4">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&lt;EndNote&gt;&lt;Cite&gt;&lt;Author&gt;Majumder&lt;/Author&gt;&lt;Year&gt;2007&lt;/Year&gt;&lt;RecNum&gt;391&lt;/RecNum&gt;&lt;DisplayText&gt;&lt;style face="superscript"&gt;42&lt;/style&gt;&lt;/DisplayText&gt;&lt;record&gt;&lt;rec-number&gt;391&lt;/rec-number&gt;&lt;foreign-keys&gt;&lt;key app="EN" db-id="0e5tz0z0ke5t29ex5r955wd3advpxrsstet0" timestamp="1773243060" guid="0dcdd6df-ac62-454d-aa31-b8043971ab91"&gt;391&lt;/key&gt;&lt;/foreign-keys&gt;&lt;ref-type name="Journal Article"&gt;17&lt;/ref-type&gt;&lt;contributors&gt;&lt;authors&gt;&lt;author&gt;Majumder, Subrata Kumar&lt;/author&gt;&lt;author&gt;Kundu, Gautam&lt;/author&gt;&lt;author&gt;Mukherje</w:instrText>
            </w:r>
            <w:r w:rsidR="00282AF2">
              <w:rPr>
                <w:rFonts w:eastAsia="KaiTi" w:cs="Arial" w:hint="eastAsia"/>
                <w:szCs w:val="21"/>
                <w:vertAlign w:val="superscript"/>
              </w:rPr>
              <w:instrText>e, Dibyendu&lt;/author&gt;&lt;/authors&gt;&lt;/contributors&gt;&lt;titles&gt;&lt;title&gt;Energy efficiency of two</w:instrText>
            </w:r>
            <w:r w:rsidR="00282AF2">
              <w:rPr>
                <w:rFonts w:eastAsia="KaiTi" w:cs="Arial" w:hint="eastAsia"/>
                <w:szCs w:val="21"/>
                <w:vertAlign w:val="superscript"/>
              </w:rPr>
              <w:instrText>‐</w:instrText>
            </w:r>
            <w:r w:rsidR="00282AF2">
              <w:rPr>
                <w:rFonts w:eastAsia="KaiTi" w:cs="Arial" w:hint="eastAsia"/>
                <w:szCs w:val="21"/>
                <w:vertAlign w:val="superscript"/>
              </w:rPr>
              <w:instrText>phase mixing in a modified bubble column&lt;/title&gt;&lt;secondary-title&gt;The Canadian Journal of Chemical Engineering&lt;/secondary-title&gt;&lt;/titles&gt;&lt;periodical&gt;&lt;full-title&gt;The Canadi</w:instrText>
            </w:r>
            <w:r w:rsidR="00282AF2">
              <w:rPr>
                <w:rFonts w:eastAsia="KaiTi" w:cs="Arial"/>
                <w:szCs w:val="21"/>
                <w:vertAlign w:val="superscript"/>
              </w:rPr>
              <w:instrText>an Journal of Chemical Engineering&lt;/full-title&gt;&lt;/periodical&gt;&lt;pages&gt;280-289&lt;/pages&gt;&lt;volume&gt;85&lt;/volume&gt;&lt;number&gt;3&lt;/number&gt;&lt;dates&gt;&lt;year&gt;2007&lt;/year&gt;&lt;/dates&gt;&lt;isbn&gt;0008-4034&lt;/isbn&gt;&lt;urls&gt;&lt;/urls&gt;&lt;/record&gt;&lt;/Cite&gt;&lt;/EndNote&gt;</w:instrText>
            </w:r>
            <w:r w:rsidR="005531A4">
              <w:rPr>
                <w:rFonts w:eastAsia="KaiTi" w:cs="Arial"/>
                <w:szCs w:val="21"/>
                <w:vertAlign w:val="superscript"/>
              </w:rPr>
              <w:fldChar w:fldCharType="separate"/>
            </w:r>
            <w:r w:rsidR="00282AF2">
              <w:rPr>
                <w:rFonts w:eastAsia="KaiTi" w:cs="Arial"/>
                <w:noProof/>
                <w:szCs w:val="21"/>
                <w:vertAlign w:val="superscript"/>
              </w:rPr>
              <w:t>42</w:t>
            </w:r>
            <w:r w:rsidR="005531A4">
              <w:rPr>
                <w:rFonts w:eastAsia="KaiTi" w:cs="Arial"/>
                <w:szCs w:val="21"/>
                <w:vertAlign w:val="superscript"/>
              </w:rPr>
              <w:fldChar w:fldCharType="end"/>
            </w:r>
          </w:p>
        </w:tc>
        <w:tc>
          <w:tcPr>
            <w:tcW w:w="4567" w:type="dxa"/>
            <w:vAlign w:val="center"/>
            <w:hideMark/>
          </w:tcPr>
          <w:p w14:paraId="14AB6F28" w14:textId="77777777" w:rsidR="00290A16" w:rsidRPr="002501C4" w:rsidRDefault="00290A16" w:rsidP="00DC5748">
            <w:pPr>
              <w:spacing w:after="160"/>
              <w:jc w:val="center"/>
              <w:rPr>
                <w:rFonts w:eastAsia="KaiTi" w:cs="Arial"/>
                <w:szCs w:val="21"/>
              </w:rPr>
            </w:pPr>
            <w:r w:rsidRPr="002501C4">
              <w:rPr>
                <w:rFonts w:eastAsia="KaiTi" w:cs="Arial"/>
                <w:szCs w:val="21"/>
              </w:rPr>
              <w:t>Inverse bubbly flow column</w:t>
            </w:r>
          </w:p>
        </w:tc>
        <w:tc>
          <w:tcPr>
            <w:tcW w:w="1985" w:type="dxa"/>
            <w:vAlign w:val="center"/>
            <w:hideMark/>
          </w:tcPr>
          <w:p w14:paraId="0FD40BC1" w14:textId="77777777" w:rsidR="00290A16" w:rsidRPr="002501C4" w:rsidRDefault="00290A16" w:rsidP="00DC5748">
            <w:pPr>
              <w:spacing w:after="160"/>
              <w:jc w:val="center"/>
              <w:rPr>
                <w:rFonts w:eastAsia="KaiTi" w:cs="Arial"/>
                <w:szCs w:val="21"/>
              </w:rPr>
            </w:pPr>
            <w:r w:rsidRPr="002501C4">
              <w:rPr>
                <w:rFonts w:eastAsia="KaiTi" w:cs="Arial" w:hint="eastAsia"/>
                <w:szCs w:val="21"/>
              </w:rPr>
              <w:t>~</w:t>
            </w:r>
            <w:r w:rsidRPr="002501C4">
              <w:rPr>
                <w:rFonts w:eastAsia="KaiTi" w:cs="Arial"/>
                <w:szCs w:val="21"/>
              </w:rPr>
              <w:t>0.04</w:t>
            </w:r>
          </w:p>
        </w:tc>
      </w:tr>
      <w:tr w:rsidR="00290A16" w:rsidRPr="002501C4" w14:paraId="15A19570" w14:textId="77777777" w:rsidTr="00DC5748">
        <w:trPr>
          <w:jc w:val="center"/>
        </w:trPr>
        <w:tc>
          <w:tcPr>
            <w:tcW w:w="2096" w:type="dxa"/>
            <w:vAlign w:val="center"/>
            <w:hideMark/>
          </w:tcPr>
          <w:p w14:paraId="563E2F9A" w14:textId="732E92B0" w:rsidR="00290A16" w:rsidRPr="002501C4" w:rsidRDefault="00290A16" w:rsidP="00DC5748">
            <w:pPr>
              <w:spacing w:after="160"/>
              <w:jc w:val="center"/>
              <w:rPr>
                <w:rFonts w:eastAsia="KaiTi" w:cs="Arial"/>
                <w:szCs w:val="21"/>
              </w:rPr>
            </w:pPr>
            <w:r w:rsidRPr="002501C4">
              <w:rPr>
                <w:rFonts w:eastAsia="KaiTi" w:cs="Arial"/>
                <w:szCs w:val="21"/>
              </w:rPr>
              <w:t>Yue et al.</w:t>
            </w:r>
            <w:r w:rsidR="008E2F74">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&lt;EndNote&gt;&lt;Cite&gt;&lt;Author&gt;Yue&lt;/Author&gt;&lt;Year&gt;2007&lt;/Year&gt;&lt;RecNum&gt;392&lt;/RecNum&gt;&lt;DisplayText&gt;&lt;style face="superscript"&gt;43&lt;/style&gt;&lt;/DisplayText&gt;&lt;record&gt;&lt;rec-number&gt;392&lt;/rec-number&gt;&lt;foreign-keys&gt;&lt;key app="EN" db-id="0e5tz0z0ke5t29ex5r955wd3advpxrsstet0" timestamp="1773243117" guid="c5763835-137a-45d7-9986-10c16c6ce09f"&gt;392&lt;/key&gt;&lt;/foreign-keys&gt;&lt;ref-type name="Journal Article"&gt;17&lt;/ref-type&gt;&lt;contributors&gt;&lt;authors&gt;&lt;author&gt;Yue, Jun&lt;/author&gt;&lt;author&gt;Chen, Guangwen&lt;/author&gt;&lt;author&gt;Yuan, Quan&lt;/author&gt;&lt;author&gt;Luo, Lingai&lt;/author&gt;&lt;author&gt;Gonthier, Yves&lt;/author&gt;&lt;/authors&gt;&lt;/contributors&gt;&lt;titles&gt;&lt;title&gt;Hydrodynamics and mass transfer characteristics in gas–liquid flow through a rectangular microchannel&lt;/title&gt;&lt;secondary-title&gt;Chemical Engineering Science&lt;/secondary-title&gt;&lt;/titles&gt;&lt;periodical&gt;&lt;full-title&gt;Chemical Engineering Science&lt;/full-title&gt;&lt;/periodical&gt;&lt;pages&gt;2096-2108&lt;/pages&gt;&lt;volume&gt;62&lt;/volume&gt;&lt;number&gt;7&lt;/number&gt;&lt;dates&gt;&lt;year&gt;2007&lt;/year&gt;&lt;/dates&gt;&lt;isbn&gt;0009-2509&lt;/isbn&gt;&lt;urls&gt;&lt;/urls&gt;&lt;/record&gt;&lt;/Cite&gt;&lt;/EndNote&gt;</w:instrText>
            </w:r>
            <w:r w:rsidR="008E2F74">
              <w:rPr>
                <w:rFonts w:eastAsia="KaiTi" w:cs="Arial"/>
                <w:szCs w:val="21"/>
                <w:vertAlign w:val="superscript"/>
              </w:rPr>
              <w:fldChar w:fldCharType="separate"/>
            </w:r>
            <w:r w:rsidR="00282AF2">
              <w:rPr>
                <w:rFonts w:eastAsia="KaiTi" w:cs="Arial"/>
                <w:noProof/>
                <w:szCs w:val="21"/>
                <w:vertAlign w:val="superscript"/>
              </w:rPr>
              <w:t>43</w:t>
            </w:r>
            <w:r w:rsidR="008E2F74">
              <w:rPr>
                <w:rFonts w:eastAsia="KaiTi" w:cs="Arial"/>
                <w:szCs w:val="21"/>
                <w:vertAlign w:val="superscript"/>
              </w:rPr>
              <w:fldChar w:fldCharType="end"/>
            </w:r>
          </w:p>
        </w:tc>
        <w:tc>
          <w:tcPr>
            <w:tcW w:w="4567" w:type="dxa"/>
            <w:vAlign w:val="center"/>
            <w:hideMark/>
          </w:tcPr>
          <w:p w14:paraId="2AB516E4" w14:textId="77777777" w:rsidR="00290A16" w:rsidRPr="002501C4" w:rsidRDefault="00290A16" w:rsidP="00DC5748">
            <w:pPr>
              <w:spacing w:after="160"/>
              <w:jc w:val="center"/>
              <w:rPr>
                <w:rFonts w:eastAsia="KaiTi" w:cs="Arial"/>
                <w:szCs w:val="21"/>
              </w:rPr>
            </w:pPr>
            <w:r w:rsidRPr="002501C4">
              <w:rPr>
                <w:rFonts w:eastAsia="KaiTi" w:cs="Arial"/>
                <w:szCs w:val="21"/>
              </w:rPr>
              <w:t>Micro-channel</w:t>
            </w:r>
          </w:p>
        </w:tc>
        <w:tc>
          <w:tcPr>
            <w:tcW w:w="1985" w:type="dxa"/>
            <w:vAlign w:val="center"/>
            <w:hideMark/>
          </w:tcPr>
          <w:p w14:paraId="003BEA8B" w14:textId="77777777" w:rsidR="00290A16" w:rsidRPr="002501C4" w:rsidRDefault="00290A16" w:rsidP="00DC5748">
            <w:pPr>
              <w:spacing w:after="160"/>
              <w:jc w:val="center"/>
              <w:rPr>
                <w:rFonts w:eastAsia="KaiTi" w:cs="Arial"/>
                <w:szCs w:val="21"/>
              </w:rPr>
            </w:pPr>
            <w:r w:rsidRPr="002501C4">
              <w:rPr>
                <w:rFonts w:eastAsia="KaiTi" w:cs="Arial" w:hint="eastAsia"/>
                <w:szCs w:val="21"/>
              </w:rPr>
              <w:t>~</w:t>
            </w:r>
            <w:r w:rsidRPr="002501C4">
              <w:rPr>
                <w:rFonts w:eastAsia="KaiTi" w:cs="Arial"/>
                <w:szCs w:val="21"/>
              </w:rPr>
              <w:t>1000</w:t>
            </w:r>
          </w:p>
        </w:tc>
      </w:tr>
      <w:tr w:rsidR="00290A16" w:rsidRPr="002501C4" w14:paraId="6ABB41CF" w14:textId="77777777" w:rsidTr="00DC5748">
        <w:trPr>
          <w:jc w:val="center"/>
        </w:trPr>
        <w:tc>
          <w:tcPr>
            <w:tcW w:w="2096" w:type="dxa"/>
            <w:vAlign w:val="center"/>
            <w:hideMark/>
          </w:tcPr>
          <w:p w14:paraId="72EEB357" w14:textId="112865DC" w:rsidR="00290A16" w:rsidRPr="002501C4" w:rsidRDefault="00290A16" w:rsidP="00DC5748">
            <w:pPr>
              <w:spacing w:after="160"/>
              <w:jc w:val="center"/>
              <w:rPr>
                <w:rFonts w:eastAsia="KaiTi" w:cs="Arial"/>
                <w:szCs w:val="21"/>
              </w:rPr>
            </w:pPr>
            <w:r w:rsidRPr="002501C4">
              <w:rPr>
                <w:rFonts w:eastAsia="KaiTi" w:cs="Arial"/>
                <w:szCs w:val="21"/>
              </w:rPr>
              <w:t>Kasundra et al</w:t>
            </w:r>
            <w:r w:rsidRPr="002501C4">
              <w:rPr>
                <w:rFonts w:eastAsia="KaiTi" w:cs="Arial" w:hint="eastAsia"/>
                <w:szCs w:val="21"/>
              </w:rPr>
              <w:t>.</w:t>
            </w:r>
            <w:r w:rsidR="005C5C9C">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&lt;EndNote&gt;&lt;Cite&gt;&lt;Author&gt;Kasundra&lt;/Author&gt;&lt;Year&gt;2008&lt;/Year&gt;&lt;RecNum&gt;393&lt;/RecNum&gt;&lt;DisplayText&gt;&lt;style face="superscript"&gt;44&lt;/style&gt;&lt;/DisplayText&gt;&lt;record&gt;&lt;rec-number&gt;393&lt;/rec-number&gt;&lt;foreign-keys&gt;&lt;key app="EN" db-id="0e5tz0z0ke5t29ex5r955wd3advpxrsstet0" timestamp="1773243211" guid="6e36a9dc-381b-4b59-80da-8c5003d6c8d9"&gt;393&lt;/key&gt;&lt;/foreign-keys&gt;&lt;ref-type name="Journal Article"&gt;17&lt;/ref-type&gt;&lt;contributors&gt;&lt;authors&gt;&lt;author&gt;Kasundra, Rupesh B&lt;/author&gt;&lt;author&gt;Kulkarni, Anand V&lt;/author&gt;&lt;author&gt;Joshi, Jyeshtharaj B&lt;/author&gt;&lt;/authors&gt;&lt;/contributors&gt;&lt;titles&gt;&lt;title&gt;Hydrodynamic and mass transfer characteristics of single and multiple impeller hollow self-inducing reactors&lt;/title&gt;&lt;secondary-title&gt;Industrial &amp;amp; engineering chemistry research&lt;/secondary-title&gt;&lt;/titles&gt;&lt;periodical&gt;&lt;full-title&gt;Industrial &amp;amp; Engineering Chemistry Research&lt;/full-title&gt;&lt;/periodical&gt;&lt;pages&gt;2829-2841&lt;/pages&gt;&lt;volume&gt;47&lt;/volume&gt;&lt;number&gt;8&lt;/number&gt;&lt;dates&gt;&lt;year&gt;2008&lt;/year&gt;&lt;/dates&gt;&lt;isbn&gt;0888-5885&lt;/isbn&gt;&lt;urls&gt;&lt;/urls&gt;&lt;/record&gt;&lt;/Cite&gt;&lt;/EndNote&gt;</w:instrText>
            </w:r>
            <w:r w:rsidR="005C5C9C">
              <w:rPr>
                <w:rFonts w:eastAsia="KaiTi" w:cs="Arial"/>
                <w:szCs w:val="21"/>
                <w:vertAlign w:val="superscript"/>
              </w:rPr>
              <w:fldChar w:fldCharType="separate"/>
            </w:r>
            <w:r w:rsidR="00282AF2">
              <w:rPr>
                <w:rFonts w:eastAsia="KaiTi" w:cs="Arial"/>
                <w:noProof/>
                <w:szCs w:val="21"/>
                <w:vertAlign w:val="superscript"/>
              </w:rPr>
              <w:t>44</w:t>
            </w:r>
            <w:r w:rsidR="005C5C9C">
              <w:rPr>
                <w:rFonts w:eastAsia="KaiTi" w:cs="Arial"/>
                <w:szCs w:val="21"/>
                <w:vertAlign w:val="superscript"/>
              </w:rPr>
              <w:fldChar w:fldCharType="end"/>
            </w:r>
          </w:p>
        </w:tc>
        <w:tc>
          <w:tcPr>
            <w:tcW w:w="4567" w:type="dxa"/>
            <w:vAlign w:val="center"/>
            <w:hideMark/>
          </w:tcPr>
          <w:p w14:paraId="4A630E04" w14:textId="77777777" w:rsidR="00290A16" w:rsidRPr="002501C4" w:rsidRDefault="00290A16" w:rsidP="00DC5748">
            <w:pPr>
              <w:spacing w:after="160"/>
              <w:jc w:val="center"/>
              <w:rPr>
                <w:rFonts w:eastAsia="KaiTi" w:cs="Arial"/>
                <w:szCs w:val="21"/>
              </w:rPr>
            </w:pPr>
            <w:r w:rsidRPr="002501C4">
              <w:rPr>
                <w:rFonts w:eastAsia="KaiTi" w:cs="Arial"/>
                <w:szCs w:val="21"/>
              </w:rPr>
              <w:t>Stirred tank, multiimpeller</w:t>
            </w:r>
          </w:p>
        </w:tc>
        <w:tc>
          <w:tcPr>
            <w:tcW w:w="1985" w:type="dxa"/>
            <w:vAlign w:val="center"/>
            <w:hideMark/>
          </w:tcPr>
          <w:p w14:paraId="551D93C8" w14:textId="77777777" w:rsidR="00290A16" w:rsidRPr="002501C4" w:rsidRDefault="00290A16" w:rsidP="00DC5748">
            <w:pPr>
              <w:spacing w:after="160"/>
              <w:jc w:val="center"/>
              <w:rPr>
                <w:rFonts w:eastAsia="KaiTi" w:cs="Arial"/>
                <w:szCs w:val="21"/>
              </w:rPr>
            </w:pPr>
            <w:r w:rsidRPr="002501C4">
              <w:rPr>
                <w:rFonts w:eastAsia="KaiTi" w:cs="Arial"/>
                <w:szCs w:val="21"/>
              </w:rPr>
              <w:t>1–33</w:t>
            </w:r>
          </w:p>
        </w:tc>
      </w:tr>
      <w:tr w:rsidR="00290A16" w:rsidRPr="002501C4" w14:paraId="4E6DBA57" w14:textId="77777777" w:rsidTr="00DC5748">
        <w:trPr>
          <w:jc w:val="center"/>
        </w:trPr>
        <w:tc>
          <w:tcPr>
            <w:tcW w:w="2096" w:type="dxa"/>
            <w:vAlign w:val="center"/>
            <w:hideMark/>
          </w:tcPr>
          <w:p w14:paraId="2CD8A074" w14:textId="6684CC43" w:rsidR="00290A16" w:rsidRPr="002501C4" w:rsidRDefault="00290A16" w:rsidP="00DC5748">
            <w:pPr>
              <w:spacing w:after="160"/>
              <w:jc w:val="center"/>
              <w:rPr>
                <w:rFonts w:eastAsia="KaiTi" w:cs="Arial"/>
                <w:szCs w:val="21"/>
              </w:rPr>
            </w:pPr>
            <w:r w:rsidRPr="002501C4">
              <w:rPr>
                <w:rFonts w:eastAsia="KaiTi" w:cs="Arial"/>
                <w:szCs w:val="21"/>
              </w:rPr>
              <w:t>Terasaka et al.</w:t>
            </w:r>
            <w:r w:rsidR="00CC0BB0">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&lt;EndNote&gt;&lt;Cite&gt;&lt;Author&gt;Terasaka&lt;/Author&gt;&lt;Year&gt;2011&lt;/Year&gt;&lt;RecNum&gt;394&lt;/RecNum&gt;&lt;DisplayText&gt;&lt;style face="superscript"&gt;45&lt;/style&gt;&lt;/DisplayText&gt;&lt;record&gt;&lt;rec-number&gt;394&lt;/rec-number&gt;&lt;foreign-keys&gt;&lt;key app="EN" db-id="0e5tz0z0ke5t29ex5r955wd3advpxrsstet0" timestamp="1773243279" guid="536d6bae-96ac-4f01-8f16-f8cc27166008"&gt;394&lt;/key&gt;&lt;/foreign-keys&gt;&lt;ref-type name="Journal Article"&gt;17&lt;/ref-type&gt;&lt;contributors&gt;&lt;authors&gt;&lt;author&gt;Terasaka, Koichi&lt;/author&gt;&lt;author&gt;Hirabayashi, Ai&lt;/author&gt;&lt;author&gt;Nishino, Takanori&lt;/author&gt;&lt;author&gt;Fujioka, Satoko&lt;/author&gt;&lt;author&gt;Kobayashi, Daisuke&lt;/author&gt;&lt;/authors&gt;&lt;/contributors&gt;&lt;titles&gt;&lt;title&gt;Development of microbubble aerator for waste water treatment using aerobic activated sludge&lt;/title&gt;&lt;secondary-title&gt;Chemical engineering science&lt;/secondary-title&gt;&lt;/titles&gt;&lt;periodical&gt;&lt;full-title&gt;Chemical Engineering Science&lt;/full-title&gt;&lt;/periodical&gt;&lt;pages&gt;3172-3179&lt;/pages&gt;&lt;volume&gt;66&lt;/volume&gt;&lt;number&gt;14&lt;/number&gt;&lt;dates&gt;&lt;year&gt;2011&lt;/year&gt;&lt;/dates&gt;&lt;isbn&gt;0009-2509&lt;/isbn&gt;&lt;urls&gt;&lt;/urls&gt;&lt;/record&gt;&lt;/Cite&gt;&lt;/EndNote&gt;</w:instrText>
            </w:r>
            <w:r w:rsidR="00CC0BB0">
              <w:rPr>
                <w:rFonts w:eastAsia="KaiTi" w:cs="Arial"/>
                <w:szCs w:val="21"/>
                <w:vertAlign w:val="superscript"/>
              </w:rPr>
              <w:fldChar w:fldCharType="separate"/>
            </w:r>
            <w:r w:rsidR="00282AF2">
              <w:rPr>
                <w:rFonts w:eastAsia="KaiTi" w:cs="Arial"/>
                <w:noProof/>
                <w:szCs w:val="21"/>
                <w:vertAlign w:val="superscript"/>
              </w:rPr>
              <w:t>45</w:t>
            </w:r>
            <w:r w:rsidR="00CC0BB0">
              <w:rPr>
                <w:rFonts w:eastAsia="KaiTi" w:cs="Arial"/>
                <w:szCs w:val="21"/>
                <w:vertAlign w:val="superscript"/>
              </w:rPr>
              <w:fldChar w:fldCharType="end"/>
            </w:r>
          </w:p>
        </w:tc>
        <w:tc>
          <w:tcPr>
            <w:tcW w:w="4567" w:type="dxa"/>
            <w:vAlign w:val="center"/>
            <w:hideMark/>
          </w:tcPr>
          <w:p w14:paraId="0D905E75" w14:textId="77777777" w:rsidR="00290A16" w:rsidRPr="002501C4" w:rsidRDefault="00290A16" w:rsidP="00DC5748">
            <w:pPr>
              <w:spacing w:after="160"/>
              <w:jc w:val="center"/>
              <w:rPr>
                <w:rFonts w:eastAsia="KaiTi" w:cs="Arial"/>
                <w:szCs w:val="21"/>
              </w:rPr>
            </w:pPr>
            <w:r w:rsidRPr="002501C4">
              <w:rPr>
                <w:rFonts w:eastAsia="KaiTi" w:cs="Arial"/>
                <w:szCs w:val="21"/>
              </w:rPr>
              <w:t>Spiral flow microbubbler</w:t>
            </w:r>
          </w:p>
        </w:tc>
        <w:tc>
          <w:tcPr>
            <w:tcW w:w="1985" w:type="dxa"/>
            <w:vAlign w:val="center"/>
            <w:hideMark/>
          </w:tcPr>
          <w:p w14:paraId="76845996" w14:textId="77777777" w:rsidR="00290A16" w:rsidRPr="002501C4" w:rsidRDefault="00290A16" w:rsidP="00DC5748">
            <w:pPr>
              <w:spacing w:after="160"/>
              <w:jc w:val="center"/>
              <w:rPr>
                <w:rFonts w:eastAsia="KaiTi" w:cs="Arial"/>
                <w:szCs w:val="21"/>
              </w:rPr>
            </w:pPr>
            <w:r w:rsidRPr="002501C4">
              <w:rPr>
                <w:rFonts w:ascii="Cambria Math" w:eastAsia="KaiTi" w:hAnsi="Cambria Math" w:cs="Cambria Math"/>
                <w:szCs w:val="21"/>
              </w:rPr>
              <w:t>∼</w:t>
            </w:r>
            <w:r w:rsidRPr="002501C4">
              <w:rPr>
                <w:rFonts w:eastAsia="KaiTi" w:cs="Arial"/>
                <w:szCs w:val="21"/>
              </w:rPr>
              <w:t>0.1</w:t>
            </w:r>
          </w:p>
        </w:tc>
      </w:tr>
      <w:tr w:rsidR="00290A16" w:rsidRPr="002501C4" w14:paraId="7B545942" w14:textId="77777777" w:rsidTr="00DC5748">
        <w:trPr>
          <w:jc w:val="center"/>
        </w:trPr>
        <w:tc>
          <w:tcPr>
            <w:tcW w:w="2096" w:type="dxa"/>
            <w:vAlign w:val="center"/>
            <w:hideMark/>
          </w:tcPr>
          <w:p w14:paraId="62927658" w14:textId="55A6D428" w:rsidR="00290A16" w:rsidRPr="002501C4" w:rsidRDefault="00290A16" w:rsidP="00DC5748">
            <w:pPr>
              <w:spacing w:after="160"/>
              <w:jc w:val="center"/>
              <w:rPr>
                <w:rFonts w:eastAsia="KaiTi" w:cs="Arial"/>
                <w:szCs w:val="21"/>
              </w:rPr>
            </w:pPr>
            <w:r w:rsidRPr="002501C4">
              <w:rPr>
                <w:rFonts w:eastAsia="KaiTi" w:cs="Arial"/>
                <w:szCs w:val="21"/>
              </w:rPr>
              <w:t xml:space="preserve">Ansari et al. </w:t>
            </w:r>
            <w:r w:rsidR="00A43E45">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&lt;EndNote&gt;&lt;Cite&gt;&lt;Author&gt;Ansari&lt;/Author&gt;&lt;Year&gt;2018&lt;/Year&gt;&lt;RecNum&gt;395&lt;/RecNum&gt;&lt;DisplayText&gt;&lt;style face="superscript"&gt;46&lt;/style&gt;&lt;/DisplayText&gt;&lt;record&gt;&lt;rec-number&gt;395&lt;/rec-number&gt;&lt;foreign-keys&gt;&lt;key app="EN" db-id="0e5tz0z0ke5t29ex5r955wd3advpxrsstet0" timestamp="1773243327" guid="197503b8-83f4-473a-883f-aee6dc84e62e"&gt;395&lt;/key&gt;&lt;/foreign-keys&gt;&lt;ref-type name="Journal Article"&gt;17&lt;/ref-type&gt;&lt;contributors&gt;&lt;authors&gt;&lt;author&gt;Ansari, Manizheh&lt;/author&gt;&lt;author&gt;Turney, Damon E&lt;/author&gt;&lt;author&gt;Yakobov, Roman&lt;/author&gt;&lt;author&gt;Kalaga, Dinesh V&lt;/author&gt;&lt;author&gt;Kleinbart, Simon&lt;/author&gt;&lt;author&gt;Banerjee, Sanjoy&lt;/author&gt;&lt;author&gt;Joshi, Jyeshtharaj B&lt;/author&gt;&lt;/authors&gt;&lt;/contributors&gt;&lt;titles&gt;&lt;title&gt;Chemical hydrodynamics of a downward microbubble flow for intensificati</w:instrText>
            </w:r>
            <w:r w:rsidR="00282AF2">
              <w:rPr>
                <w:rFonts w:eastAsia="KaiTi" w:cs="Arial" w:hint="eastAsia"/>
                <w:szCs w:val="21"/>
                <w:vertAlign w:val="superscript"/>
              </w:rPr>
              <w:instrText>on of gas</w:instrText>
            </w:r>
            <w:r w:rsidR="00282AF2">
              <w:rPr>
                <w:rFonts w:eastAsia="KaiTi" w:cs="Arial" w:hint="eastAsia"/>
                <w:szCs w:val="21"/>
                <w:vertAlign w:val="superscript"/>
              </w:rPr>
              <w:instrText>‐</w:instrText>
            </w:r>
            <w:r w:rsidR="00282AF2">
              <w:rPr>
                <w:rFonts w:eastAsia="KaiTi" w:cs="Arial" w:hint="eastAsia"/>
                <w:szCs w:val="21"/>
                <w:vertAlign w:val="superscript"/>
              </w:rPr>
              <w:instrText>fed bioreactors&lt;/title&gt;&lt;secondary-title&gt;AIChE Journal&lt;/secondary-title&gt;&lt;/titles&gt;&lt;periodical&gt;&lt;full-title&gt;Aiche Journal&lt;/full-title&gt;&lt;/periodical&gt;&lt;pages&gt;1399-1411&lt;/pages&gt;&lt;volume&gt;64&lt;/volume&gt;&lt;number&gt;4&lt;/number&gt;&lt;dates&gt;&lt;year&gt;2018&lt;/year&gt;&lt;/dates&gt;&lt;isbn&gt;000</w:instrText>
            </w:r>
            <w:r w:rsidR="00282AF2">
              <w:rPr>
                <w:rFonts w:eastAsia="KaiTi" w:cs="Arial"/>
                <w:szCs w:val="21"/>
                <w:vertAlign w:val="superscript"/>
              </w:rPr>
              <w:instrText>1-1541&lt;/isbn&gt;&lt;urls&gt;&lt;/urls&gt;&lt;/record&gt;&lt;/Cite&gt;&lt;/EndNote&gt;</w:instrText>
            </w:r>
            <w:r w:rsidR="00A43E45">
              <w:rPr>
                <w:rFonts w:eastAsia="KaiTi" w:cs="Arial"/>
                <w:szCs w:val="21"/>
                <w:vertAlign w:val="superscript"/>
              </w:rPr>
              <w:fldChar w:fldCharType="separate"/>
            </w:r>
            <w:r w:rsidR="00282AF2">
              <w:rPr>
                <w:rFonts w:eastAsia="KaiTi" w:cs="Arial"/>
                <w:noProof/>
                <w:szCs w:val="21"/>
                <w:vertAlign w:val="superscript"/>
              </w:rPr>
              <w:t>46</w:t>
            </w:r>
            <w:r w:rsidR="00A43E45">
              <w:rPr>
                <w:rFonts w:eastAsia="KaiTi" w:cs="Arial"/>
                <w:szCs w:val="21"/>
                <w:vertAlign w:val="superscript"/>
              </w:rPr>
              <w:fldChar w:fldCharType="end"/>
            </w:r>
          </w:p>
        </w:tc>
        <w:tc>
          <w:tcPr>
            <w:tcW w:w="4567" w:type="dxa"/>
            <w:vAlign w:val="center"/>
            <w:hideMark/>
          </w:tcPr>
          <w:p w14:paraId="27D2E689" w14:textId="77777777" w:rsidR="00290A16" w:rsidRPr="002501C4" w:rsidRDefault="00290A16" w:rsidP="00DC5748">
            <w:pPr>
              <w:spacing w:after="160"/>
              <w:jc w:val="center"/>
              <w:rPr>
                <w:rFonts w:eastAsia="KaiTi" w:cs="Arial"/>
                <w:szCs w:val="21"/>
              </w:rPr>
            </w:pPr>
            <w:r w:rsidRPr="002501C4">
              <w:rPr>
                <w:rFonts w:eastAsia="KaiTi" w:cs="Arial"/>
                <w:szCs w:val="21"/>
              </w:rPr>
              <w:t>Downward micro-jet array</w:t>
            </w:r>
          </w:p>
        </w:tc>
        <w:tc>
          <w:tcPr>
            <w:tcW w:w="1985" w:type="dxa"/>
            <w:vAlign w:val="center"/>
            <w:hideMark/>
          </w:tcPr>
          <w:p w14:paraId="60E2E411" w14:textId="77777777" w:rsidR="00290A16" w:rsidRPr="002501C4" w:rsidRDefault="00290A16" w:rsidP="00DC5748">
            <w:pPr>
              <w:spacing w:after="160"/>
              <w:jc w:val="center"/>
              <w:rPr>
                <w:rFonts w:eastAsia="KaiTi" w:cs="Arial"/>
                <w:szCs w:val="21"/>
              </w:rPr>
            </w:pPr>
            <w:r w:rsidRPr="002501C4">
              <w:rPr>
                <w:rFonts w:eastAsia="KaiTi" w:cs="Arial"/>
                <w:szCs w:val="21"/>
              </w:rPr>
              <w:t>0.015</w:t>
            </w:r>
          </w:p>
        </w:tc>
      </w:tr>
      <w:tr w:rsidR="00290A16" w:rsidRPr="002501C4" w14:paraId="10376299" w14:textId="77777777" w:rsidTr="00DC5748">
        <w:trPr>
          <w:jc w:val="center"/>
        </w:trPr>
        <w:tc>
          <w:tcPr>
            <w:tcW w:w="2096" w:type="dxa"/>
            <w:vAlign w:val="center"/>
            <w:hideMark/>
          </w:tcPr>
          <w:p w14:paraId="6DF12732" w14:textId="4009418A" w:rsidR="00290A16" w:rsidRPr="002501C4" w:rsidRDefault="00290A16" w:rsidP="00DC5748">
            <w:pPr>
              <w:spacing w:after="160"/>
              <w:jc w:val="center"/>
              <w:rPr>
                <w:rFonts w:eastAsia="KaiTi" w:cs="Arial"/>
                <w:szCs w:val="21"/>
              </w:rPr>
            </w:pPr>
            <w:r w:rsidRPr="002501C4">
              <w:rPr>
                <w:rFonts w:eastAsia="KaiTi" w:cs="Arial"/>
                <w:szCs w:val="21"/>
              </w:rPr>
              <w:t xml:space="preserve">Ansari et al. </w:t>
            </w:r>
            <w:r w:rsidR="00E60358">
              <w:rPr>
                <w:rFonts w:eastAsia="KaiTi" w:cs="Arial"/>
                <w:szCs w:val="21"/>
                <w:vertAlign w:val="superscript"/>
              </w:rPr>
              <w:fldChar w:fldCharType="begin"/>
            </w:r>
            <w:r w:rsidR="00282AF2">
              <w:rPr>
                <w:rFonts w:eastAsia="KaiTi" w:cs="Arial"/>
                <w:szCs w:val="21"/>
                <w:vertAlign w:val="superscript"/>
              </w:rPr>
              <w:instrText xml:space="preserve"> ADDIN EN.CITE &lt;EndNote&gt;&lt;Cite&gt;&lt;Author&gt;Ansari&lt;/Author&gt;&lt;Year&gt;2018&lt;/Year&gt;&lt;RecNum&gt;396&lt;/RecNum&gt;&lt;DisplayText&gt;&lt;style face="superscript"&gt;47&lt;/style&gt;&lt;/DisplayText&gt;&lt;record&gt;&lt;rec-number&gt;396&lt;/rec-number&gt;&lt;foreign-keys&gt;&lt;key app="EN" db-id="0e5tz0z0ke5t29ex5r955wd3advpxrsstet0" timestamp="1773243378" guid="b25c29f1-4b2b-4233-970e-fa3a86fb985a"&gt;396&lt;/key&gt;&lt;/foreign-keys&gt;&lt;ref-type name="Journal Article"&gt;17&lt;/ref-type&gt;&lt;contributors&gt;&lt;authors&gt;&lt;author&gt;Ansari, Manizheh&lt;/author&gt;&lt;author&gt;Bokhari, Hussain Haider&lt;/author&gt;&lt;author&gt;Turney, Damon Economy&lt;/author&gt;&lt;/authors&gt;&lt;/contributors&gt;&lt;titles&gt;&lt;title&gt;Energy efficiency and performance of bubble generating systems&lt;/title&gt;&lt;secondary-title&gt;Chemical Engineering and Processing-Process Intensification&lt;/secondary-title&gt;&lt;/titles&gt;&lt;periodical&gt;&lt;full-title&gt;Chemical Engineering and Processing-Process Intensification&lt;/full-title&gt;&lt;/periodical&gt;&lt;pages&gt;44-55&lt;/pages&gt;&lt;volume&gt;125&lt;/volume&gt;&lt;dates&gt;&lt;year&gt;2018&lt;/year&gt;&lt;/dates&gt;&lt;isbn&gt;0255-2701&lt;/isbn&gt;&lt;urls&gt;&lt;/urls&gt;&lt;/record&gt;&lt;/Cite&gt;&lt;/EndNote&gt;</w:instrText>
            </w:r>
            <w:r w:rsidR="00E60358">
              <w:rPr>
                <w:rFonts w:eastAsia="KaiTi" w:cs="Arial"/>
                <w:szCs w:val="21"/>
                <w:vertAlign w:val="superscript"/>
              </w:rPr>
              <w:fldChar w:fldCharType="separate"/>
            </w:r>
            <w:r w:rsidR="00282AF2">
              <w:rPr>
                <w:rFonts w:eastAsia="KaiTi" w:cs="Arial"/>
                <w:noProof/>
                <w:szCs w:val="21"/>
                <w:vertAlign w:val="superscript"/>
              </w:rPr>
              <w:t>47</w:t>
            </w:r>
            <w:r w:rsidR="00E60358">
              <w:rPr>
                <w:rFonts w:eastAsia="KaiTi" w:cs="Arial"/>
                <w:szCs w:val="21"/>
                <w:vertAlign w:val="superscript"/>
              </w:rPr>
              <w:fldChar w:fldCharType="end"/>
            </w:r>
          </w:p>
        </w:tc>
        <w:tc>
          <w:tcPr>
            <w:tcW w:w="4567" w:type="dxa"/>
            <w:vAlign w:val="center"/>
            <w:hideMark/>
          </w:tcPr>
          <w:p w14:paraId="57798A7F" w14:textId="77777777" w:rsidR="00290A16" w:rsidRPr="002501C4" w:rsidRDefault="00290A16" w:rsidP="00DC5748">
            <w:pPr>
              <w:spacing w:after="160"/>
              <w:jc w:val="center"/>
              <w:rPr>
                <w:rFonts w:eastAsia="KaiTi" w:cs="Arial"/>
                <w:szCs w:val="21"/>
              </w:rPr>
            </w:pPr>
            <w:r w:rsidRPr="002501C4">
              <w:rPr>
                <w:rFonts w:eastAsia="KaiTi" w:cs="Arial"/>
                <w:szCs w:val="21"/>
              </w:rPr>
              <w:t>Micro-ejector, best case, water</w:t>
            </w:r>
          </w:p>
        </w:tc>
        <w:tc>
          <w:tcPr>
            <w:tcW w:w="1985" w:type="dxa"/>
            <w:vAlign w:val="center"/>
            <w:hideMark/>
          </w:tcPr>
          <w:p w14:paraId="6CC3022D" w14:textId="77777777" w:rsidR="00290A16" w:rsidRPr="002501C4" w:rsidRDefault="00290A16" w:rsidP="00DC5748">
            <w:pPr>
              <w:spacing w:after="160"/>
              <w:jc w:val="center"/>
              <w:rPr>
                <w:rFonts w:eastAsia="KaiTi" w:cs="Arial"/>
                <w:szCs w:val="21"/>
              </w:rPr>
            </w:pPr>
            <w:r w:rsidRPr="002501C4">
              <w:rPr>
                <w:rFonts w:ascii="Cambria Math" w:eastAsia="KaiTi" w:hAnsi="Cambria Math" w:cs="Cambria Math"/>
                <w:szCs w:val="21"/>
              </w:rPr>
              <w:t>∼</w:t>
            </w:r>
            <w:r w:rsidRPr="002501C4">
              <w:rPr>
                <w:rFonts w:eastAsia="KaiTi" w:cs="Arial"/>
                <w:szCs w:val="21"/>
              </w:rPr>
              <w:t>0.015</w:t>
            </w:r>
          </w:p>
        </w:tc>
      </w:tr>
      <w:tr w:rsidR="00290A16" w:rsidRPr="002501C4" w14:paraId="2FC0961A" w14:textId="77777777" w:rsidTr="00DC5748">
        <w:trPr>
          <w:jc w:val="center"/>
        </w:trPr>
        <w:tc>
          <w:tcPr>
            <w:tcW w:w="2096" w:type="dxa"/>
            <w:vAlign w:val="center"/>
            <w:hideMark/>
          </w:tcPr>
          <w:p w14:paraId="37CE50F0" w14:textId="77777777" w:rsidR="00290A16" w:rsidRPr="002501C4" w:rsidRDefault="00290A16" w:rsidP="00DC5748">
            <w:pPr>
              <w:spacing w:after="160"/>
              <w:jc w:val="center"/>
              <w:rPr>
                <w:rFonts w:eastAsia="KaiTi" w:cs="Arial"/>
                <w:szCs w:val="21"/>
              </w:rPr>
            </w:pPr>
            <w:r w:rsidRPr="002501C4">
              <w:rPr>
                <w:rFonts w:eastAsia="KaiTi" w:cs="Arial" w:hint="eastAsia"/>
                <w:szCs w:val="21"/>
              </w:rPr>
              <w:t>Our work</w:t>
            </w:r>
          </w:p>
        </w:tc>
        <w:tc>
          <w:tcPr>
            <w:tcW w:w="4567" w:type="dxa"/>
            <w:vAlign w:val="center"/>
            <w:hideMark/>
          </w:tcPr>
          <w:p w14:paraId="0103DA5D" w14:textId="77777777" w:rsidR="00290A16" w:rsidRPr="002501C4" w:rsidRDefault="00290A16" w:rsidP="00DC5748">
            <w:pPr>
              <w:spacing w:after="160"/>
              <w:jc w:val="center"/>
              <w:rPr>
                <w:rFonts w:eastAsia="KaiTi" w:cs="Arial"/>
                <w:szCs w:val="21"/>
              </w:rPr>
            </w:pPr>
            <w:r w:rsidRPr="002501C4">
              <w:rPr>
                <w:rFonts w:eastAsia="KaiTi" w:cs="Arial"/>
                <w:szCs w:val="21"/>
              </w:rPr>
              <w:t>Gas-liquid co-current jet reacto</w:t>
            </w:r>
            <w:r w:rsidRPr="002501C4">
              <w:rPr>
                <w:rFonts w:eastAsia="KaiTi" w:cs="Arial" w:hint="eastAsia"/>
                <w:szCs w:val="21"/>
              </w:rPr>
              <w:t>r</w:t>
            </w:r>
          </w:p>
        </w:tc>
        <w:tc>
          <w:tcPr>
            <w:tcW w:w="1985" w:type="dxa"/>
            <w:vAlign w:val="center"/>
            <w:hideMark/>
          </w:tcPr>
          <w:p w14:paraId="0BDCC6BA" w14:textId="77777777" w:rsidR="00290A16" w:rsidRPr="002501C4" w:rsidRDefault="00290A16" w:rsidP="00DC5748">
            <w:pPr>
              <w:spacing w:after="160"/>
              <w:jc w:val="center"/>
              <w:rPr>
                <w:rFonts w:eastAsia="KaiTi" w:cs="Arial"/>
                <w:szCs w:val="21"/>
              </w:rPr>
            </w:pPr>
            <w:r w:rsidRPr="002501C4">
              <w:rPr>
                <w:rFonts w:eastAsia="KaiTi" w:cs="Arial" w:hint="eastAsia"/>
                <w:szCs w:val="21"/>
              </w:rPr>
              <w:t>~0.009</w:t>
            </w:r>
          </w:p>
        </w:tc>
      </w:tr>
      <w:tr w:rsidR="00290A16" w:rsidRPr="002501C4" w14:paraId="58B7FB4E" w14:textId="77777777" w:rsidTr="00DC5748">
        <w:trPr>
          <w:jc w:val="center"/>
        </w:trPr>
        <w:tc>
          <w:tcPr>
            <w:tcW w:w="2096" w:type="dxa"/>
            <w:tcBorders>
              <w:bottom w:val="single" w:sz="4" w:space="0" w:color="auto"/>
            </w:tcBorders>
            <w:vAlign w:val="center"/>
            <w:hideMark/>
          </w:tcPr>
          <w:p w14:paraId="0A4B4232" w14:textId="77777777" w:rsidR="00290A16" w:rsidRPr="002501C4" w:rsidRDefault="00290A16" w:rsidP="00DC5748">
            <w:pPr>
              <w:spacing w:after="160"/>
              <w:jc w:val="center"/>
              <w:rPr>
                <w:rFonts w:eastAsia="KaiTi" w:cs="Arial"/>
                <w:szCs w:val="21"/>
              </w:rPr>
            </w:pPr>
            <w:r w:rsidRPr="002501C4">
              <w:rPr>
                <w:rFonts w:eastAsia="KaiTi" w:cs="Arial"/>
                <w:szCs w:val="21"/>
              </w:rPr>
              <w:t>Perfect efficiency</w:t>
            </w:r>
          </w:p>
        </w:tc>
        <w:tc>
          <w:tcPr>
            <w:tcW w:w="4567" w:type="dxa"/>
            <w:tcBorders>
              <w:bottom w:val="single" w:sz="4" w:space="0" w:color="auto"/>
            </w:tcBorders>
            <w:vAlign w:val="center"/>
            <w:hideMark/>
          </w:tcPr>
          <w:p w14:paraId="043732B9" w14:textId="77777777" w:rsidR="00290A16" w:rsidRPr="002501C4" w:rsidRDefault="00290A16" w:rsidP="00DC5748">
            <w:pPr>
              <w:spacing w:after="160"/>
              <w:jc w:val="center"/>
              <w:rPr>
                <w:rFonts w:eastAsia="KaiTi" w:cs="Arial"/>
                <w:szCs w:val="21"/>
              </w:rPr>
            </w:pPr>
            <w:r w:rsidRPr="002501C4">
              <w:rPr>
                <w:rFonts w:eastAsia="KaiTi" w:cs="Arial"/>
                <w:szCs w:val="21"/>
              </w:rPr>
              <w:t>Theoretical, perfect efficiency</w:t>
            </w:r>
          </w:p>
        </w:tc>
        <w:tc>
          <w:tcPr>
            <w:tcW w:w="1985" w:type="dxa"/>
            <w:tcBorders>
              <w:bottom w:val="single" w:sz="4" w:space="0" w:color="auto"/>
            </w:tcBorders>
            <w:vAlign w:val="center"/>
            <w:hideMark/>
          </w:tcPr>
          <w:p w14:paraId="54A1A807" w14:textId="77777777" w:rsidR="00290A16" w:rsidRPr="002501C4" w:rsidRDefault="00290A16" w:rsidP="00DC5748">
            <w:pPr>
              <w:spacing w:after="160"/>
              <w:jc w:val="center"/>
              <w:rPr>
                <w:rFonts w:eastAsia="KaiTi" w:cs="Arial"/>
                <w:szCs w:val="21"/>
              </w:rPr>
            </w:pPr>
            <w:r w:rsidRPr="002501C4">
              <w:rPr>
                <w:rFonts w:eastAsia="KaiTi" w:cs="Arial"/>
                <w:szCs w:val="21"/>
              </w:rPr>
              <w:t>0.00007</w:t>
            </w:r>
          </w:p>
        </w:tc>
      </w:tr>
    </w:tbl>
    <w:p w14:paraId="5AB794DC" w14:textId="755C4EF9" w:rsidR="005E33B9" w:rsidRPr="005E33B9" w:rsidRDefault="005E33B9" w:rsidP="00290A16">
      <w:pPr>
        <w:spacing w:line="360" w:lineRule="auto"/>
        <w:ind w:firstLine="420"/>
        <w:rPr>
          <w:rFonts w:cs="Arial"/>
          <w:szCs w:val="22"/>
        </w:rPr>
      </w:pPr>
      <w:r w:rsidRPr="005E33B9">
        <w:rPr>
          <w:rFonts w:cs="Arial"/>
          <w:szCs w:val="22"/>
        </w:rPr>
        <w:t>The interfacial generation energy can then be expressed as</w:t>
      </w:r>
    </w:p>
    <w:p w14:paraId="4FD6A040" w14:textId="6DAFAE9A" w:rsidR="005E33B9" w:rsidRPr="005E33B9" w:rsidRDefault="005E33B9" w:rsidP="005E33B9">
      <w:pPr>
        <w:spacing w:line="360" w:lineRule="auto"/>
        <w:ind w:firstLine="420"/>
        <w:rPr>
          <w:rFonts w:cs="Arial"/>
          <w:szCs w:val="22"/>
        </w:rPr>
      </w:pPr>
      <m:oMathPara>
        <m:oMath>
          <m:r>
            <w:rPr>
              <w:rFonts w:ascii="Cambria Math" w:hAnsi="Cambria Math" w:cs="Arial"/>
              <w:szCs w:val="22"/>
            </w:rPr>
            <m:t>E=ξ⋅a⋅</m:t>
          </m:r>
          <m:sSub>
            <m:sSubPr>
              <m:ctrlPr>
                <w:rPr>
                  <w:rFonts w:ascii="Cambria Math" w:hAnsi="Cambria Math" w:cs="Arial"/>
                  <w:szCs w:val="22"/>
                </w:rPr>
              </m:ctrlPr>
            </m:sSubPr>
            <m:e>
              <m:r>
                <w:rPr>
                  <w:rFonts w:ascii="Cambria Math" w:hAnsi="Cambria Math" w:cs="Arial"/>
                  <w:szCs w:val="22"/>
                </w:rPr>
                <m:t>V</m:t>
              </m:r>
            </m:e>
            <m:sub>
              <m:r>
                <m:rPr>
                  <m:nor/>
                </m:rPr>
                <w:rPr>
                  <w:rFonts w:cs="Arial"/>
                  <w:szCs w:val="22"/>
                </w:rPr>
                <m:t>MIS</m:t>
              </m:r>
            </m:sub>
          </m:sSub>
        </m:oMath>
      </m:oMathPara>
    </w:p>
    <w:p w14:paraId="77CE9967" w14:textId="7CEFC64B" w:rsidR="005E33B9" w:rsidRPr="005E33B9" w:rsidRDefault="005E33B9" w:rsidP="005E33B9">
      <w:pPr>
        <w:spacing w:line="360" w:lineRule="auto"/>
        <w:ind w:firstLine="420"/>
        <w:rPr>
          <w:rFonts w:cs="Arial"/>
          <w:szCs w:val="22"/>
        </w:rPr>
      </w:pPr>
      <w:r w:rsidRPr="005E33B9">
        <w:rPr>
          <w:rFonts w:cs="Arial"/>
          <w:szCs w:val="22"/>
        </w:rPr>
        <w:t xml:space="preserve">where </w:t>
      </w:r>
      <m:oMath>
        <m:r>
          <w:rPr>
            <w:rFonts w:ascii="Cambria Math" w:hAnsi="Cambria Math" w:cs="Arial"/>
            <w:szCs w:val="22"/>
          </w:rPr>
          <m:t>a</m:t>
        </m:r>
      </m:oMath>
      <w:r w:rsidRPr="005E33B9">
        <w:rPr>
          <w:rFonts w:cs="Arial"/>
          <w:szCs w:val="22"/>
        </w:rPr>
        <w:t>is the interfacial area density (m² m</w:t>
      </w:r>
      <w:r w:rsidRPr="005E33B9">
        <w:rPr>
          <w:rFonts w:ascii="Cambria Math" w:hAnsi="Cambria Math" w:cs="Cambria Math"/>
          <w:szCs w:val="22"/>
        </w:rPr>
        <w:t>⁻</w:t>
      </w:r>
      <w:r w:rsidRPr="005E33B9">
        <w:rPr>
          <w:rFonts w:cs="Arial"/>
          <w:szCs w:val="22"/>
        </w:rPr>
        <w:t xml:space="preserve">³), </w:t>
      </w:r>
      <m:oMath>
        <m:r>
          <w:rPr>
            <w:rFonts w:ascii="Cambria Math" w:hAnsi="Cambria Math" w:cs="Arial"/>
            <w:szCs w:val="22"/>
          </w:rPr>
          <m:t>ξ</m:t>
        </m:r>
      </m:oMath>
      <w:r w:rsidRPr="005E33B9">
        <w:rPr>
          <w:rFonts w:cs="Arial"/>
          <w:szCs w:val="22"/>
        </w:rPr>
        <w:t>is the interfacial energy density (kJ m</w:t>
      </w:r>
      <w:r w:rsidRPr="005E33B9">
        <w:rPr>
          <w:rFonts w:ascii="Cambria Math" w:hAnsi="Cambria Math" w:cs="Cambria Math"/>
          <w:szCs w:val="22"/>
        </w:rPr>
        <w:t>⁻</w:t>
      </w:r>
      <w:r w:rsidRPr="005E33B9">
        <w:rPr>
          <w:rFonts w:cs="Arial"/>
          <w:szCs w:val="22"/>
        </w:rPr>
        <w:t xml:space="preserve">²), and </w:t>
      </w:r>
      <m:oMath>
        <m:sSub>
          <m:sSubPr>
            <m:ctrlPr>
              <w:rPr>
                <w:rFonts w:ascii="Cambria Math" w:hAnsi="Cambria Math" w:cs="Arial"/>
                <w:szCs w:val="22"/>
              </w:rPr>
            </m:ctrlPr>
          </m:sSubPr>
          <m:e>
            <m:r>
              <w:rPr>
                <w:rFonts w:ascii="Cambria Math" w:hAnsi="Cambria Math" w:cs="Arial"/>
                <w:szCs w:val="22"/>
              </w:rPr>
              <m:t>V</m:t>
            </m:r>
          </m:e>
          <m:sub>
            <m:r>
              <m:rPr>
                <m:nor/>
              </m:rPr>
              <w:rPr>
                <w:rFonts w:cs="Arial"/>
                <w:szCs w:val="22"/>
              </w:rPr>
              <m:t>MIS</m:t>
            </m:r>
          </m:sub>
        </m:sSub>
      </m:oMath>
      <w:r w:rsidRPr="005E33B9">
        <w:rPr>
          <w:rFonts w:cs="Arial"/>
          <w:szCs w:val="22"/>
        </w:rPr>
        <w:t xml:space="preserve">is the gas volume entering the MIS module (m³). The resulting </w:t>
      </w:r>
      <m:oMath>
        <m:r>
          <w:rPr>
            <w:rFonts w:ascii="Cambria Math" w:hAnsi="Cambria Math" w:cs="Arial"/>
            <w:szCs w:val="22"/>
          </w:rPr>
          <m:t>E</m:t>
        </m:r>
      </m:oMath>
      <w:r w:rsidRPr="005E33B9">
        <w:rPr>
          <w:rFonts w:cs="Arial"/>
          <w:szCs w:val="22"/>
        </w:rPr>
        <w:t>represents the electrical energy consumption required per ton of CO</w:t>
      </w:r>
      <w:r w:rsidRPr="005E33B9">
        <w:rPr>
          <w:rFonts w:ascii="Cambria Math" w:hAnsi="Cambria Math" w:cs="Cambria Math"/>
          <w:szCs w:val="22"/>
        </w:rPr>
        <w:t>₂</w:t>
      </w:r>
      <w:r w:rsidRPr="005E33B9">
        <w:rPr>
          <w:rFonts w:cs="Arial"/>
          <w:szCs w:val="22"/>
        </w:rPr>
        <w:t xml:space="preserve"> captured.</w:t>
      </w:r>
    </w:p>
    <w:p w14:paraId="4BE002AC" w14:textId="74AF8D8C" w:rsidR="005E33B9" w:rsidRPr="005E33B9" w:rsidRDefault="00051FE0" w:rsidP="005E33B9">
      <w:pPr>
        <w:spacing w:line="360" w:lineRule="auto"/>
        <w:ind w:firstLine="420"/>
        <w:rPr>
          <w:rFonts w:cs="Arial"/>
          <w:szCs w:val="22"/>
        </w:rPr>
      </w:pPr>
      <w:r w:rsidRPr="005E33B9">
        <w:rPr>
          <w:rFonts w:cs="Arial"/>
          <w:szCs w:val="22"/>
        </w:rPr>
        <w:t>R</w:t>
      </w:r>
      <w:r w:rsidR="008C2E56" w:rsidRPr="005E33B9">
        <w:rPr>
          <w:rFonts w:cs="Arial"/>
          <w:szCs w:val="22"/>
        </w:rPr>
        <w:t>espectively</w:t>
      </w:r>
      <w:r>
        <w:rPr>
          <w:rFonts w:cs="Arial" w:hint="eastAsia"/>
          <w:szCs w:val="22"/>
        </w:rPr>
        <w:t xml:space="preserve">, </w:t>
      </w:r>
      <w:r w:rsidR="007F33D6" w:rsidRPr="00697745">
        <w:rPr>
          <w:rFonts w:eastAsia="KaiTi" w:cs="Arial"/>
          <w:szCs w:val="21"/>
        </w:rPr>
        <w:t>ξ=0.009</w:t>
      </w:r>
      <w:r w:rsidR="007F33D6" w:rsidRPr="00697745">
        <w:rPr>
          <w:rFonts w:eastAsia="KaiTi" w:cs="Arial" w:hint="eastAsia"/>
          <w:szCs w:val="21"/>
        </w:rPr>
        <w:t xml:space="preserve"> </w:t>
      </w:r>
      <w:r w:rsidR="007F33D6" w:rsidRPr="00697745">
        <w:rPr>
          <w:rFonts w:eastAsia="KaiTi" w:cs="Arial"/>
          <w:szCs w:val="21"/>
        </w:rPr>
        <w:t>kJm</w:t>
      </w:r>
      <w:r w:rsidR="007F33D6" w:rsidRPr="00697745">
        <w:rPr>
          <w:rFonts w:eastAsia="KaiTi" w:cs="Arial"/>
          <w:szCs w:val="21"/>
          <w:vertAlign w:val="superscript"/>
        </w:rPr>
        <w:t>-2</w:t>
      </w:r>
      <w:r w:rsidR="007F33D6">
        <w:rPr>
          <w:rFonts w:eastAsia="KaiTi" w:cs="Arial" w:hint="eastAsia"/>
          <w:szCs w:val="21"/>
          <w:vertAlign w:val="superscript"/>
        </w:rPr>
        <w:t xml:space="preserve"> </w:t>
      </w:r>
      <w:r w:rsidR="005E33B9" w:rsidRPr="005E33B9">
        <w:rPr>
          <w:rFonts w:cs="Arial"/>
          <w:szCs w:val="22"/>
        </w:rPr>
        <w:t>and</w:t>
      </w:r>
      <w:r w:rsidR="00B7444C">
        <w:rPr>
          <w:rFonts w:cs="Arial" w:hint="eastAsia"/>
          <w:szCs w:val="22"/>
        </w:rPr>
        <w:t xml:space="preserve"> </w:t>
      </w:r>
      <w:r w:rsidR="00B7444C" w:rsidRPr="00697745">
        <w:rPr>
          <w:rFonts w:eastAsia="KaiTi" w:cs="Arial"/>
          <w:szCs w:val="21"/>
        </w:rPr>
        <w:t>ξ=0.00</w:t>
      </w:r>
      <w:r w:rsidR="00B7444C" w:rsidRPr="00697745">
        <w:rPr>
          <w:rFonts w:eastAsia="KaiTi" w:cs="Arial" w:hint="eastAsia"/>
          <w:szCs w:val="21"/>
        </w:rPr>
        <w:t xml:space="preserve">15 </w:t>
      </w:r>
      <w:r w:rsidR="00B7444C" w:rsidRPr="00697745">
        <w:rPr>
          <w:rFonts w:eastAsia="KaiTi" w:cs="Arial"/>
          <w:szCs w:val="21"/>
        </w:rPr>
        <w:t>kJm</w:t>
      </w:r>
      <w:r w:rsidR="00B7444C" w:rsidRPr="00697745">
        <w:rPr>
          <w:rFonts w:eastAsia="KaiTi" w:cs="Arial"/>
          <w:szCs w:val="21"/>
          <w:vertAlign w:val="superscript"/>
        </w:rPr>
        <w:t>-2</w:t>
      </w:r>
      <w:r w:rsidR="00B7444C">
        <w:rPr>
          <w:rFonts w:eastAsia="KaiTi" w:cs="Arial" w:hint="eastAsia"/>
          <w:szCs w:val="21"/>
          <w:vertAlign w:val="superscript"/>
        </w:rPr>
        <w:t xml:space="preserve"> </w:t>
      </w:r>
      <w:r w:rsidR="005E33B9" w:rsidRPr="005E33B9">
        <w:rPr>
          <w:rFonts w:cs="Arial"/>
          <w:szCs w:val="22"/>
        </w:rPr>
        <w:t>were adopted to represent the value obtained and the literature benchmark. For typical microbubble diameters in the range of 0.15–0.50 mm (corresponding to interfacial area densities of 12,000–40,000 m² m</w:t>
      </w:r>
      <w:r w:rsidR="005E33B9" w:rsidRPr="005E33B9">
        <w:rPr>
          <w:rFonts w:ascii="Cambria Math" w:hAnsi="Cambria Math" w:cs="Cambria Math"/>
          <w:szCs w:val="22"/>
        </w:rPr>
        <w:t>⁻</w:t>
      </w:r>
      <w:r w:rsidR="005E33B9" w:rsidRPr="005E33B9">
        <w:rPr>
          <w:rFonts w:cs="Arial"/>
          <w:szCs w:val="22"/>
        </w:rPr>
        <w:t>³), the interfacial generation energy is estimated to be approximately 0.216–0.720 GJ t</w:t>
      </w:r>
      <w:r w:rsidR="005E33B9" w:rsidRPr="005E33B9">
        <w:rPr>
          <w:rFonts w:ascii="Cambria Math" w:hAnsi="Cambria Math" w:cs="Cambria Math"/>
          <w:szCs w:val="22"/>
        </w:rPr>
        <w:t>⁻</w:t>
      </w:r>
      <w:r w:rsidR="005E33B9" w:rsidRPr="005E33B9">
        <w:rPr>
          <w:rFonts w:cs="Arial"/>
          <w:szCs w:val="22"/>
        </w:rPr>
        <w:t>¹ CO</w:t>
      </w:r>
      <w:r w:rsidR="005E33B9" w:rsidRPr="005E33B9">
        <w:rPr>
          <w:rFonts w:ascii="Cambria Math" w:hAnsi="Cambria Math" w:cs="Cambria Math"/>
          <w:szCs w:val="22"/>
        </w:rPr>
        <w:t>₂</w:t>
      </w:r>
      <w:r w:rsidR="005E33B9" w:rsidRPr="005E33B9">
        <w:rPr>
          <w:rFonts w:cs="Arial"/>
          <w:szCs w:val="22"/>
        </w:rPr>
        <w:t xml:space="preserve"> (this work) and 0.360–1.200 GJ t</w:t>
      </w:r>
      <w:r w:rsidR="005E33B9" w:rsidRPr="005E33B9">
        <w:rPr>
          <w:rFonts w:ascii="Cambria Math" w:hAnsi="Cambria Math" w:cs="Cambria Math"/>
          <w:szCs w:val="22"/>
        </w:rPr>
        <w:t>⁻</w:t>
      </w:r>
      <w:r w:rsidR="005E33B9" w:rsidRPr="005E33B9">
        <w:rPr>
          <w:rFonts w:cs="Arial"/>
          <w:szCs w:val="22"/>
        </w:rPr>
        <w:t>¹ CO</w:t>
      </w:r>
      <w:r w:rsidR="005E33B9" w:rsidRPr="005E33B9">
        <w:rPr>
          <w:rFonts w:ascii="Cambria Math" w:hAnsi="Cambria Math" w:cs="Cambria Math"/>
          <w:szCs w:val="22"/>
        </w:rPr>
        <w:t>₂</w:t>
      </w:r>
      <w:r w:rsidR="005E33B9" w:rsidRPr="005E33B9">
        <w:rPr>
          <w:rFonts w:cs="Arial"/>
          <w:szCs w:val="22"/>
        </w:rPr>
        <w:t xml:space="preserve"> (literature benchmark). The corresponding interfacial generation cost is approximately 3.33–11.11 USD t</w:t>
      </w:r>
      <w:r w:rsidR="005E33B9" w:rsidRPr="005E33B9">
        <w:rPr>
          <w:rFonts w:ascii="Cambria Math" w:hAnsi="Cambria Math" w:cs="Cambria Math"/>
          <w:szCs w:val="22"/>
        </w:rPr>
        <w:t>⁻</w:t>
      </w:r>
      <w:r w:rsidR="005E33B9" w:rsidRPr="005E33B9">
        <w:rPr>
          <w:rFonts w:cs="Arial"/>
          <w:szCs w:val="22"/>
        </w:rPr>
        <w:t>¹ CO</w:t>
      </w:r>
      <w:r w:rsidR="005E33B9" w:rsidRPr="005E33B9">
        <w:rPr>
          <w:rFonts w:ascii="Cambria Math" w:hAnsi="Cambria Math" w:cs="Cambria Math"/>
          <w:szCs w:val="22"/>
        </w:rPr>
        <w:t>₂</w:t>
      </w:r>
      <w:r w:rsidR="005E33B9" w:rsidRPr="005E33B9">
        <w:rPr>
          <w:rFonts w:cs="Arial"/>
          <w:szCs w:val="22"/>
        </w:rPr>
        <w:t xml:space="preserve"> (this work) and 5.56–18.52 USD t</w:t>
      </w:r>
      <w:r w:rsidR="005E33B9" w:rsidRPr="005E33B9">
        <w:rPr>
          <w:rFonts w:ascii="Cambria Math" w:hAnsi="Cambria Math" w:cs="Cambria Math"/>
          <w:szCs w:val="22"/>
        </w:rPr>
        <w:t>⁻</w:t>
      </w:r>
      <w:r w:rsidR="005E33B9" w:rsidRPr="005E33B9">
        <w:rPr>
          <w:rFonts w:cs="Arial"/>
          <w:szCs w:val="22"/>
        </w:rPr>
        <w:t>¹ CO</w:t>
      </w:r>
      <w:r w:rsidR="005E33B9" w:rsidRPr="005E33B9">
        <w:rPr>
          <w:rFonts w:ascii="Cambria Math" w:hAnsi="Cambria Math" w:cs="Cambria Math"/>
          <w:szCs w:val="22"/>
        </w:rPr>
        <w:t>₂</w:t>
      </w:r>
      <w:r w:rsidR="005E33B9" w:rsidRPr="005E33B9">
        <w:rPr>
          <w:rFonts w:cs="Arial"/>
          <w:szCs w:val="22"/>
        </w:rPr>
        <w:t xml:space="preserve"> (literature </w:t>
      </w:r>
      <w:r w:rsidR="005E33B9" w:rsidRPr="005E33B9">
        <w:rPr>
          <w:rFonts w:cs="Arial"/>
          <w:szCs w:val="22"/>
        </w:rPr>
        <w:lastRenderedPageBreak/>
        <w:t>benchmark).</w:t>
      </w:r>
    </w:p>
    <w:p w14:paraId="6BD35CDE" w14:textId="2CBE747E" w:rsidR="005E33B9" w:rsidRPr="005E33B9" w:rsidRDefault="005E33B9" w:rsidP="005E33B9">
      <w:pPr>
        <w:spacing w:line="360" w:lineRule="auto"/>
        <w:ind w:firstLine="420"/>
        <w:rPr>
          <w:rFonts w:cs="Arial"/>
          <w:szCs w:val="22"/>
        </w:rPr>
      </w:pPr>
      <w:r w:rsidRPr="005E33B9">
        <w:rPr>
          <w:rFonts w:cs="Arial"/>
          <w:szCs w:val="22"/>
        </w:rPr>
        <w:t>Under the baseline condition used in the main text (</w:t>
      </w:r>
      <m:oMath>
        <m:sSub>
          <m:sSubPr>
            <m:ctrlPr>
              <w:rPr>
                <w:rFonts w:ascii="Cambria Math" w:hAnsi="Cambria Math" w:cs="Arial"/>
                <w:szCs w:val="22"/>
              </w:rPr>
            </m:ctrlPr>
          </m:sSubPr>
          <m:e>
            <m:r>
              <w:rPr>
                <w:rFonts w:ascii="Cambria Math" w:hAnsi="Cambria Math" w:cs="Arial"/>
                <w:szCs w:val="22"/>
              </w:rPr>
              <m:t>d</m:t>
            </m:r>
          </m:e>
          <m:sub>
            <m:r>
              <w:rPr>
                <w:rFonts w:ascii="Cambria Math" w:hAnsi="Cambria Math" w:cs="Arial"/>
                <w:szCs w:val="22"/>
              </w:rPr>
              <m:t>32</m:t>
            </m:r>
          </m:sub>
        </m:sSub>
        <m:r>
          <w:rPr>
            <w:rFonts w:ascii="Cambria Math" w:hAnsi="Cambria Math" w:cs="Arial"/>
            <w:szCs w:val="22"/>
          </w:rPr>
          <m:t>=0.32</m:t>
        </m:r>
        <m:r>
          <m:rPr>
            <m:nor/>
          </m:rPr>
          <w:rPr>
            <w:rFonts w:cs="Arial"/>
            <w:szCs w:val="22"/>
          </w:rPr>
          <m:t xml:space="preserve"> mm</m:t>
        </m:r>
      </m:oMath>
      <w:r w:rsidRPr="005E33B9">
        <w:rPr>
          <w:rFonts w:cs="Arial"/>
          <w:szCs w:val="22"/>
        </w:rPr>
        <w:t>), the interfacial generation energy is approximately 0.3375 GJ t</w:t>
      </w:r>
      <w:r w:rsidRPr="005E33B9">
        <w:rPr>
          <w:rFonts w:ascii="Cambria Math" w:hAnsi="Cambria Math" w:cs="Cambria Math"/>
          <w:szCs w:val="22"/>
        </w:rPr>
        <w:t>⁻</w:t>
      </w:r>
      <w:r w:rsidRPr="005E33B9">
        <w:rPr>
          <w:rFonts w:cs="Arial"/>
          <w:szCs w:val="22"/>
        </w:rPr>
        <w:t>¹ CO</w:t>
      </w:r>
      <w:r w:rsidRPr="005E33B9">
        <w:rPr>
          <w:rFonts w:ascii="Cambria Math" w:hAnsi="Cambria Math" w:cs="Cambria Math"/>
          <w:szCs w:val="22"/>
        </w:rPr>
        <w:t>₂</w:t>
      </w:r>
      <w:r w:rsidRPr="005E33B9">
        <w:rPr>
          <w:rFonts w:cs="Arial"/>
          <w:szCs w:val="22"/>
        </w:rPr>
        <w:t>, corresponding to a cost of about 5.21 USD t</w:t>
      </w:r>
      <w:r w:rsidRPr="005E33B9">
        <w:rPr>
          <w:rFonts w:ascii="Cambria Math" w:hAnsi="Cambria Math" w:cs="Cambria Math"/>
          <w:szCs w:val="22"/>
        </w:rPr>
        <w:t>⁻</w:t>
      </w:r>
      <w:r w:rsidRPr="005E33B9">
        <w:rPr>
          <w:rFonts w:cs="Arial"/>
          <w:szCs w:val="22"/>
        </w:rPr>
        <w:t>¹ CO</w:t>
      </w:r>
      <w:r w:rsidRPr="005E33B9">
        <w:rPr>
          <w:rFonts w:ascii="Cambria Math" w:hAnsi="Cambria Math" w:cs="Cambria Math"/>
          <w:szCs w:val="22"/>
        </w:rPr>
        <w:t>₂</w:t>
      </w:r>
      <w:r w:rsidRPr="005E33B9">
        <w:rPr>
          <w:rFonts w:cs="Arial"/>
          <w:szCs w:val="22"/>
        </w:rPr>
        <w:t>. Even when this energy consumption is included, the total energy demand remains approximately 2.1 GJ t</w:t>
      </w:r>
      <w:r w:rsidRPr="005E33B9">
        <w:rPr>
          <w:rFonts w:ascii="Cambria Math" w:hAnsi="Cambria Math" w:cs="Cambria Math"/>
          <w:szCs w:val="22"/>
        </w:rPr>
        <w:t>⁻</w:t>
      </w:r>
      <w:r w:rsidRPr="005E33B9">
        <w:rPr>
          <w:rFonts w:cs="Arial"/>
          <w:szCs w:val="22"/>
        </w:rPr>
        <w:t>¹ CO</w:t>
      </w:r>
      <w:r w:rsidRPr="005E33B9">
        <w:rPr>
          <w:rFonts w:ascii="Cambria Math" w:hAnsi="Cambria Math" w:cs="Cambria Math"/>
          <w:szCs w:val="22"/>
        </w:rPr>
        <w:t>₂</w:t>
      </w:r>
      <w:r w:rsidRPr="005E33B9">
        <w:rPr>
          <w:rFonts w:cs="Arial"/>
          <w:szCs w:val="22"/>
        </w:rPr>
        <w:t>, which is still significantly lower than the regeneration energy requirement of conventional amine-based processes (3.5–4 GJ t</w:t>
      </w:r>
      <w:r w:rsidRPr="005E33B9">
        <w:rPr>
          <w:rFonts w:ascii="Cambria Math" w:hAnsi="Cambria Math" w:cs="Cambria Math"/>
          <w:szCs w:val="22"/>
        </w:rPr>
        <w:t>⁻</w:t>
      </w:r>
      <w:r w:rsidRPr="005E33B9">
        <w:rPr>
          <w:rFonts w:cs="Arial"/>
          <w:szCs w:val="22"/>
        </w:rPr>
        <w:t>¹ CO</w:t>
      </w:r>
      <w:r w:rsidRPr="005E33B9">
        <w:rPr>
          <w:rFonts w:ascii="Cambria Math" w:hAnsi="Cambria Math" w:cs="Cambria Math"/>
          <w:szCs w:val="22"/>
        </w:rPr>
        <w:t>₂</w:t>
      </w:r>
      <w:r w:rsidRPr="005E33B9">
        <w:rPr>
          <w:rFonts w:cs="Arial"/>
          <w:szCs w:val="22"/>
        </w:rPr>
        <w:t>). This result indicates that MIS, when implemented as an external intensification module, remains energetically feasible for engineering applications.</w:t>
      </w:r>
    </w:p>
    <w:p w14:paraId="3D8769E1" w14:textId="77777777" w:rsidR="00170821" w:rsidRPr="002211F7" w:rsidRDefault="00170821" w:rsidP="00170821">
      <w:pPr>
        <w:spacing w:after="0" w:line="480" w:lineRule="auto"/>
        <w:rPr>
          <w:rFonts w:cs="Arial"/>
          <w:b/>
          <w:bCs/>
          <w:sz w:val="28"/>
          <w:szCs w:val="28"/>
        </w:rPr>
      </w:pPr>
      <w:r w:rsidRPr="002211F7">
        <w:rPr>
          <w:rFonts w:cs="Arial" w:hint="eastAsia"/>
          <w:b/>
          <w:bCs/>
          <w:sz w:val="28"/>
          <w:szCs w:val="28"/>
        </w:rPr>
        <w:t>5</w:t>
      </w:r>
      <w:r w:rsidRPr="002211F7">
        <w:rPr>
          <w:rFonts w:cs="Arial"/>
          <w:b/>
          <w:bCs/>
          <w:sz w:val="28"/>
          <w:szCs w:val="28"/>
        </w:rPr>
        <w:t xml:space="preserve"> Process engineering and monitoring</w:t>
      </w:r>
    </w:p>
    <w:p w14:paraId="0EF5AB6B" w14:textId="77777777" w:rsidR="00170821" w:rsidRPr="0054370F" w:rsidRDefault="00170821" w:rsidP="00170821">
      <w:pPr>
        <w:spacing w:line="480" w:lineRule="auto"/>
        <w:rPr>
          <w:rFonts w:eastAsia="KaiTi" w:cs="Arial"/>
          <w:b/>
          <w:bCs/>
          <w:szCs w:val="21"/>
        </w:rPr>
      </w:pPr>
      <w:r w:rsidRPr="0067049B">
        <w:rPr>
          <w:rFonts w:eastAsia="KaiTi" w:cs="Arial" w:hint="eastAsia"/>
          <w:b/>
          <w:bCs/>
          <w:szCs w:val="21"/>
        </w:rPr>
        <w:t>5</w:t>
      </w:r>
      <w:r w:rsidRPr="0067049B">
        <w:rPr>
          <w:rFonts w:eastAsia="KaiTi" w:cs="Arial"/>
          <w:b/>
          <w:bCs/>
          <w:szCs w:val="21"/>
        </w:rPr>
        <w:t>.</w:t>
      </w:r>
      <w:r w:rsidRPr="0067049B">
        <w:rPr>
          <w:rFonts w:eastAsia="KaiTi" w:cs="Arial" w:hint="eastAsia"/>
          <w:b/>
          <w:bCs/>
          <w:szCs w:val="21"/>
        </w:rPr>
        <w:t>1</w:t>
      </w:r>
      <w:r w:rsidRPr="0067049B">
        <w:rPr>
          <w:rFonts w:eastAsia="KaiTi" w:cs="Arial"/>
          <w:b/>
          <w:bCs/>
          <w:szCs w:val="21"/>
        </w:rPr>
        <w:t xml:space="preserve"> Techno-economic analysis</w:t>
      </w:r>
    </w:p>
    <w:p w14:paraId="2CBA1B6E" w14:textId="77777777" w:rsidR="00AC222C" w:rsidRPr="00AC222C" w:rsidRDefault="00AC222C" w:rsidP="00AC222C">
      <w:pPr>
        <w:spacing w:line="360" w:lineRule="auto"/>
        <w:ind w:firstLine="420"/>
        <w:rPr>
          <w:rFonts w:cs="Arial"/>
          <w:szCs w:val="22"/>
        </w:rPr>
      </w:pPr>
      <w:r w:rsidRPr="00AC222C">
        <w:rPr>
          <w:rFonts w:cs="Arial"/>
          <w:szCs w:val="22"/>
        </w:rPr>
        <w:t>To evaluate the engineering feasibility of the MIS-intensified CO</w:t>
      </w:r>
      <w:r w:rsidRPr="00AC222C">
        <w:rPr>
          <w:rFonts w:ascii="Cambria Math" w:hAnsi="Cambria Math" w:cs="Cambria Math"/>
          <w:szCs w:val="22"/>
        </w:rPr>
        <w:t>₂</w:t>
      </w:r>
      <w:r w:rsidRPr="00AC222C">
        <w:rPr>
          <w:rFonts w:cs="Arial"/>
          <w:szCs w:val="22"/>
        </w:rPr>
        <w:t xml:space="preserve"> capture process, a techno-economic analysis (TEA) was conducted. All equipment dimensions and major process parameters were derived from Aspen Plus process simulations. The plant was assumed to operate for 8000 h per year. Because different solvent systems exhibit different CO</w:t>
      </w:r>
      <w:r w:rsidRPr="00AC222C">
        <w:rPr>
          <w:rFonts w:ascii="Cambria Math" w:hAnsi="Cambria Math" w:cs="Cambria Math"/>
          <w:szCs w:val="22"/>
        </w:rPr>
        <w:t>₂</w:t>
      </w:r>
      <w:r w:rsidRPr="00AC222C">
        <w:rPr>
          <w:rFonts w:cs="Arial"/>
          <w:szCs w:val="22"/>
        </w:rPr>
        <w:t xml:space="preserve"> loading capacities, the annual CO</w:t>
      </w:r>
      <w:r w:rsidRPr="00AC222C">
        <w:rPr>
          <w:rFonts w:ascii="Cambria Math" w:hAnsi="Cambria Math" w:cs="Cambria Math"/>
          <w:szCs w:val="22"/>
        </w:rPr>
        <w:t>₂</w:t>
      </w:r>
      <w:r w:rsidRPr="00AC222C">
        <w:rPr>
          <w:rFonts w:cs="Arial"/>
          <w:szCs w:val="22"/>
        </w:rPr>
        <w:t xml:space="preserve"> capture capacity varies slightly, ranging from approximately 0.2–0.3 Mt CO</w:t>
      </w:r>
      <w:r w:rsidRPr="00AC222C">
        <w:rPr>
          <w:rFonts w:ascii="Cambria Math" w:hAnsi="Cambria Math" w:cs="Cambria Math"/>
          <w:szCs w:val="22"/>
        </w:rPr>
        <w:t>₂</w:t>
      </w:r>
      <w:r w:rsidRPr="00AC222C">
        <w:rPr>
          <w:rFonts w:cs="Arial"/>
          <w:szCs w:val="22"/>
        </w:rPr>
        <w:t xml:space="preserve"> yr</w:t>
      </w:r>
      <w:r w:rsidRPr="00AC222C">
        <w:rPr>
          <w:rFonts w:ascii="Cambria Math" w:hAnsi="Cambria Math" w:cs="Cambria Math"/>
          <w:szCs w:val="22"/>
        </w:rPr>
        <w:t>⁻</w:t>
      </w:r>
      <w:r w:rsidRPr="00AC222C">
        <w:rPr>
          <w:rFonts w:cs="Arial"/>
          <w:szCs w:val="22"/>
        </w:rPr>
        <w:t>¹, which is consistent with the capture performance reported in the main text. According to the process simulation results, the circulating solvent flow rate is approximately 72,000 kg h</w:t>
      </w:r>
      <w:r w:rsidRPr="00AC222C">
        <w:rPr>
          <w:rFonts w:ascii="Cambria Math" w:hAnsi="Cambria Math" w:cs="Cambria Math"/>
          <w:szCs w:val="22"/>
        </w:rPr>
        <w:t>⁻</w:t>
      </w:r>
      <w:r w:rsidRPr="00AC222C">
        <w:rPr>
          <w:rFonts w:cs="Arial"/>
          <w:szCs w:val="22"/>
        </w:rPr>
        <w:t>¹, with a solvent concentration of 30 wt%. For the MDEA–PZ system, the molar ratio of MDEA to PZ is 1:3. All column dimensions, heat-exchange duties, and auxiliary equipment specifications were determined based on these design conditions and were subsequently used for equipment cost estimation.</w:t>
      </w:r>
    </w:p>
    <w:p w14:paraId="7ABB21E0" w14:textId="77777777" w:rsidR="00AC222C" w:rsidRPr="00AC222C" w:rsidRDefault="00AC222C" w:rsidP="00AC222C">
      <w:pPr>
        <w:spacing w:line="360" w:lineRule="auto"/>
        <w:ind w:firstLine="420"/>
        <w:rPr>
          <w:rFonts w:cs="Arial"/>
          <w:szCs w:val="22"/>
        </w:rPr>
      </w:pPr>
      <w:r w:rsidRPr="00AC222C">
        <w:rPr>
          <w:rFonts w:cs="Arial"/>
          <w:szCs w:val="22"/>
        </w:rPr>
        <w:t>The total CO</w:t>
      </w:r>
      <w:r w:rsidRPr="00AC222C">
        <w:rPr>
          <w:rFonts w:ascii="Cambria Math" w:hAnsi="Cambria Math" w:cs="Cambria Math"/>
          <w:szCs w:val="22"/>
        </w:rPr>
        <w:t>₂</w:t>
      </w:r>
      <w:r w:rsidRPr="00AC222C">
        <w:rPr>
          <w:rFonts w:cs="Arial"/>
          <w:szCs w:val="22"/>
        </w:rPr>
        <w:t xml:space="preserve"> capture cost is composed of thermal energy consumption, interfacial generation energy, auxiliary electricity consumption, solvent loss, and equipment depreciation. The overall cost expression can be written as</w:t>
      </w:r>
    </w:p>
    <w:p w14:paraId="780F832F" w14:textId="676548D8" w:rsidR="00AC222C" w:rsidRPr="00AC222C" w:rsidRDefault="00F80AA9" w:rsidP="00AC222C">
      <w:pPr>
        <w:spacing w:line="360" w:lineRule="auto"/>
        <w:ind w:firstLine="420"/>
        <w:rPr>
          <w:rFonts w:cs="Arial"/>
          <w:szCs w:val="22"/>
        </w:rPr>
      </w:pPr>
      <m:oMathPara>
        <m:oMath>
          <m:sSub>
            <m:sSubPr>
              <m:ctrlPr>
                <w:rPr>
                  <w:rFonts w:ascii="Cambria Math" w:hAnsi="Cambria Math" w:cs="Arial"/>
                  <w:szCs w:val="22"/>
                </w:rPr>
              </m:ctrlPr>
            </m:sSubPr>
            <m:e>
              <m:r>
                <w:rPr>
                  <w:rFonts w:ascii="Cambria Math" w:hAnsi="Cambria Math" w:cs="Arial"/>
                  <w:szCs w:val="22"/>
                </w:rPr>
                <m:t>C</m:t>
              </m:r>
            </m:e>
            <m:sub>
              <m:r>
                <m:rPr>
                  <m:nor/>
                </m:rPr>
                <w:rPr>
                  <w:rFonts w:cs="Arial"/>
                  <w:szCs w:val="22"/>
                </w:rPr>
                <m:t>total</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C</m:t>
              </m:r>
            </m:e>
            <m:sub>
              <m:r>
                <m:rPr>
                  <m:nor/>
                </m:rPr>
                <w:rPr>
                  <w:rFonts w:cs="Arial"/>
                  <w:szCs w:val="22"/>
                </w:rPr>
                <m:t>thermal</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C</m:t>
              </m:r>
            </m:e>
            <m:sub>
              <m:r>
                <m:rPr>
                  <m:nor/>
                </m:rPr>
                <w:rPr>
                  <w:rFonts w:cs="Arial" w:hint="eastAsia"/>
                  <w:szCs w:val="22"/>
                </w:rPr>
                <m:t>solvent loss</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C</m:t>
              </m:r>
            </m:e>
            <m:sub>
              <m:r>
                <m:rPr>
                  <m:nor/>
                </m:rPr>
                <w:rPr>
                  <w:rFonts w:cs="Arial" w:hint="eastAsia"/>
                  <w:szCs w:val="22"/>
                </w:rPr>
                <m:t>pumping</m:t>
              </m:r>
            </m:sub>
          </m:sSub>
          <m:r>
            <w:rPr>
              <w:rFonts w:ascii="Cambria Math" w:hAnsi="Cambria Math" w:cs="Arial"/>
              <w:szCs w:val="22"/>
            </w:rPr>
            <m:t>+</m:t>
          </m:r>
          <m:sSub>
            <m:sSubPr>
              <m:ctrlPr>
                <w:rPr>
                  <w:rFonts w:ascii="Cambria Math" w:hAnsi="Cambria Math" w:cs="Arial"/>
                  <w:szCs w:val="22"/>
                </w:rPr>
              </m:ctrlPr>
            </m:sSubPr>
            <m:e>
              <m:r>
                <w:rPr>
                  <w:rFonts w:ascii="Cambria Math" w:hAnsi="Cambria Math" w:cs="Arial"/>
                  <w:szCs w:val="22"/>
                </w:rPr>
                <m:t>C</m:t>
              </m:r>
            </m:e>
            <m:sub>
              <m:r>
                <m:rPr>
                  <m:nor/>
                </m:rPr>
                <w:rPr>
                  <w:rFonts w:cs="Arial" w:hint="eastAsia"/>
                  <w:szCs w:val="22"/>
                </w:rPr>
                <m:t xml:space="preserve">CAPEX </m:t>
              </m:r>
            </m:sub>
          </m:sSub>
        </m:oMath>
      </m:oMathPara>
    </w:p>
    <w:p w14:paraId="0628A92C" w14:textId="4C9AD5D5" w:rsidR="00AC222C" w:rsidRPr="00AC222C" w:rsidRDefault="00387136" w:rsidP="00AC222C">
      <w:pPr>
        <w:spacing w:line="360" w:lineRule="auto"/>
        <w:ind w:firstLine="420"/>
        <w:rPr>
          <w:rFonts w:cs="Arial"/>
          <w:szCs w:val="22"/>
        </w:rPr>
      </w:pPr>
      <w:r w:rsidRPr="00387136">
        <w:rPr>
          <w:rFonts w:cs="Arial"/>
          <w:szCs w:val="22"/>
        </w:rPr>
        <w:t xml:space="preserve">where </w:t>
      </w:r>
      <m:oMath>
        <m:sSub>
          <m:sSubPr>
            <m:ctrlPr>
              <w:rPr>
                <w:rFonts w:ascii="Cambria Math" w:hAnsi="Cambria Math" w:cs="Arial"/>
                <w:szCs w:val="22"/>
              </w:rPr>
            </m:ctrlPr>
          </m:sSubPr>
          <m:e>
            <m:r>
              <w:rPr>
                <w:rFonts w:ascii="Cambria Math" w:hAnsi="Cambria Math" w:cs="Arial"/>
                <w:szCs w:val="22"/>
              </w:rPr>
              <m:t>C</m:t>
            </m:r>
          </m:e>
          <m:sub>
            <m:r>
              <m:rPr>
                <m:nor/>
              </m:rPr>
              <w:rPr>
                <w:rFonts w:cs="Arial"/>
                <w:szCs w:val="22"/>
              </w:rPr>
              <m:t>thermal</m:t>
            </m:r>
          </m:sub>
        </m:sSub>
      </m:oMath>
      <w:r>
        <w:rPr>
          <w:rFonts w:cs="Arial" w:hint="eastAsia"/>
          <w:szCs w:val="22"/>
        </w:rPr>
        <w:t xml:space="preserve"> </w:t>
      </w:r>
      <w:r w:rsidRPr="00387136">
        <w:rPr>
          <w:rFonts w:cs="Arial"/>
          <w:szCs w:val="22"/>
        </w:rPr>
        <w:t xml:space="preserve">represents the cost of regeneration heat duty, </w:t>
      </w:r>
      <m:oMath>
        <m:sSub>
          <m:sSubPr>
            <m:ctrlPr>
              <w:rPr>
                <w:rFonts w:ascii="Cambria Math" w:hAnsi="Cambria Math" w:cs="Arial"/>
                <w:szCs w:val="22"/>
              </w:rPr>
            </m:ctrlPr>
          </m:sSubPr>
          <m:e>
            <m:r>
              <w:rPr>
                <w:rFonts w:ascii="Cambria Math" w:hAnsi="Cambria Math" w:cs="Arial"/>
                <w:szCs w:val="22"/>
              </w:rPr>
              <m:t>C</m:t>
            </m:r>
          </m:e>
          <m:sub>
            <m:r>
              <m:rPr>
                <m:nor/>
              </m:rPr>
              <w:rPr>
                <w:rFonts w:cs="Arial"/>
                <w:szCs w:val="22"/>
              </w:rPr>
              <m:t>solvent</m:t>
            </m:r>
          </m:sub>
        </m:sSub>
      </m:oMath>
      <w:r>
        <w:rPr>
          <w:rFonts w:cs="Arial" w:hint="eastAsia"/>
          <w:szCs w:val="22"/>
        </w:rPr>
        <w:t xml:space="preserve"> </w:t>
      </w:r>
      <w:r w:rsidRPr="00387136">
        <w:rPr>
          <w:rFonts w:cs="Arial"/>
          <w:szCs w:val="22"/>
        </w:rPr>
        <w:t xml:space="preserve">represents the cost associated with solvent loss, </w:t>
      </w:r>
      <m:oMath>
        <m:sSub>
          <m:sSubPr>
            <m:ctrlPr>
              <w:rPr>
                <w:rFonts w:ascii="Cambria Math" w:hAnsi="Cambria Math" w:cs="Arial"/>
                <w:szCs w:val="22"/>
              </w:rPr>
            </m:ctrlPr>
          </m:sSubPr>
          <m:e>
            <m:r>
              <w:rPr>
                <w:rFonts w:ascii="Cambria Math" w:hAnsi="Cambria Math" w:cs="Arial"/>
                <w:szCs w:val="22"/>
              </w:rPr>
              <m:t>C</m:t>
            </m:r>
          </m:e>
          <m:sub>
            <m:r>
              <m:rPr>
                <m:nor/>
              </m:rPr>
              <w:rPr>
                <w:rFonts w:cs="Arial"/>
                <w:szCs w:val="22"/>
              </w:rPr>
              <m:t>pumping</m:t>
            </m:r>
          </m:sub>
        </m:sSub>
      </m:oMath>
      <w:r>
        <w:rPr>
          <w:rFonts w:cs="Arial" w:hint="eastAsia"/>
          <w:szCs w:val="22"/>
        </w:rPr>
        <w:t xml:space="preserve"> </w:t>
      </w:r>
      <w:r w:rsidRPr="00387136">
        <w:rPr>
          <w:rFonts w:cs="Arial"/>
          <w:szCs w:val="22"/>
        </w:rPr>
        <w:t xml:space="preserve">represents the electricity consumption of circulation pumps </w:t>
      </w:r>
      <w:r w:rsidRPr="00387136">
        <w:rPr>
          <w:rFonts w:cs="Arial"/>
          <w:szCs w:val="22"/>
        </w:rPr>
        <w:lastRenderedPageBreak/>
        <w:t xml:space="preserve">and auxiliary equipment, and </w:t>
      </w:r>
      <m:oMath>
        <m:sSub>
          <m:sSubPr>
            <m:ctrlPr>
              <w:rPr>
                <w:rFonts w:ascii="Cambria Math" w:hAnsi="Cambria Math" w:cs="Arial"/>
                <w:szCs w:val="22"/>
              </w:rPr>
            </m:ctrlPr>
          </m:sSubPr>
          <m:e>
            <m:r>
              <w:rPr>
                <w:rFonts w:ascii="Cambria Math" w:hAnsi="Cambria Math" w:cs="Arial"/>
                <w:szCs w:val="22"/>
              </w:rPr>
              <m:t>C</m:t>
            </m:r>
          </m:e>
          <m:sub>
            <m:r>
              <m:rPr>
                <m:nor/>
              </m:rPr>
              <w:rPr>
                <w:rFonts w:cs="Arial"/>
                <w:szCs w:val="22"/>
              </w:rPr>
              <m:t>CAPEX</m:t>
            </m:r>
          </m:sub>
        </m:sSub>
      </m:oMath>
      <w:r>
        <w:rPr>
          <w:rFonts w:cs="Arial" w:hint="eastAsia"/>
          <w:szCs w:val="22"/>
        </w:rPr>
        <w:t xml:space="preserve"> </w:t>
      </w:r>
      <w:r w:rsidRPr="00387136">
        <w:rPr>
          <w:rFonts w:cs="Arial"/>
          <w:szCs w:val="22"/>
        </w:rPr>
        <w:t>denotes the capital depreciation cost of the equipment.</w:t>
      </w:r>
      <w:r>
        <w:rPr>
          <w:rFonts w:cs="Arial" w:hint="eastAsia"/>
          <w:szCs w:val="22"/>
        </w:rPr>
        <w:t xml:space="preserve"> </w:t>
      </w:r>
      <w:r w:rsidR="00AC222C" w:rsidRPr="00AC222C">
        <w:rPr>
          <w:rFonts w:cs="Arial"/>
          <w:szCs w:val="22"/>
        </w:rPr>
        <w:t>The regeneration heat duty and interfacial generation energy have been presented in the main text. The base pumping power consumption was estimated as 5 USD t</w:t>
      </w:r>
      <w:r w:rsidR="00AC222C" w:rsidRPr="00AC222C">
        <w:rPr>
          <w:rFonts w:ascii="Cambria Math" w:hAnsi="Cambria Math" w:cs="Cambria Math"/>
          <w:szCs w:val="22"/>
        </w:rPr>
        <w:t>⁻</w:t>
      </w:r>
      <w:r w:rsidR="00AC222C" w:rsidRPr="00AC222C">
        <w:rPr>
          <w:rFonts w:cs="Arial"/>
          <w:szCs w:val="22"/>
        </w:rPr>
        <w:t>¹ CO</w:t>
      </w:r>
      <w:r w:rsidR="00AC222C" w:rsidRPr="00AC222C">
        <w:rPr>
          <w:rFonts w:ascii="Cambria Math" w:hAnsi="Cambria Math" w:cs="Cambria Math"/>
          <w:szCs w:val="22"/>
        </w:rPr>
        <w:t>₂</w:t>
      </w:r>
      <w:r w:rsidR="00AC222C" w:rsidRPr="00AC222C">
        <w:rPr>
          <w:rFonts w:cs="Arial"/>
          <w:szCs w:val="22"/>
        </w:rPr>
        <w:t>, which is consistent with the circulation pump energy consumption of conventional amine-based systems. Since equipment depreciation contributes only a relatively small fraction of the total capture cost, it was not discussed in detail in the main text; the complete calculation procedure is therefore provided in the Supporting Information.</w:t>
      </w:r>
    </w:p>
    <w:p w14:paraId="60EEC3A4" w14:textId="77777777" w:rsidR="00AC222C" w:rsidRPr="00AC222C" w:rsidRDefault="00AC222C" w:rsidP="00AC222C">
      <w:pPr>
        <w:spacing w:line="360" w:lineRule="auto"/>
        <w:ind w:firstLine="420"/>
        <w:rPr>
          <w:rFonts w:cs="Arial"/>
          <w:szCs w:val="22"/>
        </w:rPr>
      </w:pPr>
      <w:r w:rsidRPr="00AC222C">
        <w:rPr>
          <w:rFonts w:cs="Arial"/>
          <w:szCs w:val="22"/>
        </w:rPr>
        <w:t>Column costs were estimated using the six-tenths scaling rule:</w:t>
      </w:r>
    </w:p>
    <w:p w14:paraId="42D44F6F" w14:textId="4265B6EC" w:rsidR="00AC222C" w:rsidRPr="00AC222C" w:rsidRDefault="00AC222C" w:rsidP="00AC222C">
      <w:pPr>
        <w:spacing w:line="360" w:lineRule="auto"/>
        <w:ind w:firstLine="420"/>
        <w:rPr>
          <w:rFonts w:cs="Arial"/>
          <w:szCs w:val="22"/>
        </w:rPr>
      </w:pPr>
      <m:oMathPara>
        <m:oMath>
          <m:r>
            <w:rPr>
              <w:rFonts w:ascii="Cambria Math" w:hAnsi="Cambria Math" w:cs="Arial"/>
              <w:szCs w:val="22"/>
            </w:rPr>
            <m:t>C=</m:t>
          </m:r>
          <m:sSub>
            <m:sSubPr>
              <m:ctrlPr>
                <w:rPr>
                  <w:rFonts w:ascii="Cambria Math" w:hAnsi="Cambria Math" w:cs="Arial"/>
                  <w:szCs w:val="22"/>
                </w:rPr>
              </m:ctrlPr>
            </m:sSubPr>
            <m:e>
              <m:r>
                <w:rPr>
                  <w:rFonts w:ascii="Cambria Math" w:hAnsi="Cambria Math" w:cs="Arial"/>
                  <w:szCs w:val="22"/>
                </w:rPr>
                <m:t>C</m:t>
              </m:r>
            </m:e>
            <m:sub>
              <m:r>
                <w:rPr>
                  <w:rFonts w:ascii="Cambria Math" w:hAnsi="Cambria Math" w:cs="Arial"/>
                  <w:szCs w:val="22"/>
                </w:rPr>
                <m:t>0</m:t>
              </m:r>
            </m:sub>
          </m:sSub>
          <m:sSup>
            <m:sSupPr>
              <m:ctrlPr>
                <w:rPr>
                  <w:rFonts w:ascii="Cambria Math" w:hAnsi="Cambria Math" w:cs="Arial"/>
                  <w:szCs w:val="22"/>
                </w:rPr>
              </m:ctrlPr>
            </m:sSupPr>
            <m:e>
              <m:d>
                <m:dPr>
                  <m:ctrlPr>
                    <w:rPr>
                      <w:rFonts w:ascii="Cambria Math" w:hAnsi="Cambria Math" w:cs="Arial"/>
                      <w:szCs w:val="22"/>
                    </w:rPr>
                  </m:ctrlPr>
                </m:dPr>
                <m:e>
                  <m:f>
                    <m:fPr>
                      <m:ctrlPr>
                        <w:rPr>
                          <w:rFonts w:ascii="Cambria Math" w:hAnsi="Cambria Math" w:cs="Arial"/>
                          <w:szCs w:val="22"/>
                        </w:rPr>
                      </m:ctrlPr>
                    </m:fPr>
                    <m:num>
                      <m:r>
                        <w:rPr>
                          <w:rFonts w:ascii="Cambria Math" w:hAnsi="Cambria Math" w:cs="Arial"/>
                          <w:szCs w:val="22"/>
                        </w:rPr>
                        <m:t>V</m:t>
                      </m:r>
                    </m:num>
                    <m:den>
                      <m:sSub>
                        <m:sSubPr>
                          <m:ctrlPr>
                            <w:rPr>
                              <w:rFonts w:ascii="Cambria Math" w:hAnsi="Cambria Math" w:cs="Arial"/>
                              <w:szCs w:val="22"/>
                            </w:rPr>
                          </m:ctrlPr>
                        </m:sSubPr>
                        <m:e>
                          <m:r>
                            <w:rPr>
                              <w:rFonts w:ascii="Cambria Math" w:hAnsi="Cambria Math" w:cs="Arial"/>
                              <w:szCs w:val="22"/>
                            </w:rPr>
                            <m:t>V</m:t>
                          </m:r>
                        </m:e>
                        <m:sub>
                          <m:r>
                            <w:rPr>
                              <w:rFonts w:ascii="Cambria Math" w:hAnsi="Cambria Math" w:cs="Arial"/>
                              <w:szCs w:val="22"/>
                            </w:rPr>
                            <m:t>0</m:t>
                          </m:r>
                        </m:sub>
                      </m:sSub>
                    </m:den>
                  </m:f>
                </m:e>
              </m:d>
            </m:e>
            <m:sup>
              <m:r>
                <w:rPr>
                  <w:rFonts w:ascii="Cambria Math" w:hAnsi="Cambria Math" w:cs="Arial"/>
                  <w:szCs w:val="22"/>
                </w:rPr>
                <m:t>0.6</m:t>
              </m:r>
            </m:sup>
          </m:sSup>
          <m:sSub>
            <m:sSubPr>
              <m:ctrlPr>
                <w:rPr>
                  <w:rFonts w:ascii="Cambria Math" w:hAnsi="Cambria Math" w:cs="Arial"/>
                  <w:szCs w:val="22"/>
                </w:rPr>
              </m:ctrlPr>
            </m:sSubPr>
            <m:e>
              <m:r>
                <w:rPr>
                  <w:rFonts w:ascii="Cambria Math" w:hAnsi="Cambria Math" w:cs="Arial"/>
                  <w:szCs w:val="22"/>
                </w:rPr>
                <m:t>F</m:t>
              </m:r>
            </m:e>
            <m:sub>
              <m:r>
                <m:rPr>
                  <m:nor/>
                </m:rPr>
                <w:rPr>
                  <w:rFonts w:cs="Arial"/>
                  <w:szCs w:val="22"/>
                </w:rPr>
                <m:t>material</m:t>
              </m:r>
            </m:sub>
          </m:sSub>
        </m:oMath>
      </m:oMathPara>
    </w:p>
    <w:p w14:paraId="65F81B88" w14:textId="6E69A5C0" w:rsidR="00AC222C" w:rsidRPr="00AC222C" w:rsidRDefault="00AC222C" w:rsidP="00AC222C">
      <w:pPr>
        <w:spacing w:line="360" w:lineRule="auto"/>
        <w:ind w:firstLine="420"/>
        <w:rPr>
          <w:rFonts w:cs="Arial"/>
          <w:szCs w:val="22"/>
        </w:rPr>
      </w:pPr>
      <w:r w:rsidRPr="00AC222C">
        <w:rPr>
          <w:rFonts w:cs="Arial"/>
          <w:szCs w:val="22"/>
        </w:rPr>
        <w:t xml:space="preserve">where </w:t>
      </w:r>
      <m:oMath>
        <m:r>
          <w:rPr>
            <w:rFonts w:ascii="Cambria Math" w:hAnsi="Cambria Math" w:cs="Arial"/>
            <w:szCs w:val="22"/>
          </w:rPr>
          <m:t xml:space="preserve">V </m:t>
        </m:r>
      </m:oMath>
      <w:r w:rsidRPr="00AC222C">
        <w:rPr>
          <w:rFonts w:cs="Arial"/>
          <w:szCs w:val="22"/>
        </w:rPr>
        <w:t xml:space="preserve">is the equipment volume, </w:t>
      </w:r>
      <m:oMath>
        <m:sSub>
          <m:sSubPr>
            <m:ctrlPr>
              <w:rPr>
                <w:rFonts w:ascii="Cambria Math" w:hAnsi="Cambria Math" w:cs="Arial"/>
                <w:szCs w:val="22"/>
              </w:rPr>
            </m:ctrlPr>
          </m:sSubPr>
          <m:e>
            <m:r>
              <w:rPr>
                <w:rFonts w:ascii="Cambria Math" w:hAnsi="Cambria Math" w:cs="Arial"/>
                <w:szCs w:val="22"/>
              </w:rPr>
              <m:t>V</m:t>
            </m:r>
          </m:e>
          <m:sub>
            <m:r>
              <w:rPr>
                <w:rFonts w:ascii="Cambria Math" w:hAnsi="Cambria Math" w:cs="Arial"/>
                <w:szCs w:val="22"/>
              </w:rPr>
              <m:t>0</m:t>
            </m:r>
          </m:sub>
        </m:sSub>
        <m:r>
          <w:rPr>
            <w:rFonts w:ascii="Cambria Math" w:hAnsi="Cambria Math" w:cs="Arial"/>
            <w:szCs w:val="22"/>
          </w:rPr>
          <m:t>=20</m:t>
        </m:r>
        <m:r>
          <m:rPr>
            <m:nor/>
          </m:rPr>
          <w:rPr>
            <w:rFonts w:cs="Arial"/>
            <w:szCs w:val="22"/>
          </w:rPr>
          <m:t> </m:t>
        </m:r>
        <m:sSup>
          <m:sSupPr>
            <m:ctrlPr>
              <w:rPr>
                <w:rFonts w:ascii="Cambria Math" w:hAnsi="Cambria Math" w:cs="Arial"/>
                <w:szCs w:val="22"/>
              </w:rPr>
            </m:ctrlPr>
          </m:sSupPr>
          <m:e>
            <m:r>
              <m:rPr>
                <m:nor/>
              </m:rPr>
              <w:rPr>
                <w:rFonts w:cs="Arial"/>
                <w:szCs w:val="22"/>
              </w:rPr>
              <m:t>m</m:t>
            </m:r>
          </m:e>
          <m:sup>
            <m:r>
              <w:rPr>
                <w:rFonts w:ascii="Cambria Math" w:hAnsi="Cambria Math" w:cs="Arial"/>
                <w:szCs w:val="22"/>
              </w:rPr>
              <m:t>3</m:t>
            </m:r>
          </m:sup>
        </m:sSup>
        <m:r>
          <w:rPr>
            <w:rFonts w:ascii="Cambria Math" w:hAnsi="Cambria Math" w:cs="Arial"/>
            <w:szCs w:val="22"/>
          </w:rPr>
          <m:t xml:space="preserve"> </m:t>
        </m:r>
      </m:oMath>
      <w:r w:rsidRPr="00AC222C">
        <w:rPr>
          <w:rFonts w:cs="Arial"/>
          <w:szCs w:val="22"/>
        </w:rPr>
        <w:t xml:space="preserve">is the reference volume, and </w:t>
      </w:r>
      <m:oMath>
        <m:sSub>
          <m:sSubPr>
            <m:ctrlPr>
              <w:rPr>
                <w:rFonts w:ascii="Cambria Math" w:hAnsi="Cambria Math" w:cs="Arial"/>
                <w:szCs w:val="22"/>
              </w:rPr>
            </m:ctrlPr>
          </m:sSubPr>
          <m:e>
            <m:r>
              <w:rPr>
                <w:rFonts w:ascii="Cambria Math" w:hAnsi="Cambria Math" w:cs="Arial"/>
                <w:szCs w:val="22"/>
              </w:rPr>
              <m:t>C</m:t>
            </m:r>
          </m:e>
          <m:sub>
            <m:r>
              <w:rPr>
                <w:rFonts w:ascii="Cambria Math" w:hAnsi="Cambria Math" w:cs="Arial"/>
                <w:szCs w:val="22"/>
              </w:rPr>
              <m:t>0</m:t>
            </m:r>
          </m:sub>
        </m:sSub>
        <m:r>
          <w:rPr>
            <w:rFonts w:ascii="Cambria Math" w:hAnsi="Cambria Math" w:cs="Arial"/>
            <w:szCs w:val="22"/>
          </w:rPr>
          <m:t>=0.08</m:t>
        </m:r>
        <m:r>
          <m:rPr>
            <m:nor/>
          </m:rPr>
          <w:rPr>
            <w:rFonts w:cs="Arial"/>
            <w:szCs w:val="22"/>
          </w:rPr>
          <m:t> MUSD</m:t>
        </m:r>
        <m:r>
          <m:rPr>
            <m:nor/>
          </m:rPr>
          <w:rPr>
            <w:rFonts w:ascii="Cambria Math" w:cs="Arial" w:hint="eastAsia"/>
            <w:szCs w:val="22"/>
          </w:rPr>
          <m:t xml:space="preserve"> </m:t>
        </m:r>
      </m:oMath>
      <w:r w:rsidRPr="00AC222C">
        <w:rPr>
          <w:rFonts w:cs="Arial"/>
          <w:szCs w:val="22"/>
        </w:rPr>
        <w:t>represents the reference cost of a carbon-steel column in 2010. All columns were assumed to be constructed from 316L stainless steel, corresponding to a material factor of 1.7. For the MIS reactor column, an additional complexity factor of 1.8 was introduced because it represents a non-standard intensified unit. All costs were updated from the 2010 CEPCI value (550) to the 2026 value (880). Packing costs were estimated based on industrial experience, with water-wash tower packing priced at 2500 USD m</w:t>
      </w:r>
      <w:r w:rsidRPr="00AC222C">
        <w:rPr>
          <w:rFonts w:ascii="Cambria Math" w:hAnsi="Cambria Math" w:cs="Cambria Math"/>
          <w:szCs w:val="22"/>
        </w:rPr>
        <w:t>⁻</w:t>
      </w:r>
      <w:r w:rsidRPr="00AC222C">
        <w:rPr>
          <w:rFonts w:cs="Arial"/>
          <w:szCs w:val="22"/>
        </w:rPr>
        <w:t>³ and absorber/regenerator packing priced at 4000 USD m</w:t>
      </w:r>
      <w:r w:rsidRPr="00AC222C">
        <w:rPr>
          <w:rFonts w:ascii="Cambria Math" w:hAnsi="Cambria Math" w:cs="Cambria Math"/>
          <w:szCs w:val="22"/>
        </w:rPr>
        <w:t>⁻</w:t>
      </w:r>
      <w:r w:rsidRPr="00AC222C">
        <w:rPr>
          <w:rFonts w:cs="Arial"/>
          <w:szCs w:val="22"/>
        </w:rPr>
        <w:t>³. In the MIS-intensified process, the absorber height is significantly reduced due to enhanced mass transfer, although an additional MIS reactor column is introduced.</w:t>
      </w:r>
    </w:p>
    <w:p w14:paraId="7A4511CF" w14:textId="77777777" w:rsidR="00AC222C" w:rsidRPr="00AC222C" w:rsidRDefault="00AC222C" w:rsidP="00AC222C">
      <w:pPr>
        <w:spacing w:line="360" w:lineRule="auto"/>
        <w:ind w:firstLine="420"/>
        <w:rPr>
          <w:rFonts w:cs="Arial"/>
          <w:szCs w:val="22"/>
        </w:rPr>
      </w:pPr>
      <w:r w:rsidRPr="00AC222C">
        <w:rPr>
          <w:rFonts w:cs="Arial"/>
          <w:szCs w:val="22"/>
        </w:rPr>
        <w:t>The lean–rich heat exchanger was assumed to be a shell-and-tube heat exchanger (TEMA type E, fixed-tube-sheet configuration) constructed from 316L stainless steel. According to the process simulation results, the heat-transfer area is approximately 300 m². The heat-exchanger cost was estimated using the Peters–Timmerhaus correlation:</w:t>
      </w:r>
    </w:p>
    <w:p w14:paraId="46C9377F" w14:textId="53274BD5" w:rsidR="00AC222C" w:rsidRPr="00AC222C" w:rsidRDefault="00AC222C" w:rsidP="00AC222C">
      <w:pPr>
        <w:spacing w:line="360" w:lineRule="auto"/>
        <w:ind w:firstLine="420"/>
        <w:rPr>
          <w:rFonts w:cs="Arial"/>
          <w:szCs w:val="22"/>
        </w:rPr>
      </w:pPr>
      <m:oMathPara>
        <m:oMath>
          <m:r>
            <w:rPr>
              <w:rFonts w:ascii="Cambria Math" w:hAnsi="Cambria Math" w:cs="Arial"/>
              <w:szCs w:val="22"/>
            </w:rPr>
            <m:t>C=</m:t>
          </m:r>
          <m:sSub>
            <m:sSubPr>
              <m:ctrlPr>
                <w:rPr>
                  <w:rFonts w:ascii="Cambria Math" w:hAnsi="Cambria Math" w:cs="Arial"/>
                  <w:szCs w:val="22"/>
                </w:rPr>
              </m:ctrlPr>
            </m:sSubPr>
            <m:e>
              <m:r>
                <w:rPr>
                  <w:rFonts w:ascii="Cambria Math" w:hAnsi="Cambria Math" w:cs="Arial"/>
                  <w:szCs w:val="22"/>
                </w:rPr>
                <m:t>C</m:t>
              </m:r>
            </m:e>
            <m:sub>
              <m:r>
                <w:rPr>
                  <w:rFonts w:ascii="Cambria Math" w:hAnsi="Cambria Math" w:cs="Arial"/>
                  <w:szCs w:val="22"/>
                </w:rPr>
                <m:t>0</m:t>
              </m:r>
            </m:sub>
          </m:sSub>
          <m:sSup>
            <m:sSupPr>
              <m:ctrlPr>
                <w:rPr>
                  <w:rFonts w:ascii="Cambria Math" w:hAnsi="Cambria Math" w:cs="Arial"/>
                  <w:szCs w:val="22"/>
                </w:rPr>
              </m:ctrlPr>
            </m:sSupPr>
            <m:e>
              <m:d>
                <m:dPr>
                  <m:ctrlPr>
                    <w:rPr>
                      <w:rFonts w:ascii="Cambria Math" w:hAnsi="Cambria Math" w:cs="Arial"/>
                      <w:szCs w:val="22"/>
                    </w:rPr>
                  </m:ctrlPr>
                </m:dPr>
                <m:e>
                  <m:f>
                    <m:fPr>
                      <m:ctrlPr>
                        <w:rPr>
                          <w:rFonts w:ascii="Cambria Math" w:hAnsi="Cambria Math" w:cs="Arial"/>
                          <w:szCs w:val="22"/>
                        </w:rPr>
                      </m:ctrlPr>
                    </m:fPr>
                    <m:num>
                      <m:r>
                        <w:rPr>
                          <w:rFonts w:ascii="Cambria Math" w:hAnsi="Cambria Math" w:cs="Arial"/>
                          <w:szCs w:val="22"/>
                        </w:rPr>
                        <m:t>A</m:t>
                      </m:r>
                    </m:num>
                    <m:den>
                      <m:sSub>
                        <m:sSubPr>
                          <m:ctrlPr>
                            <w:rPr>
                              <w:rFonts w:ascii="Cambria Math" w:hAnsi="Cambria Math" w:cs="Arial"/>
                              <w:szCs w:val="22"/>
                            </w:rPr>
                          </m:ctrlPr>
                        </m:sSubPr>
                        <m:e>
                          <m:r>
                            <w:rPr>
                              <w:rFonts w:ascii="Cambria Math" w:hAnsi="Cambria Math" w:cs="Arial"/>
                              <w:szCs w:val="22"/>
                            </w:rPr>
                            <m:t>A</m:t>
                          </m:r>
                        </m:e>
                        <m:sub>
                          <m:r>
                            <w:rPr>
                              <w:rFonts w:ascii="Cambria Math" w:hAnsi="Cambria Math" w:cs="Arial"/>
                              <w:szCs w:val="22"/>
                            </w:rPr>
                            <m:t>0</m:t>
                          </m:r>
                        </m:sub>
                      </m:sSub>
                    </m:den>
                  </m:f>
                </m:e>
              </m:d>
            </m:e>
            <m:sup>
              <m:r>
                <w:rPr>
                  <w:rFonts w:ascii="Cambria Math" w:hAnsi="Cambria Math" w:cs="Arial"/>
                  <w:szCs w:val="22"/>
                </w:rPr>
                <m:t>n</m:t>
              </m:r>
            </m:sup>
          </m:sSup>
          <m:sSub>
            <m:sSubPr>
              <m:ctrlPr>
                <w:rPr>
                  <w:rFonts w:ascii="Cambria Math" w:hAnsi="Cambria Math" w:cs="Arial"/>
                  <w:szCs w:val="22"/>
                </w:rPr>
              </m:ctrlPr>
            </m:sSubPr>
            <m:e>
              <m:r>
                <w:rPr>
                  <w:rFonts w:ascii="Cambria Math" w:hAnsi="Cambria Math" w:cs="Arial"/>
                  <w:szCs w:val="22"/>
                </w:rPr>
                <m:t>F</m:t>
              </m:r>
            </m:e>
            <m:sub>
              <m:r>
                <w:rPr>
                  <w:rFonts w:ascii="Cambria Math" w:hAnsi="Cambria Math" w:cs="Arial"/>
                  <w:szCs w:val="22"/>
                </w:rPr>
                <m:t>M</m:t>
              </m:r>
            </m:sub>
          </m:sSub>
          <m:sSub>
            <m:sSubPr>
              <m:ctrlPr>
                <w:rPr>
                  <w:rFonts w:ascii="Cambria Math" w:hAnsi="Cambria Math" w:cs="Arial"/>
                  <w:szCs w:val="22"/>
                </w:rPr>
              </m:ctrlPr>
            </m:sSubPr>
            <m:e>
              <m:r>
                <w:rPr>
                  <w:rFonts w:ascii="Cambria Math" w:hAnsi="Cambria Math" w:cs="Arial"/>
                  <w:szCs w:val="22"/>
                </w:rPr>
                <m:t>F</m:t>
              </m:r>
            </m:e>
            <m:sub>
              <m:r>
                <w:rPr>
                  <w:rFonts w:ascii="Cambria Math" w:hAnsi="Cambria Math" w:cs="Arial"/>
                  <w:szCs w:val="22"/>
                </w:rPr>
                <m:t>P</m:t>
              </m:r>
            </m:sub>
          </m:sSub>
        </m:oMath>
      </m:oMathPara>
    </w:p>
    <w:p w14:paraId="3062E25F" w14:textId="536F6023" w:rsidR="00AC222C" w:rsidRPr="00AC222C" w:rsidRDefault="00AC222C" w:rsidP="00AC222C">
      <w:pPr>
        <w:spacing w:line="360" w:lineRule="auto"/>
        <w:ind w:firstLine="420"/>
        <w:rPr>
          <w:rFonts w:cs="Arial"/>
          <w:szCs w:val="22"/>
        </w:rPr>
      </w:pPr>
      <w:r w:rsidRPr="00AC222C">
        <w:rPr>
          <w:rFonts w:cs="Arial"/>
          <w:szCs w:val="22"/>
        </w:rPr>
        <w:t xml:space="preserve">where </w:t>
      </w:r>
      <m:oMath>
        <m:sSub>
          <m:sSubPr>
            <m:ctrlPr>
              <w:rPr>
                <w:rFonts w:ascii="Cambria Math" w:hAnsi="Cambria Math" w:cs="Arial"/>
                <w:szCs w:val="22"/>
              </w:rPr>
            </m:ctrlPr>
          </m:sSubPr>
          <m:e>
            <m:r>
              <w:rPr>
                <w:rFonts w:ascii="Cambria Math" w:hAnsi="Cambria Math" w:cs="Arial"/>
                <w:szCs w:val="22"/>
              </w:rPr>
              <m:t>A</m:t>
            </m:r>
          </m:e>
          <m:sub>
            <m:r>
              <w:rPr>
                <w:rFonts w:ascii="Cambria Math" w:hAnsi="Cambria Math" w:cs="Arial"/>
                <w:szCs w:val="22"/>
              </w:rPr>
              <m:t>0</m:t>
            </m:r>
          </m:sub>
        </m:sSub>
        <m:r>
          <w:rPr>
            <w:rFonts w:ascii="Cambria Math" w:hAnsi="Cambria Math" w:cs="Arial"/>
            <w:szCs w:val="22"/>
          </w:rPr>
          <m:t>=100</m:t>
        </m:r>
        <m:r>
          <m:rPr>
            <m:nor/>
          </m:rPr>
          <w:rPr>
            <w:rFonts w:cs="Arial"/>
            <w:szCs w:val="22"/>
          </w:rPr>
          <m:t> </m:t>
        </m:r>
        <m:sSup>
          <m:sSupPr>
            <m:ctrlPr>
              <w:rPr>
                <w:rFonts w:ascii="Cambria Math" w:hAnsi="Cambria Math" w:cs="Arial"/>
                <w:szCs w:val="22"/>
              </w:rPr>
            </m:ctrlPr>
          </m:sSupPr>
          <m:e>
            <m:r>
              <m:rPr>
                <m:nor/>
              </m:rPr>
              <w:rPr>
                <w:rFonts w:cs="Arial"/>
                <w:szCs w:val="22"/>
              </w:rPr>
              <m:t>m</m:t>
            </m:r>
          </m:e>
          <m:sup>
            <m:r>
              <w:rPr>
                <w:rFonts w:ascii="Cambria Math" w:hAnsi="Cambria Math" w:cs="Arial"/>
                <w:szCs w:val="22"/>
              </w:rPr>
              <m:t>2</m:t>
            </m:r>
          </m:sup>
        </m:sSup>
      </m:oMath>
      <w:r w:rsidRPr="00AC222C">
        <w:rPr>
          <w:rFonts w:cs="Arial"/>
          <w:szCs w:val="22"/>
        </w:rPr>
        <w:t xml:space="preserve">, </w:t>
      </w:r>
      <m:oMath>
        <m:r>
          <w:rPr>
            <w:rFonts w:ascii="Cambria Math" w:hAnsi="Cambria Math" w:cs="Arial"/>
            <w:szCs w:val="22"/>
          </w:rPr>
          <m:t>n=0.6</m:t>
        </m:r>
      </m:oMath>
      <w:r w:rsidRPr="00AC222C">
        <w:rPr>
          <w:rFonts w:cs="Arial"/>
          <w:szCs w:val="22"/>
        </w:rPr>
        <w:t xml:space="preserve">, and </w:t>
      </w:r>
      <m:oMath>
        <m:sSub>
          <m:sSubPr>
            <m:ctrlPr>
              <w:rPr>
                <w:rFonts w:ascii="Cambria Math" w:hAnsi="Cambria Math" w:cs="Arial"/>
                <w:szCs w:val="22"/>
              </w:rPr>
            </m:ctrlPr>
          </m:sSubPr>
          <m:e>
            <m:r>
              <w:rPr>
                <w:rFonts w:ascii="Cambria Math" w:hAnsi="Cambria Math" w:cs="Arial"/>
                <w:szCs w:val="22"/>
              </w:rPr>
              <m:t>C</m:t>
            </m:r>
          </m:e>
          <m:sub>
            <m:r>
              <w:rPr>
                <w:rFonts w:ascii="Cambria Math" w:hAnsi="Cambria Math" w:cs="Arial"/>
                <w:szCs w:val="22"/>
              </w:rPr>
              <m:t>0</m:t>
            </m:r>
          </m:sub>
        </m:sSub>
        <m:r>
          <w:rPr>
            <w:rFonts w:ascii="Cambria Math" w:hAnsi="Cambria Math" w:cs="Arial"/>
            <w:szCs w:val="22"/>
          </w:rPr>
          <m:t>=</m:t>
        </m:r>
        <m:r>
          <m:rPr>
            <m:sty m:val="p"/>
          </m:rPr>
          <w:rPr>
            <w:rFonts w:ascii="Cambria Math" w:hAnsi="Cambria Math" w:cs="Arial"/>
            <w:szCs w:val="22"/>
          </w:rPr>
          <m:t>120,000</m:t>
        </m:r>
      </m:oMath>
      <w:r w:rsidRPr="00AC222C">
        <w:rPr>
          <w:rFonts w:cs="Arial"/>
          <w:szCs w:val="22"/>
        </w:rPr>
        <w:t>USD represents the base cost of a carbon-steel heat exchanger</w:t>
      </w:r>
      <w:r w:rsidR="00255AC5">
        <w:rPr>
          <w:rFonts w:cs="Arial"/>
          <w:szCs w:val="22"/>
        </w:rPr>
        <w:fldChar w:fldCharType="begin"/>
      </w:r>
      <w:r w:rsidR="00282AF2">
        <w:rPr>
          <w:rFonts w:cs="Arial"/>
          <w:szCs w:val="22"/>
        </w:rPr>
        <w:instrText xml:space="preserve"> ADDIN EN.CITE &lt;EndNote&gt;&lt;Cite&gt;&lt;Author&gt;Towler&lt;/Author&gt;&lt;Year&gt;2021&lt;/Year&gt;&lt;RecNum&gt;353&lt;/RecNum&gt;&lt;DisplayText&gt;&lt;style face="superscript"&gt;48&lt;/style&gt;&lt;/DisplayText&gt;&lt;record&gt;&lt;rec-number&gt;353&lt;/rec-number&gt;&lt;foreign-keys&gt;&lt;key app="EN" db-id="0e5tz0z0ke5t29ex5r955wd3advpxrsstet0" timestamp="1772611133" guid="14aea49e-1b92-4340-8f7e-0257f29aeea4"&gt;353&lt;/key&gt;&lt;/foreign-keys&gt;&lt;ref-type name="Book"&gt;6&lt;/ref-type&gt;&lt;contributors&gt;&lt;authors&gt;&lt;author&gt;Towler, Gavin&lt;/author&gt;&lt;author&gt;Sinnott, Ray&lt;/author&gt;&lt;/authors&gt;&lt;/contributors&gt;&lt;titles&gt;&lt;title&gt;Chemical engineering design: principles, practice and economics of plant and process design&lt;/title&gt;&lt;/titles&gt;&lt;dates&gt;&lt;year&gt;2021&lt;/year&gt;&lt;/dates&gt;&lt;publisher&gt;Butterworth-Heinemann&lt;/publisher&gt;&lt;isbn&gt;0323850480&lt;/isbn&gt;&lt;urls&gt;&lt;/urls&gt;&lt;/record&gt;&lt;/Cite&gt;&lt;/EndNote&gt;</w:instrText>
      </w:r>
      <w:r w:rsidR="00255AC5">
        <w:rPr>
          <w:rFonts w:cs="Arial"/>
          <w:szCs w:val="22"/>
        </w:rPr>
        <w:fldChar w:fldCharType="separate"/>
      </w:r>
      <w:r w:rsidR="00282AF2" w:rsidRPr="00282AF2">
        <w:rPr>
          <w:rFonts w:cs="Arial"/>
          <w:noProof/>
          <w:szCs w:val="22"/>
          <w:vertAlign w:val="superscript"/>
        </w:rPr>
        <w:t>48</w:t>
      </w:r>
      <w:r w:rsidR="00255AC5">
        <w:rPr>
          <w:rFonts w:cs="Arial"/>
          <w:szCs w:val="22"/>
        </w:rPr>
        <w:fldChar w:fldCharType="end"/>
      </w:r>
      <w:r w:rsidRPr="00AC222C">
        <w:rPr>
          <w:rFonts w:cs="Arial"/>
          <w:szCs w:val="22"/>
        </w:rPr>
        <w:t xml:space="preserve">. The material factor for 316L stainless steel was taken as 2.3, and the pressure factor was taken as 1.0. Under these assumptions, the cost of the lean–rich heat exchanger is approximately 0.53 MUSD. The regeneration section employs a kettle-type reboiler </w:t>
      </w:r>
      <w:r w:rsidRPr="00AC222C">
        <w:rPr>
          <w:rFonts w:cs="Arial"/>
          <w:szCs w:val="22"/>
        </w:rPr>
        <w:lastRenderedPageBreak/>
        <w:t>with a design heat flux of 20 kW m</w:t>
      </w:r>
      <w:r w:rsidRPr="00AC222C">
        <w:rPr>
          <w:rFonts w:ascii="Cambria Math" w:hAnsi="Cambria Math" w:cs="Cambria Math"/>
          <w:szCs w:val="22"/>
        </w:rPr>
        <w:t>⁻</w:t>
      </w:r>
      <w:r w:rsidRPr="00AC222C">
        <w:rPr>
          <w:rFonts w:cs="Arial"/>
          <w:szCs w:val="22"/>
        </w:rPr>
        <w:t>², which lies within the typical industrial range of 15–25 kW m</w:t>
      </w:r>
      <w:r w:rsidRPr="00AC222C">
        <w:rPr>
          <w:rFonts w:ascii="Cambria Math" w:hAnsi="Cambria Math" w:cs="Cambria Math"/>
          <w:szCs w:val="22"/>
        </w:rPr>
        <w:t>⁻</w:t>
      </w:r>
      <w:r w:rsidRPr="00AC222C">
        <w:rPr>
          <w:rFonts w:cs="Arial"/>
          <w:szCs w:val="22"/>
        </w:rPr>
        <w:t>². Under low-temperature regeneration conditions (80–90 °C), the system can utilize industrial waste heat or hot-water heat exchange instead of conventional low-pressure steam. Typical heat price ranges are as follows: low-temperature waste heat 0–3 USD GJ</w:t>
      </w:r>
      <w:r w:rsidRPr="00AC222C">
        <w:rPr>
          <w:rFonts w:ascii="Cambria Math" w:hAnsi="Cambria Math" w:cs="Cambria Math"/>
          <w:szCs w:val="22"/>
        </w:rPr>
        <w:t>⁻</w:t>
      </w:r>
      <w:r w:rsidRPr="00AC222C">
        <w:rPr>
          <w:rFonts w:cs="Arial"/>
          <w:szCs w:val="22"/>
        </w:rPr>
        <w:t>¹, process hot water 2–5 USD GJ</w:t>
      </w:r>
      <w:r w:rsidRPr="00AC222C">
        <w:rPr>
          <w:rFonts w:ascii="Cambria Math" w:hAnsi="Cambria Math" w:cs="Cambria Math"/>
          <w:szCs w:val="22"/>
        </w:rPr>
        <w:t>⁻</w:t>
      </w:r>
      <w:r w:rsidRPr="00AC222C">
        <w:rPr>
          <w:rFonts w:cs="Arial"/>
          <w:szCs w:val="22"/>
        </w:rPr>
        <w:t>¹, and low-pressure steam approximately 10 USD GJ</w:t>
      </w:r>
      <w:r w:rsidRPr="00AC222C">
        <w:rPr>
          <w:rFonts w:ascii="Cambria Math" w:hAnsi="Cambria Math" w:cs="Cambria Math"/>
          <w:szCs w:val="22"/>
        </w:rPr>
        <w:t>⁻</w:t>
      </w:r>
      <w:r w:rsidRPr="00AC222C">
        <w:rPr>
          <w:rFonts w:cs="Arial"/>
          <w:szCs w:val="22"/>
        </w:rPr>
        <w:t>¹. Because the MIS-intensified system significantly reduces the regeneration temperature, it becomes more compatible with the utilization of low-grade industrial waste heat, thereby reducing operational costs.</w:t>
      </w:r>
    </w:p>
    <w:p w14:paraId="5C932B2E" w14:textId="77777777" w:rsidR="00AC222C" w:rsidRPr="00AC222C" w:rsidRDefault="00AC222C" w:rsidP="00AC222C">
      <w:pPr>
        <w:spacing w:line="360" w:lineRule="auto"/>
        <w:ind w:firstLine="420"/>
        <w:rPr>
          <w:rFonts w:cs="Arial"/>
          <w:szCs w:val="22"/>
        </w:rPr>
      </w:pPr>
      <w:r w:rsidRPr="00AC222C">
        <w:rPr>
          <w:rFonts w:cs="Arial"/>
          <w:szCs w:val="22"/>
        </w:rPr>
        <w:t>The solvent prices used in the techno-economic analysis were assumed to be 1.5 USD kg</w:t>
      </w:r>
      <w:r w:rsidRPr="00AC222C">
        <w:rPr>
          <w:rFonts w:ascii="Cambria Math" w:hAnsi="Cambria Math" w:cs="Cambria Math"/>
          <w:szCs w:val="22"/>
        </w:rPr>
        <w:t>⁻</w:t>
      </w:r>
      <w:r w:rsidRPr="00AC222C">
        <w:rPr>
          <w:rFonts w:cs="Arial"/>
          <w:szCs w:val="22"/>
        </w:rPr>
        <w:t>¹ for MEA, 2.0 USD kg</w:t>
      </w:r>
      <w:r w:rsidRPr="00AC222C">
        <w:rPr>
          <w:rFonts w:ascii="Cambria Math" w:hAnsi="Cambria Math" w:cs="Cambria Math"/>
          <w:szCs w:val="22"/>
        </w:rPr>
        <w:t>⁻</w:t>
      </w:r>
      <w:r w:rsidRPr="00AC222C">
        <w:rPr>
          <w:rFonts w:cs="Arial"/>
          <w:szCs w:val="22"/>
        </w:rPr>
        <w:t>¹ for MDEA, 6.0 USD kg</w:t>
      </w:r>
      <w:r w:rsidRPr="00AC222C">
        <w:rPr>
          <w:rFonts w:ascii="Cambria Math" w:hAnsi="Cambria Math" w:cs="Cambria Math"/>
          <w:szCs w:val="22"/>
        </w:rPr>
        <w:t>⁻</w:t>
      </w:r>
      <w:r w:rsidRPr="00AC222C">
        <w:rPr>
          <w:rFonts w:cs="Arial"/>
          <w:szCs w:val="22"/>
        </w:rPr>
        <w:t>¹ for AMP, and 3.5 USD kg</w:t>
      </w:r>
      <w:r w:rsidRPr="00AC222C">
        <w:rPr>
          <w:rFonts w:ascii="Cambria Math" w:hAnsi="Cambria Math" w:cs="Cambria Math"/>
          <w:szCs w:val="22"/>
        </w:rPr>
        <w:t>⁻</w:t>
      </w:r>
      <w:r w:rsidRPr="00AC222C">
        <w:rPr>
          <w:rFonts w:cs="Arial"/>
          <w:szCs w:val="22"/>
        </w:rPr>
        <w:t>¹ for PZ. Solvent loss rates were determined based on the amine emission experiments and were incorporated into the operating cost calculation. By accounting for regeneration heat duty, interfacial generation energy, pumping electricity, solvent losses, and equipment depreciation, the overall CO</w:t>
      </w:r>
      <w:r w:rsidRPr="00AC222C">
        <w:rPr>
          <w:rFonts w:ascii="Cambria Math" w:hAnsi="Cambria Math" w:cs="Cambria Math"/>
          <w:szCs w:val="22"/>
        </w:rPr>
        <w:t>₂</w:t>
      </w:r>
      <w:r w:rsidRPr="00AC222C">
        <w:rPr>
          <w:rFonts w:cs="Arial"/>
          <w:szCs w:val="22"/>
        </w:rPr>
        <w:t xml:space="preserve"> capture cost of the MIS-intensified process can be obtained. Because MIS significantly reduces the regeneration energy requirement, equipment depreciation contributes a relatively small fraction of the total cost; nevertheless, the above calculations provide a consistent economic framework for evaluating the engineering feasibility of the MIS technology.</w:t>
      </w:r>
    </w:p>
    <w:p w14:paraId="788C6982" w14:textId="77777777" w:rsidR="00343528" w:rsidRDefault="00343528" w:rsidP="00343528">
      <w:pPr>
        <w:spacing w:line="480" w:lineRule="auto"/>
        <w:rPr>
          <w:rFonts w:eastAsia="KaiTi" w:cs="Arial"/>
          <w:szCs w:val="21"/>
        </w:rPr>
      </w:pPr>
      <w:r w:rsidRPr="003E4106">
        <w:rPr>
          <w:rFonts w:eastAsia="KaiTi" w:cs="Arial" w:hint="eastAsia"/>
          <w:b/>
          <w:bCs/>
          <w:szCs w:val="21"/>
        </w:rPr>
        <w:t>5</w:t>
      </w:r>
      <w:r w:rsidRPr="003E4106">
        <w:rPr>
          <w:rFonts w:eastAsia="KaiTi" w:cs="Arial"/>
          <w:b/>
          <w:bCs/>
          <w:szCs w:val="21"/>
        </w:rPr>
        <w:t>.</w:t>
      </w:r>
      <w:r w:rsidRPr="003E4106">
        <w:rPr>
          <w:rFonts w:eastAsia="KaiTi" w:cs="Arial" w:hint="eastAsia"/>
          <w:b/>
          <w:bCs/>
          <w:szCs w:val="21"/>
        </w:rPr>
        <w:t>2</w:t>
      </w:r>
      <w:r w:rsidRPr="003E4106">
        <w:rPr>
          <w:rFonts w:eastAsia="KaiTi" w:cs="Arial"/>
          <w:b/>
          <w:bCs/>
          <w:szCs w:val="21"/>
        </w:rPr>
        <w:t xml:space="preserve"> Hydrodynamics and bubble coalescence behavior</w:t>
      </w:r>
    </w:p>
    <w:p w14:paraId="17BDD6BE" w14:textId="77777777" w:rsidR="00510060" w:rsidRPr="00510060" w:rsidRDefault="00510060" w:rsidP="00510060">
      <w:pPr>
        <w:spacing w:line="360" w:lineRule="auto"/>
        <w:ind w:firstLine="420"/>
        <w:rPr>
          <w:rFonts w:cs="Arial"/>
          <w:szCs w:val="22"/>
        </w:rPr>
      </w:pPr>
      <w:r w:rsidRPr="00510060">
        <w:rPr>
          <w:rFonts w:cs="Arial"/>
          <w:szCs w:val="22"/>
        </w:rPr>
        <w:t>The stability evolution of microbubbles during their development along the 6 m column, shown in Fig. 2i of the main text, was obtained from CFD simulations. The gas–liquid two-phase flow was described using the Euler–Euler two-fluid model, in which the gas and liquid phases are treated as interpenetrating continua. The conservation equations of mass and momentum, together with the turbulence transport equations, were solved for each phase. Interphase forces include drag, lift, wall lubrication force, virtual mass force, and turbulent dispersion force. The governing equations are summarized in Table S2.</w:t>
      </w:r>
    </w:p>
    <w:p w14:paraId="68E3EFD1" w14:textId="77777777" w:rsidR="00510060" w:rsidRDefault="00510060" w:rsidP="00510060">
      <w:pPr>
        <w:spacing w:line="360" w:lineRule="auto"/>
        <w:ind w:firstLine="420"/>
        <w:rPr>
          <w:rFonts w:cs="Arial"/>
          <w:szCs w:val="22"/>
        </w:rPr>
      </w:pPr>
      <w:r w:rsidRPr="00510060">
        <w:rPr>
          <w:rFonts w:cs="Arial"/>
          <w:szCs w:val="22"/>
        </w:rPr>
        <w:t xml:space="preserve">To describe the microbubble size distribution, a Population Balance Model (PBM) was introduced to discretize the bubble size distribution (BSD). In this approach, the continuous size distribution is represented by a finite number of representative bubble diameters and their corresponding probability fractions, allowing the essential bubble dynamics to be retained while </w:t>
      </w:r>
      <w:r w:rsidRPr="00510060">
        <w:rPr>
          <w:rFonts w:cs="Arial"/>
          <w:szCs w:val="22"/>
        </w:rPr>
        <w:lastRenderedPageBreak/>
        <w:t>maintaining computational efficiency. The resulting bubble size distribution is influenced by several factors, including the gas distributor configuration, gas density, column aspect ratio, and liquid physical properties, which in turn affect the gas holdup and the turbulent energy distribution in the liquid phase.</w:t>
      </w:r>
    </w:p>
    <w:p w14:paraId="5CD22125" w14:textId="77777777" w:rsidR="000B6870" w:rsidRPr="000B6870" w:rsidRDefault="000B6870" w:rsidP="000B6870">
      <w:pPr>
        <w:spacing w:line="360" w:lineRule="auto"/>
        <w:jc w:val="center"/>
        <w:rPr>
          <w:rFonts w:ascii="Times New Roman" w:hAnsi="Times New Roman" w:cs="Times New Roman"/>
          <w:color w:val="000000" w:themeColor="text1"/>
          <w:sz w:val="24"/>
        </w:rPr>
      </w:pPr>
      <w:r w:rsidRPr="000B6870">
        <w:rPr>
          <w:rFonts w:ascii="Times New Roman" w:hAnsi="Times New Roman" w:cs="Times New Roman"/>
          <w:b/>
          <w:color w:val="000000" w:themeColor="text1"/>
          <w:sz w:val="24"/>
        </w:rPr>
        <w:t>Table S</w:t>
      </w:r>
      <w:r w:rsidRPr="000B6870">
        <w:rPr>
          <w:rFonts w:ascii="Times New Roman" w:hAnsi="Times New Roman" w:cs="Times New Roman" w:hint="eastAsia"/>
          <w:b/>
          <w:color w:val="000000" w:themeColor="text1"/>
          <w:sz w:val="24"/>
        </w:rPr>
        <w:t>2</w:t>
      </w:r>
      <w:r w:rsidRPr="000B6870">
        <w:rPr>
          <w:rFonts w:ascii="Times New Roman" w:hAnsi="Times New Roman" w:cs="Times New Roman"/>
          <w:b/>
          <w:color w:val="000000" w:themeColor="text1"/>
          <w:sz w:val="24"/>
        </w:rPr>
        <w:t>.</w:t>
      </w:r>
      <w:r w:rsidRPr="000B6870">
        <w:rPr>
          <w:rFonts w:ascii="Times New Roman" w:hAnsi="Times New Roman" w:cs="Times New Roman"/>
          <w:color w:val="000000" w:themeColor="text1"/>
          <w:sz w:val="24"/>
        </w:rPr>
        <w:t xml:space="preserve"> Governing equations of gas–liquid flows.</w:t>
      </w:r>
    </w:p>
    <w:tbl>
      <w:tblPr>
        <w:tblStyle w:val="ae"/>
        <w:tblW w:w="9072" w:type="dxa"/>
        <w:tblLook w:val="04A0" w:firstRow="1" w:lastRow="0" w:firstColumn="1" w:lastColumn="0" w:noHBand="0" w:noVBand="1"/>
      </w:tblPr>
      <w:tblGrid>
        <w:gridCol w:w="1410"/>
        <w:gridCol w:w="182"/>
        <w:gridCol w:w="104"/>
        <w:gridCol w:w="142"/>
        <w:gridCol w:w="883"/>
        <w:gridCol w:w="235"/>
        <w:gridCol w:w="1180"/>
        <w:gridCol w:w="4936"/>
      </w:tblGrid>
      <w:tr w:rsidR="000B6870" w:rsidRPr="000B6870" w14:paraId="033CC69B" w14:textId="77777777" w:rsidTr="00DC5748">
        <w:tc>
          <w:tcPr>
            <w:tcW w:w="1410" w:type="dxa"/>
            <w:tcBorders>
              <w:top w:val="single" w:sz="4" w:space="0" w:color="auto"/>
              <w:left w:val="nil"/>
              <w:bottom w:val="single" w:sz="4" w:space="0" w:color="auto"/>
              <w:right w:val="nil"/>
            </w:tcBorders>
            <w:vAlign w:val="center"/>
          </w:tcPr>
          <w:p w14:paraId="044E6222"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Model</w:t>
            </w:r>
          </w:p>
        </w:tc>
        <w:tc>
          <w:tcPr>
            <w:tcW w:w="286" w:type="dxa"/>
            <w:gridSpan w:val="2"/>
            <w:tcBorders>
              <w:top w:val="single" w:sz="4" w:space="0" w:color="auto"/>
              <w:left w:val="nil"/>
              <w:bottom w:val="single" w:sz="4" w:space="0" w:color="auto"/>
              <w:right w:val="nil"/>
            </w:tcBorders>
            <w:vAlign w:val="center"/>
          </w:tcPr>
          <w:p w14:paraId="4E177616" w14:textId="77777777" w:rsidR="000B6870" w:rsidRPr="000B6870" w:rsidRDefault="000B6870" w:rsidP="000B6870">
            <w:pPr>
              <w:spacing w:line="360" w:lineRule="auto"/>
              <w:jc w:val="center"/>
              <w:rPr>
                <w:color w:val="000000" w:themeColor="text1"/>
                <w:sz w:val="20"/>
                <w:szCs w:val="20"/>
              </w:rPr>
            </w:pPr>
          </w:p>
        </w:tc>
        <w:tc>
          <w:tcPr>
            <w:tcW w:w="7376" w:type="dxa"/>
            <w:gridSpan w:val="5"/>
            <w:tcBorders>
              <w:top w:val="single" w:sz="4" w:space="0" w:color="auto"/>
              <w:left w:val="nil"/>
              <w:bottom w:val="single" w:sz="4" w:space="0" w:color="auto"/>
              <w:right w:val="nil"/>
            </w:tcBorders>
            <w:vAlign w:val="center"/>
          </w:tcPr>
          <w:p w14:paraId="751A0B9F"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Equations</w:t>
            </w:r>
          </w:p>
        </w:tc>
      </w:tr>
      <w:tr w:rsidR="000B6870" w:rsidRPr="000B6870" w14:paraId="049E342C" w14:textId="77777777" w:rsidTr="00DC5748">
        <w:tc>
          <w:tcPr>
            <w:tcW w:w="2721" w:type="dxa"/>
            <w:gridSpan w:val="5"/>
            <w:tcBorders>
              <w:top w:val="single" w:sz="4" w:space="0" w:color="auto"/>
              <w:left w:val="nil"/>
              <w:bottom w:val="nil"/>
              <w:right w:val="nil"/>
            </w:tcBorders>
            <w:vAlign w:val="center"/>
          </w:tcPr>
          <w:p w14:paraId="4D9BD4E4"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Continuity equation</w:t>
            </w:r>
          </w:p>
        </w:tc>
        <w:tc>
          <w:tcPr>
            <w:tcW w:w="235" w:type="dxa"/>
            <w:tcBorders>
              <w:top w:val="single" w:sz="4" w:space="0" w:color="auto"/>
              <w:left w:val="nil"/>
              <w:bottom w:val="nil"/>
              <w:right w:val="nil"/>
            </w:tcBorders>
            <w:vAlign w:val="center"/>
          </w:tcPr>
          <w:p w14:paraId="6E430B97" w14:textId="77777777" w:rsidR="000B6870" w:rsidRPr="000B6870" w:rsidRDefault="000B6870" w:rsidP="000B6870">
            <w:pPr>
              <w:spacing w:line="360" w:lineRule="auto"/>
              <w:jc w:val="center"/>
              <w:rPr>
                <w:color w:val="000000" w:themeColor="text1"/>
                <w:sz w:val="20"/>
                <w:szCs w:val="20"/>
              </w:rPr>
            </w:pPr>
          </w:p>
        </w:tc>
        <w:tc>
          <w:tcPr>
            <w:tcW w:w="6116" w:type="dxa"/>
            <w:gridSpan w:val="2"/>
            <w:tcBorders>
              <w:top w:val="single" w:sz="4" w:space="0" w:color="auto"/>
              <w:left w:val="nil"/>
              <w:bottom w:val="nil"/>
              <w:right w:val="nil"/>
            </w:tcBorders>
            <w:vAlign w:val="center"/>
          </w:tcPr>
          <w:p w14:paraId="1D208BC1" w14:textId="77777777" w:rsidR="000B6870" w:rsidRPr="000B6870" w:rsidRDefault="00F80AA9" w:rsidP="000B6870">
            <w:pPr>
              <w:spacing w:line="360" w:lineRule="auto"/>
              <w:jc w:val="center"/>
              <w:rPr>
                <w:iCs/>
                <w:color w:val="000000" w:themeColor="text1"/>
                <w:sz w:val="20"/>
                <w:szCs w:val="20"/>
              </w:rPr>
            </w:pPr>
            <m:oMathPara>
              <m:oMath>
                <m:f>
                  <m:fPr>
                    <m:type m:val="lin"/>
                    <m:ctrlPr>
                      <w:rPr>
                        <w:rStyle w:val="af"/>
                        <w:rFonts w:ascii="Cambria Math" w:hAnsi="Cambria Math"/>
                        <w:iCs/>
                        <w:color w:val="000000" w:themeColor="text1"/>
                        <w:sz w:val="20"/>
                        <w:szCs w:val="20"/>
                      </w:rPr>
                    </m:ctrlPr>
                  </m:fPr>
                  <m:num>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αρ</m:t>
                        </m:r>
                        <m:r>
                          <m:rPr>
                            <m:sty m:val="p"/>
                          </m:rPr>
                          <w:rPr>
                            <w:rStyle w:val="af"/>
                            <w:rFonts w:ascii="Cambria Math" w:hAnsi="Cambria Math"/>
                            <w:color w:val="000000" w:themeColor="text1"/>
                            <w:sz w:val="20"/>
                            <w:szCs w:val="20"/>
                          </w:rPr>
                          <m:t>)</m:t>
                        </m:r>
                      </m:e>
                      <m:sub>
                        <m:r>
                          <w:rPr>
                            <w:rStyle w:val="af"/>
                            <w:rFonts w:ascii="Cambria Math" w:hAnsi="Cambria Math"/>
                            <w:color w:val="000000" w:themeColor="text1"/>
                            <w:sz w:val="20"/>
                            <w:szCs w:val="20"/>
                          </w:rPr>
                          <m:t>i</m:t>
                        </m:r>
                      </m:sub>
                    </m:sSub>
                  </m:num>
                  <m:den>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t</m:t>
                    </m:r>
                  </m:den>
                </m:f>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αρ</m:t>
                    </m:r>
                    <m:r>
                      <m:rPr>
                        <m:sty m:val="bi"/>
                      </m:rPr>
                      <w:rPr>
                        <w:rStyle w:val="af"/>
                        <w:rFonts w:ascii="Cambria Math" w:hAnsi="Cambria Math"/>
                        <w:color w:val="000000" w:themeColor="text1"/>
                        <w:sz w:val="20"/>
                        <w:szCs w:val="20"/>
                      </w:rPr>
                      <m:t>u</m:t>
                    </m:r>
                    <m:r>
                      <m:rPr>
                        <m:sty m:val="p"/>
                      </m:rPr>
                      <w:rPr>
                        <w:rStyle w:val="af"/>
                        <w:rFonts w:ascii="Cambria Math" w:hAnsi="Cambria Math"/>
                        <w:color w:val="000000" w:themeColor="text1"/>
                        <w:sz w:val="20"/>
                        <w:szCs w:val="20"/>
                      </w:rPr>
                      <m:t>)</m:t>
                    </m:r>
                  </m:e>
                  <m:sub>
                    <m:r>
                      <w:rPr>
                        <w:rStyle w:val="af"/>
                        <w:rFonts w:ascii="Cambria Math" w:hAnsi="Cambria Math"/>
                        <w:color w:val="000000" w:themeColor="text1"/>
                        <w:sz w:val="20"/>
                        <w:szCs w:val="20"/>
                      </w:rPr>
                      <m:t>i</m:t>
                    </m:r>
                  </m:sub>
                </m:sSub>
                <m:r>
                  <m:rPr>
                    <m:sty m:val="p"/>
                  </m:rPr>
                  <w:rPr>
                    <w:rStyle w:val="af"/>
                    <w:rFonts w:ascii="Cambria Math" w:hAnsi="Cambria Math"/>
                    <w:color w:val="000000" w:themeColor="text1"/>
                    <w:sz w:val="20"/>
                    <w:szCs w:val="20"/>
                  </w:rPr>
                  <m:t xml:space="preserve">=0, </m:t>
                </m:r>
                <m:r>
                  <w:rPr>
                    <w:rStyle w:val="af"/>
                    <w:rFonts w:ascii="Cambria Math" w:hAnsi="Cambria Math"/>
                    <w:color w:val="000000" w:themeColor="text1"/>
                    <w:sz w:val="20"/>
                    <w:szCs w:val="20"/>
                  </w:rPr>
                  <m:t>i</m:t>
                </m:r>
                <m:r>
                  <m:rPr>
                    <m:sty m:val="p"/>
                  </m:rPr>
                  <w:rPr>
                    <w:rStyle w:val="af"/>
                    <w:rFonts w:ascii="Cambria Math" w:hAnsi="Cambria Math"/>
                    <w:color w:val="000000" w:themeColor="text1"/>
                    <w:sz w:val="20"/>
                    <w:szCs w:val="20"/>
                  </w:rPr>
                  <m:t>=gas,liquid</m:t>
                </m:r>
              </m:oMath>
            </m:oMathPara>
          </w:p>
        </w:tc>
      </w:tr>
      <w:tr w:rsidR="000B6870" w:rsidRPr="000B6870" w14:paraId="47ECC159" w14:textId="77777777" w:rsidTr="00DC5748">
        <w:tc>
          <w:tcPr>
            <w:tcW w:w="1592" w:type="dxa"/>
            <w:gridSpan w:val="2"/>
            <w:tcBorders>
              <w:top w:val="nil"/>
              <w:left w:val="nil"/>
              <w:bottom w:val="nil"/>
              <w:right w:val="nil"/>
            </w:tcBorders>
            <w:vAlign w:val="center"/>
          </w:tcPr>
          <w:p w14:paraId="44443348"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Momentum conservation equation</w:t>
            </w:r>
          </w:p>
        </w:tc>
        <w:tc>
          <w:tcPr>
            <w:tcW w:w="246" w:type="dxa"/>
            <w:gridSpan w:val="2"/>
            <w:tcBorders>
              <w:top w:val="nil"/>
              <w:left w:val="nil"/>
              <w:bottom w:val="nil"/>
              <w:right w:val="nil"/>
            </w:tcBorders>
            <w:vAlign w:val="center"/>
          </w:tcPr>
          <w:p w14:paraId="07702CF2" w14:textId="77777777" w:rsidR="000B6870" w:rsidRPr="000B6870" w:rsidRDefault="000B6870" w:rsidP="000B6870">
            <w:pPr>
              <w:spacing w:line="360" w:lineRule="auto"/>
              <w:jc w:val="center"/>
              <w:rPr>
                <w:color w:val="000000" w:themeColor="text1"/>
                <w:sz w:val="20"/>
                <w:szCs w:val="20"/>
              </w:rPr>
            </w:pPr>
          </w:p>
        </w:tc>
        <w:tc>
          <w:tcPr>
            <w:tcW w:w="7234" w:type="dxa"/>
            <w:gridSpan w:val="4"/>
            <w:tcBorders>
              <w:top w:val="nil"/>
              <w:left w:val="nil"/>
              <w:bottom w:val="nil"/>
              <w:right w:val="nil"/>
            </w:tcBorders>
            <w:vAlign w:val="center"/>
          </w:tcPr>
          <w:p w14:paraId="757906F1" w14:textId="77777777" w:rsidR="000B6870" w:rsidRPr="000B6870" w:rsidRDefault="00F80AA9" w:rsidP="000B6870">
            <w:pPr>
              <w:spacing w:line="360" w:lineRule="auto"/>
              <w:jc w:val="center"/>
              <w:rPr>
                <w:rStyle w:val="af"/>
                <w:iCs/>
                <w:color w:val="000000" w:themeColor="text1"/>
                <w:sz w:val="20"/>
                <w:szCs w:val="20"/>
              </w:rPr>
            </w:pPr>
            <m:oMathPara>
              <m:oMath>
                <m:f>
                  <m:fPr>
                    <m:type m:val="lin"/>
                    <m:ctrlPr>
                      <w:rPr>
                        <w:rStyle w:val="af"/>
                        <w:rFonts w:ascii="Cambria Math" w:hAnsi="Cambria Math"/>
                        <w:iCs/>
                        <w:color w:val="000000" w:themeColor="text1"/>
                        <w:sz w:val="20"/>
                        <w:szCs w:val="20"/>
                      </w:rPr>
                    </m:ctrlPr>
                  </m:fPr>
                  <m:num>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d>
                          <m:dPr>
                            <m:ctrlPr>
                              <w:rPr>
                                <w:rStyle w:val="af"/>
                                <w:rFonts w:ascii="Cambria Math" w:hAnsi="Cambria Math"/>
                                <w:iCs/>
                                <w:color w:val="000000" w:themeColor="text1"/>
                                <w:sz w:val="20"/>
                                <w:szCs w:val="20"/>
                              </w:rPr>
                            </m:ctrlPr>
                          </m:dPr>
                          <m:e>
                            <m:r>
                              <w:rPr>
                                <w:rStyle w:val="af"/>
                                <w:rFonts w:ascii="Cambria Math" w:hAnsi="Cambria Math"/>
                                <w:color w:val="000000" w:themeColor="text1"/>
                                <w:sz w:val="20"/>
                                <w:szCs w:val="20"/>
                              </w:rPr>
                              <m:t>αρ</m:t>
                            </m:r>
                            <m:r>
                              <m:rPr>
                                <m:sty m:val="bi"/>
                              </m:rPr>
                              <w:rPr>
                                <w:rStyle w:val="af"/>
                                <w:rFonts w:ascii="Cambria Math" w:hAnsi="Cambria Math"/>
                                <w:color w:val="000000" w:themeColor="text1"/>
                                <w:sz w:val="20"/>
                                <w:szCs w:val="20"/>
                              </w:rPr>
                              <m:t>u</m:t>
                            </m:r>
                          </m:e>
                        </m:d>
                      </m:e>
                      <m:sub>
                        <m:r>
                          <w:rPr>
                            <w:rStyle w:val="af"/>
                            <w:rFonts w:ascii="Cambria Math" w:hAnsi="Cambria Math"/>
                            <w:color w:val="000000" w:themeColor="text1"/>
                            <w:sz w:val="20"/>
                            <w:szCs w:val="20"/>
                          </w:rPr>
                          <m:t>i</m:t>
                        </m:r>
                      </m:sub>
                    </m:sSub>
                  </m:num>
                  <m:den>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t</m:t>
                    </m:r>
                  </m:den>
                </m:f>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d>
                      <m:dPr>
                        <m:ctrlPr>
                          <w:rPr>
                            <w:rStyle w:val="af"/>
                            <w:rFonts w:ascii="Cambria Math" w:hAnsi="Cambria Math"/>
                            <w:iCs/>
                            <w:color w:val="000000" w:themeColor="text1"/>
                            <w:sz w:val="20"/>
                            <w:szCs w:val="20"/>
                          </w:rPr>
                        </m:ctrlPr>
                      </m:dPr>
                      <m:e>
                        <m:r>
                          <w:rPr>
                            <w:rStyle w:val="af"/>
                            <w:rFonts w:ascii="Cambria Math" w:hAnsi="Cambria Math"/>
                            <w:color w:val="000000" w:themeColor="text1"/>
                            <w:sz w:val="20"/>
                            <w:szCs w:val="20"/>
                          </w:rPr>
                          <m:t>αρ</m:t>
                        </m:r>
                        <m:r>
                          <m:rPr>
                            <m:sty m:val="bi"/>
                          </m:rPr>
                          <w:rPr>
                            <w:rStyle w:val="af"/>
                            <w:rFonts w:ascii="Cambria Math" w:hAnsi="Cambria Math"/>
                            <w:color w:val="000000" w:themeColor="text1"/>
                            <w:sz w:val="20"/>
                            <w:szCs w:val="20"/>
                          </w:rPr>
                          <m:t>uu</m:t>
                        </m:r>
                      </m:e>
                    </m:d>
                  </m:e>
                  <m:sub>
                    <m:r>
                      <m:rPr>
                        <m:sty m:val="p"/>
                      </m:rPr>
                      <w:rPr>
                        <w:rStyle w:val="af"/>
                        <w:rFonts w:ascii="Cambria Math" w:hAnsi="Cambria Math"/>
                        <w:color w:val="000000" w:themeColor="text1"/>
                        <w:sz w:val="20"/>
                        <w:szCs w:val="20"/>
                      </w:rPr>
                      <m:t>i</m:t>
                    </m:r>
                  </m:sub>
                </m:sSub>
                <m:r>
                  <m:rPr>
                    <m:sty m:val="p"/>
                  </m:rPr>
                  <w:rPr>
                    <w:rStyle w:val="af"/>
                    <w:rFonts w:ascii="Cambria Math" w:hAnsi="Cambria Math"/>
                    <w:color w:val="000000" w:themeColor="text1"/>
                    <w:sz w:val="20"/>
                    <w:szCs w:val="20"/>
                  </w:rPr>
                  <m:t>= -</m:t>
                </m:r>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α</m:t>
                    </m:r>
                  </m:e>
                  <m:sub>
                    <m:r>
                      <w:rPr>
                        <w:rStyle w:val="af"/>
                        <w:rFonts w:ascii="Cambria Math" w:hAnsi="Cambria Math"/>
                        <w:color w:val="000000" w:themeColor="text1"/>
                        <w:sz w:val="20"/>
                        <w:szCs w:val="20"/>
                      </w:rPr>
                      <m:t>i</m:t>
                    </m:r>
                  </m:sub>
                </m:sSub>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P</m:t>
                </m:r>
                <m:r>
                  <m:rPr>
                    <m:sty m:val="p"/>
                  </m:rPr>
                  <w:rPr>
                    <w:rStyle w:val="af"/>
                    <w:rFonts w:ascii="Cambria Math" w:hAnsi="Cambria Math"/>
                    <w:color w:val="000000" w:themeColor="text1"/>
                    <w:sz w:val="20"/>
                    <w:szCs w:val="20"/>
                  </w:rPr>
                  <m:t>'+∇</m:t>
                </m:r>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(α</m:t>
                    </m:r>
                  </m:e>
                  <m:sub>
                    <m:r>
                      <w:rPr>
                        <w:rStyle w:val="af"/>
                        <w:rFonts w:ascii="Cambria Math" w:hAnsi="Cambria Math"/>
                        <w:color w:val="000000" w:themeColor="text1"/>
                        <w:sz w:val="20"/>
                        <w:szCs w:val="20"/>
                      </w:rPr>
                      <m:t>i</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eff</m:t>
                    </m:r>
                  </m:sub>
                </m:sSub>
                <m:r>
                  <m:rPr>
                    <m:sty m:val="p"/>
                  </m:rPr>
                  <w:rPr>
                    <w:rStyle w:val="af"/>
                    <w:rFonts w:ascii="Cambria Math" w:hAnsi="Cambria Math"/>
                    <w:color w:val="000000" w:themeColor="text1"/>
                    <w:sz w:val="20"/>
                    <w:szCs w:val="20"/>
                  </w:rPr>
                  <m:t>(∇</m:t>
                </m:r>
                <m:r>
                  <m:rPr>
                    <m:sty m:val="bi"/>
                  </m:rPr>
                  <w:rPr>
                    <w:rStyle w:val="af"/>
                    <w:rFonts w:ascii="Cambria Math" w:hAnsi="Cambria Math"/>
                    <w:color w:val="000000" w:themeColor="text1"/>
                    <w:sz w:val="20"/>
                    <w:szCs w:val="20"/>
                  </w:rPr>
                  <m:t>u</m:t>
                </m:r>
                <m:r>
                  <m:rPr>
                    <m:sty m:val="p"/>
                  </m:rPr>
                  <w:rPr>
                    <w:rStyle w:val="af"/>
                    <w:rFonts w:ascii="Cambria Math" w:hAnsi="Cambria Math"/>
                    <w:color w:val="000000" w:themeColor="text1"/>
                    <w:sz w:val="20"/>
                    <w:szCs w:val="20"/>
                  </w:rPr>
                  <m:t>+∇</m:t>
                </m:r>
                <m:sSup>
                  <m:sSupPr>
                    <m:ctrlPr>
                      <w:rPr>
                        <w:rStyle w:val="af"/>
                        <w:rFonts w:ascii="Cambria Math" w:hAnsi="Cambria Math"/>
                        <w:iCs/>
                        <w:color w:val="000000" w:themeColor="text1"/>
                        <w:sz w:val="20"/>
                        <w:szCs w:val="20"/>
                      </w:rPr>
                    </m:ctrlPr>
                  </m:sSupPr>
                  <m:e>
                    <m:r>
                      <m:rPr>
                        <m:sty m:val="bi"/>
                      </m:rPr>
                      <w:rPr>
                        <w:rStyle w:val="af"/>
                        <w:rFonts w:ascii="Cambria Math" w:hAnsi="Cambria Math"/>
                        <w:color w:val="000000" w:themeColor="text1"/>
                        <w:sz w:val="20"/>
                        <w:szCs w:val="20"/>
                      </w:rPr>
                      <m:t>u</m:t>
                    </m:r>
                  </m:e>
                  <m:sup>
                    <m:r>
                      <m:rPr>
                        <m:sty m:val="b"/>
                      </m:rPr>
                      <w:rPr>
                        <w:rStyle w:val="af"/>
                        <w:rFonts w:ascii="Cambria Math" w:hAnsi="Cambria Math"/>
                        <w:color w:val="000000" w:themeColor="text1"/>
                        <w:sz w:val="20"/>
                        <w:szCs w:val="20"/>
                      </w:rPr>
                      <m:t>T</m:t>
                    </m:r>
                  </m:sup>
                </m:sSup>
                <m:r>
                  <m:rPr>
                    <m:sty m:val="p"/>
                  </m:rPr>
                  <w:rPr>
                    <w:rStyle w:val="af"/>
                    <w:rFonts w:ascii="Cambria Math" w:hAnsi="Cambria Math"/>
                    <w:color w:val="000000" w:themeColor="text1"/>
                    <w:sz w:val="20"/>
                    <w:szCs w:val="20"/>
                  </w:rPr>
                  <m:t>))+</m:t>
                </m:r>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F</m:t>
                    </m:r>
                  </m:e>
                  <m:sub>
                    <m:r>
                      <w:rPr>
                        <w:rStyle w:val="af"/>
                        <w:rFonts w:ascii="Cambria Math" w:hAnsi="Cambria Math"/>
                        <w:color w:val="000000" w:themeColor="text1"/>
                        <w:sz w:val="20"/>
                        <w:szCs w:val="20"/>
                      </w:rPr>
                      <m:t>i</m:t>
                    </m:r>
                  </m:sub>
                </m:sSub>
                <m:r>
                  <m:rPr>
                    <m:sty m:val="p"/>
                  </m:rPr>
                  <w:rPr>
                    <w:rStyle w:val="af"/>
                    <w:rFonts w:ascii="Cambria Math" w:hAnsi="Cambria Math"/>
                    <w:color w:val="000000" w:themeColor="text1"/>
                    <w:sz w:val="20"/>
                    <w:szCs w:val="20"/>
                  </w:rPr>
                  <m:t>+</m:t>
                </m:r>
                <m:sSub>
                  <m:sSubPr>
                    <m:ctrlPr>
                      <w:rPr>
                        <w:rStyle w:val="af"/>
                        <w:rFonts w:ascii="Cambria Math" w:hAnsi="Cambria Math"/>
                        <w:i/>
                        <w:iCs/>
                        <w:color w:val="000000" w:themeColor="text1"/>
                        <w:sz w:val="20"/>
                        <w:szCs w:val="20"/>
                      </w:rPr>
                    </m:ctrlPr>
                  </m:sSubPr>
                  <m:e>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αρ</m:t>
                        </m:r>
                      </m:e>
                    </m:d>
                  </m:e>
                  <m:sub>
                    <m:r>
                      <w:rPr>
                        <w:rStyle w:val="af"/>
                        <w:rFonts w:ascii="Cambria Math" w:hAnsi="Cambria Math"/>
                        <w:color w:val="000000" w:themeColor="text1"/>
                        <w:sz w:val="20"/>
                        <w:szCs w:val="20"/>
                      </w:rPr>
                      <m:t>i</m:t>
                    </m:r>
                  </m:sub>
                </m:sSub>
                <m:r>
                  <w:rPr>
                    <w:rStyle w:val="af"/>
                    <w:rFonts w:ascii="Cambria Math" w:hAnsi="Cambria Math"/>
                    <w:color w:val="000000" w:themeColor="text1"/>
                    <w:sz w:val="20"/>
                    <w:szCs w:val="20"/>
                  </w:rPr>
                  <m:t>g</m:t>
                </m:r>
              </m:oMath>
            </m:oMathPara>
          </w:p>
          <w:p w14:paraId="3F0C533F" w14:textId="77777777" w:rsidR="000B6870" w:rsidRPr="000B6870" w:rsidRDefault="00F80AA9" w:rsidP="000B6870">
            <w:pPr>
              <w:spacing w:line="360" w:lineRule="auto"/>
              <w:jc w:val="center"/>
              <w:rPr>
                <w:rStyle w:val="af"/>
                <w:iCs/>
                <w:color w:val="000000" w:themeColor="text1"/>
                <w:sz w:val="20"/>
                <w:szCs w:val="20"/>
              </w:rPr>
            </w:pPr>
            <m:oMathPara>
              <m:oMath>
                <m:sSup>
                  <m:sSupPr>
                    <m:ctrlPr>
                      <w:rPr>
                        <w:rStyle w:val="af"/>
                        <w:rFonts w:ascii="Cambria Math" w:hAnsi="Cambria Math"/>
                        <w:iCs/>
                        <w:color w:val="000000" w:themeColor="text1"/>
                        <w:sz w:val="20"/>
                        <w:szCs w:val="20"/>
                      </w:rPr>
                    </m:ctrlPr>
                  </m:sSupPr>
                  <m:e>
                    <m:r>
                      <w:rPr>
                        <w:rStyle w:val="af"/>
                        <w:rFonts w:ascii="Cambria Math" w:hAnsi="Cambria Math"/>
                        <w:color w:val="000000" w:themeColor="text1"/>
                        <w:sz w:val="20"/>
                        <w:szCs w:val="20"/>
                      </w:rPr>
                      <m:t>P</m:t>
                    </m:r>
                  </m:e>
                  <m:sup>
                    <m:r>
                      <m:rPr>
                        <m:sty m:val="p"/>
                      </m:rPr>
                      <w:rPr>
                        <w:rStyle w:val="af"/>
                        <w:rFonts w:ascii="Cambria Math" w:hAnsi="Cambria Math"/>
                        <w:color w:val="000000" w:themeColor="text1"/>
                        <w:sz w:val="20"/>
                        <w:szCs w:val="20"/>
                      </w:rPr>
                      <m:t>'</m:t>
                    </m:r>
                  </m:sup>
                </m:sSup>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P</m:t>
                </m:r>
                <m:r>
                  <m:rPr>
                    <m:sty m:val="p"/>
                  </m:rPr>
                  <w:rPr>
                    <w:rStyle w:val="af"/>
                    <w:rFonts w:ascii="Cambria Math" w:hAnsi="Cambria Math"/>
                    <w:color w:val="000000" w:themeColor="text1"/>
                    <w:sz w:val="20"/>
                    <w:szCs w:val="20"/>
                  </w:rPr>
                  <m:t>+</m:t>
                </m:r>
                <m:box>
                  <m:boxPr>
                    <m:ctrlPr>
                      <w:rPr>
                        <w:rStyle w:val="af"/>
                        <w:rFonts w:ascii="Cambria Math" w:hAnsi="Cambria Math"/>
                        <w:iCs/>
                        <w:color w:val="000000" w:themeColor="text1"/>
                        <w:sz w:val="20"/>
                        <w:szCs w:val="20"/>
                      </w:rPr>
                    </m:ctrlPr>
                  </m:boxPr>
                  <m:e>
                    <m:argPr>
                      <m:argSz m:val="-1"/>
                    </m:argPr>
                    <m:f>
                      <m:fPr>
                        <m:ctrlPr>
                          <w:rPr>
                            <w:rStyle w:val="af"/>
                            <w:rFonts w:ascii="Cambria Math" w:hAnsi="Cambria Math"/>
                            <w:iCs/>
                            <w:color w:val="000000" w:themeColor="text1"/>
                            <w:sz w:val="20"/>
                            <w:szCs w:val="20"/>
                          </w:rPr>
                        </m:ctrlPr>
                      </m:fPr>
                      <m:num>
                        <m:r>
                          <m:rPr>
                            <m:sty m:val="p"/>
                          </m:rPr>
                          <w:rPr>
                            <w:rStyle w:val="af"/>
                            <w:rFonts w:ascii="Cambria Math" w:hAnsi="Cambria Math"/>
                            <w:color w:val="000000" w:themeColor="text1"/>
                            <w:sz w:val="20"/>
                            <w:szCs w:val="20"/>
                          </w:rPr>
                          <m:t>2</m:t>
                        </m:r>
                      </m:num>
                      <m:den>
                        <m:r>
                          <m:rPr>
                            <m:sty m:val="p"/>
                          </m:rPr>
                          <w:rPr>
                            <w:rStyle w:val="af"/>
                            <w:rFonts w:ascii="Cambria Math" w:hAnsi="Cambria Math"/>
                            <w:color w:val="000000" w:themeColor="text1"/>
                            <w:sz w:val="20"/>
                            <w:szCs w:val="20"/>
                          </w:rPr>
                          <m:t>3</m:t>
                        </m:r>
                      </m:den>
                    </m:f>
                  </m:e>
                </m:box>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eff,i</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bi"/>
                      </m:rPr>
                      <w:rPr>
                        <w:rStyle w:val="af"/>
                        <w:rFonts w:ascii="Cambria Math" w:hAnsi="Cambria Math"/>
                        <w:color w:val="000000" w:themeColor="text1"/>
                        <w:sz w:val="20"/>
                        <w:szCs w:val="20"/>
                      </w:rPr>
                      <m:t>μ</m:t>
                    </m:r>
                  </m:e>
                  <m:sub>
                    <m:r>
                      <m:rPr>
                        <m:sty m:val="b"/>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box>
                  <m:boxPr>
                    <m:ctrlPr>
                      <w:rPr>
                        <w:rStyle w:val="af"/>
                        <w:rFonts w:ascii="Cambria Math" w:hAnsi="Cambria Math"/>
                        <w:iCs/>
                        <w:color w:val="000000" w:themeColor="text1"/>
                        <w:sz w:val="20"/>
                        <w:szCs w:val="20"/>
                      </w:rPr>
                    </m:ctrlPr>
                  </m:boxPr>
                  <m:e>
                    <m:argPr>
                      <m:argSz m:val="-1"/>
                    </m:argPr>
                    <m:f>
                      <m:fPr>
                        <m:ctrlPr>
                          <w:rPr>
                            <w:rStyle w:val="af"/>
                            <w:rFonts w:ascii="Cambria Math" w:hAnsi="Cambria Math"/>
                            <w:iCs/>
                            <w:color w:val="000000" w:themeColor="text1"/>
                            <w:sz w:val="20"/>
                            <w:szCs w:val="20"/>
                          </w:rPr>
                        </m:ctrlPr>
                      </m:fPr>
                      <m:num>
                        <m:r>
                          <m:rPr>
                            <m:sty m:val="p"/>
                          </m:rPr>
                          <w:rPr>
                            <w:rStyle w:val="af"/>
                            <w:rFonts w:ascii="Cambria Math" w:hAnsi="Cambria Math"/>
                            <w:color w:val="000000" w:themeColor="text1"/>
                            <w:sz w:val="20"/>
                            <w:szCs w:val="20"/>
                          </w:rPr>
                          <m:t>2</m:t>
                        </m:r>
                      </m:num>
                      <m:den>
                        <m:r>
                          <m:rPr>
                            <m:sty m:val="p"/>
                          </m:rPr>
                          <w:rPr>
                            <w:rStyle w:val="af"/>
                            <w:rFonts w:ascii="Cambria Math" w:hAnsi="Cambria Math"/>
                            <w:color w:val="000000" w:themeColor="text1"/>
                            <w:sz w:val="20"/>
                            <w:szCs w:val="20"/>
                          </w:rPr>
                          <m:t>3</m:t>
                        </m:r>
                      </m:den>
                    </m:f>
                  </m:e>
                </m:box>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 xml:space="preserve"> ρ</m:t>
                    </m:r>
                  </m:e>
                  <m:sub>
                    <m:r>
                      <w:rPr>
                        <w:rStyle w:val="af"/>
                        <w:rFonts w:ascii="Cambria Math" w:hAnsi="Cambria Math"/>
                        <w:color w:val="000000" w:themeColor="text1"/>
                        <w:sz w:val="20"/>
                        <w:szCs w:val="20"/>
                      </w:rPr>
                      <m:t>i</m:t>
                    </m:r>
                  </m:sub>
                </m:sSub>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k</m:t>
                    </m:r>
                  </m:e>
                  <m:sub>
                    <m: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 xml:space="preserve">, </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eff,l</m:t>
                    </m:r>
                  </m:sub>
                </m:sSub>
                <m:r>
                  <m:rPr>
                    <m:sty m:val="p"/>
                  </m:rPr>
                  <w:rPr>
                    <w:rStyle w:val="af"/>
                    <w:rFonts w:ascii="Cambria Math" w:hAnsi="Cambria Math"/>
                    <w:color w:val="000000" w:themeColor="text1"/>
                    <w:sz w:val="20"/>
                    <w:szCs w:val="20"/>
                  </w:rPr>
                  <m:t xml:space="preserve"> =</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lam,l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b,l</m:t>
                    </m:r>
                  </m:sub>
                </m:sSub>
              </m:oMath>
            </m:oMathPara>
          </w:p>
          <w:p w14:paraId="56E26FED" w14:textId="77777777" w:rsidR="000B6870" w:rsidRPr="000B6870" w:rsidRDefault="00F80AA9" w:rsidP="000B6870">
            <w:pPr>
              <w:spacing w:line="360" w:lineRule="auto"/>
              <w:jc w:val="center"/>
              <w:rPr>
                <w:rStyle w:val="af"/>
                <w:iCs/>
                <w:color w:val="000000" w:themeColor="text1"/>
                <w:sz w:val="20"/>
                <w:szCs w:val="20"/>
              </w:rPr>
            </w:pPr>
            <m:oMath>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b,l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μb</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g</m:t>
                  </m:r>
                </m:sub>
              </m:sSub>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d</m:t>
                  </m:r>
                </m:e>
                <m:sub>
                  <m:r>
                    <w:rPr>
                      <w:rStyle w:val="af"/>
                      <w:rFonts w:ascii="Cambria Math" w:hAnsi="Cambria Math"/>
                      <w:color w:val="000000" w:themeColor="text1"/>
                      <w:sz w:val="20"/>
                      <w:szCs w:val="20"/>
                    </w:rPr>
                    <m:t>b</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g</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oMath>
            <w:r w:rsidR="000B6870" w:rsidRPr="000B6870">
              <w:rPr>
                <w:rStyle w:val="af"/>
                <w:iCs/>
                <w:color w:val="000000" w:themeColor="text1"/>
                <w:sz w:val="20"/>
                <w:szCs w:val="20"/>
              </w:rPr>
              <w:t xml:space="preserve">, </w:t>
            </w:r>
            <m:oMath>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eff,g</m:t>
                  </m:r>
                </m:sub>
              </m:sSub>
              <m:r>
                <m:rPr>
                  <m:sty m:val="p"/>
                </m:rPr>
                <w:rPr>
                  <w:rStyle w:val="af"/>
                  <w:rFonts w:ascii="Cambria Math" w:hAnsi="Cambria Math"/>
                  <w:color w:val="000000" w:themeColor="text1"/>
                  <w:sz w:val="20"/>
                  <w:szCs w:val="20"/>
                </w:rPr>
                <m:t xml:space="preserve">= </m:t>
              </m:r>
              <m:box>
                <m:boxPr>
                  <m:ctrlPr>
                    <w:rPr>
                      <w:rStyle w:val="af"/>
                      <w:rFonts w:ascii="Cambria Math" w:hAnsi="Cambria Math"/>
                      <w:iCs/>
                      <w:color w:val="000000" w:themeColor="text1"/>
                      <w:sz w:val="20"/>
                      <w:szCs w:val="20"/>
                    </w:rPr>
                  </m:ctrlPr>
                </m:boxPr>
                <m:e>
                  <m:argPr>
                    <m:argSz m:val="-1"/>
                  </m:argPr>
                  <m:f>
                    <m:fPr>
                      <m:ctrlPr>
                        <w:rPr>
                          <w:rStyle w:val="af"/>
                          <w:rFonts w:ascii="Cambria Math" w:hAnsi="Cambria Math"/>
                          <w:iCs/>
                          <w:color w:val="000000" w:themeColor="text1"/>
                          <w:sz w:val="20"/>
                          <w:szCs w:val="20"/>
                        </w:rPr>
                      </m:ctrlPr>
                    </m:fPr>
                    <m:num>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g</m:t>
                          </m:r>
                        </m:sub>
                      </m:sSub>
                    </m:num>
                    <m:den>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den>
                  </m:f>
                </m:e>
              </m:box>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b,l</m:t>
                  </m:r>
                </m:sub>
              </m:sSub>
              <m:r>
                <m:rPr>
                  <m:sty m:val="p"/>
                </m:rPr>
                <w:rPr>
                  <w:rStyle w:val="af"/>
                  <w:rFonts w:ascii="Cambria Math" w:hAnsi="Cambria Math"/>
                  <w:color w:val="000000" w:themeColor="text1"/>
                  <w:sz w:val="20"/>
                  <w:szCs w:val="20"/>
                </w:rPr>
                <m:t>)</m:t>
              </m:r>
            </m:oMath>
          </w:p>
        </w:tc>
      </w:tr>
      <w:tr w:rsidR="000B6870" w:rsidRPr="000B6870" w14:paraId="55599072" w14:textId="77777777" w:rsidTr="00DC5748">
        <w:tc>
          <w:tcPr>
            <w:tcW w:w="1410" w:type="dxa"/>
            <w:vMerge w:val="restart"/>
            <w:tcBorders>
              <w:top w:val="nil"/>
              <w:left w:val="nil"/>
              <w:bottom w:val="nil"/>
              <w:right w:val="nil"/>
            </w:tcBorders>
            <w:vAlign w:val="center"/>
          </w:tcPr>
          <w:p w14:paraId="60C23C89"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Turbulence equations</w:t>
            </w:r>
          </w:p>
        </w:tc>
        <w:tc>
          <w:tcPr>
            <w:tcW w:w="286" w:type="dxa"/>
            <w:gridSpan w:val="2"/>
            <w:tcBorders>
              <w:top w:val="nil"/>
              <w:left w:val="nil"/>
              <w:bottom w:val="nil"/>
              <w:right w:val="nil"/>
            </w:tcBorders>
            <w:vAlign w:val="center"/>
          </w:tcPr>
          <w:p w14:paraId="16993F5F" w14:textId="77777777" w:rsidR="000B6870" w:rsidRPr="000B6870" w:rsidRDefault="000B6870" w:rsidP="000B6870">
            <w:pPr>
              <w:spacing w:line="360" w:lineRule="auto"/>
              <w:jc w:val="center"/>
              <w:rPr>
                <w:color w:val="000000" w:themeColor="text1"/>
                <w:sz w:val="20"/>
                <w:szCs w:val="20"/>
              </w:rPr>
            </w:pPr>
          </w:p>
        </w:tc>
        <w:tc>
          <w:tcPr>
            <w:tcW w:w="7376" w:type="dxa"/>
            <w:gridSpan w:val="5"/>
            <w:tcBorders>
              <w:top w:val="nil"/>
              <w:left w:val="nil"/>
              <w:bottom w:val="nil"/>
              <w:right w:val="nil"/>
            </w:tcBorders>
            <w:vAlign w:val="center"/>
          </w:tcPr>
          <w:p w14:paraId="1020CCB2" w14:textId="77777777" w:rsidR="000B6870" w:rsidRPr="000B6870" w:rsidRDefault="000B6870" w:rsidP="000B6870">
            <w:pPr>
              <w:spacing w:line="360" w:lineRule="auto"/>
              <w:jc w:val="center"/>
              <w:rPr>
                <w:rStyle w:val="af"/>
                <w:iCs/>
                <w:color w:val="000000" w:themeColor="text1"/>
                <w:sz w:val="20"/>
                <w:szCs w:val="20"/>
              </w:rPr>
            </w:pPr>
            <m:oMathPara>
              <m:oMath>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ερ</m:t>
                    </m:r>
                    <m:r>
                      <m:rPr>
                        <m:sty m:val="bi"/>
                      </m:rPr>
                      <w:rPr>
                        <w:rStyle w:val="af"/>
                        <w:rFonts w:ascii="Cambria Math" w:hAnsi="Cambria Math"/>
                        <w:color w:val="000000" w:themeColor="text1"/>
                        <w:sz w:val="20"/>
                        <w:szCs w:val="20"/>
                      </w:rPr>
                      <m:t>uu</m:t>
                    </m:r>
                    <m:r>
                      <m:rPr>
                        <m:sty m:val="p"/>
                      </m:rPr>
                      <w:rPr>
                        <w:rStyle w:val="af"/>
                        <w:rFonts w:ascii="Cambria Math" w:hAnsi="Cambria Math"/>
                        <w:color w:val="000000" w:themeColor="text1"/>
                        <w:sz w:val="20"/>
                        <w:szCs w:val="20"/>
                      </w:rPr>
                      <m:t>)</m:t>
                    </m:r>
                  </m:e>
                  <m:sub>
                    <m:r>
                      <m:rPr>
                        <m:sty m:val="p"/>
                      </m:rPr>
                      <w:rPr>
                        <w:rStyle w:val="af"/>
                        <w:rFonts w:ascii="Cambria Math" w:hAnsi="Cambria Math"/>
                        <w:color w:val="000000" w:themeColor="text1"/>
                        <w:sz w:val="20"/>
                        <w:szCs w:val="20"/>
                      </w:rPr>
                      <m:t>i</m:t>
                    </m:r>
                  </m:sub>
                </m:sSub>
                <m:r>
                  <m:rPr>
                    <m:sty m:val="p"/>
                  </m:rPr>
                  <w:rPr>
                    <w:rStyle w:val="af"/>
                    <w:rFonts w:ascii="Cambria Math" w:hAnsi="Cambria Math"/>
                    <w:color w:val="000000" w:themeColor="text1"/>
                    <w:sz w:val="20"/>
                    <w:szCs w:val="20"/>
                  </w:rPr>
                  <m:t>=∇·</m:t>
                </m:r>
                <m:d>
                  <m:dPr>
                    <m:ctrlPr>
                      <w:rPr>
                        <w:rStyle w:val="af"/>
                        <w:rFonts w:ascii="Cambria Math" w:hAnsi="Cambria Math"/>
                        <w:iCs/>
                        <w:color w:val="000000" w:themeColor="text1"/>
                        <w:sz w:val="20"/>
                        <w:szCs w:val="20"/>
                      </w:rPr>
                    </m:ctrlPr>
                  </m:dPr>
                  <m:e>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l</m:t>
                        </m:r>
                      </m:sub>
                    </m:sSub>
                    <m:d>
                      <m:dPr>
                        <m:ctrlPr>
                          <w:rPr>
                            <w:rStyle w:val="af"/>
                            <w:rFonts w:ascii="Cambria Math" w:hAnsi="Cambria Math"/>
                            <w:iCs/>
                            <w:color w:val="000000" w:themeColor="text1"/>
                            <w:sz w:val="20"/>
                            <w:szCs w:val="20"/>
                          </w:rPr>
                        </m:ctrlPr>
                      </m:dPr>
                      <m:e>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lam,l</m:t>
                            </m:r>
                          </m:sub>
                        </m:sSub>
                        <m:r>
                          <m:rPr>
                            <m:sty m:val="p"/>
                          </m:rPr>
                          <w:rPr>
                            <w:rStyle w:val="af"/>
                            <w:rFonts w:ascii="Cambria Math" w:hAnsi="Cambria Math"/>
                            <w:color w:val="000000" w:themeColor="text1"/>
                            <w:sz w:val="20"/>
                            <w:szCs w:val="20"/>
                          </w:rPr>
                          <m:t>+</m:t>
                        </m:r>
                        <m:f>
                          <m:fPr>
                            <m:type m:val="lin"/>
                            <m:ctrlPr>
                              <w:rPr>
                                <w:rStyle w:val="af"/>
                                <w:rFonts w:ascii="Cambria Math" w:hAnsi="Cambria Math"/>
                                <w:color w:val="000000" w:themeColor="text1"/>
                                <w:sz w:val="20"/>
                                <w:szCs w:val="20"/>
                              </w:rPr>
                            </m:ctrlPr>
                          </m:fPr>
                          <m:num>
                            <m: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t,b</m:t>
                                </m:r>
                              </m:sub>
                            </m:sSub>
                            <m:r>
                              <w:rPr>
                                <w:rStyle w:val="af"/>
                                <w:rFonts w:ascii="Cambria Math" w:hAnsi="Cambria Math"/>
                                <w:color w:val="000000" w:themeColor="text1"/>
                                <w:sz w:val="20"/>
                                <w:szCs w:val="20"/>
                              </w:rPr>
                              <m:t>)</m:t>
                            </m:r>
                          </m:num>
                          <m:den>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σ</m:t>
                                </m:r>
                              </m:e>
                              <m:sub>
                                <m:r>
                                  <m:rPr>
                                    <m:sty m:val="p"/>
                                  </m:rPr>
                                  <w:rPr>
                                    <w:rStyle w:val="af"/>
                                    <w:rFonts w:ascii="Cambria Math" w:hAnsi="Cambria Math"/>
                                    <w:color w:val="000000" w:themeColor="text1"/>
                                    <w:sz w:val="20"/>
                                    <w:szCs w:val="20"/>
                                  </w:rPr>
                                  <m:t>k</m:t>
                                </m:r>
                              </m:sub>
                            </m:sSub>
                          </m:den>
                        </m:f>
                      </m:e>
                    </m:d>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m:t>
                        </m:r>
                      </m:sub>
                    </m:sSub>
                  </m:e>
                </m:d>
                <m:r>
                  <m:rPr>
                    <m:sty m:val="p"/>
                  </m:rPr>
                  <w:rPr>
                    <w:rStyle w:val="af"/>
                    <w:rFonts w:ascii="Cambria Math" w:hAnsi="Cambria Math"/>
                    <w:color w:val="000000" w:themeColor="text1"/>
                    <w:sz w:val="20"/>
                    <w:szCs w:val="20"/>
                  </w:rPr>
                  <m:t>+</m:t>
                </m:r>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ε</m:t>
                    </m:r>
                  </m:e>
                  <m:sub>
                    <m: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G</m:t>
                    </m:r>
                  </m:e>
                  <m:sub>
                    <m:r>
                      <m:rPr>
                        <m:sty m:val="p"/>
                      </m:rPr>
                      <w:rPr>
                        <w:rStyle w:val="af"/>
                        <w:rFonts w:ascii="Cambria Math" w:hAnsi="Cambria Math"/>
                        <w:color w:val="000000" w:themeColor="text1"/>
                        <w:sz w:val="20"/>
                        <w:szCs w:val="20"/>
                      </w:rPr>
                      <m:t>K,l</m:t>
                    </m:r>
                  </m:sub>
                </m:sSub>
                <m:r>
                  <m:rPr>
                    <m:sty m:val="p"/>
                  </m:rPr>
                  <w:rPr>
                    <w:rStyle w:val="af"/>
                    <w:rFonts w:ascii="Cambria Math" w:hAnsi="Cambria Math"/>
                    <w:color w:val="000000" w:themeColor="text1"/>
                    <w:sz w:val="20"/>
                    <w:szCs w:val="20"/>
                  </w:rPr>
                  <m:t>-</m:t>
                </m:r>
                <m:sSub>
                  <m:sSubPr>
                    <m:ctrlPr>
                      <w:rPr>
                        <w:rStyle w:val="af"/>
                        <w:rFonts w:ascii="Cambria Math" w:hAnsi="Cambria Math"/>
                        <w:i/>
                        <w:iCs/>
                        <w:color w:val="000000" w:themeColor="text1"/>
                        <w:sz w:val="20"/>
                        <w:szCs w:val="20"/>
                      </w:rPr>
                    </m:ctrlPr>
                  </m:sSubPr>
                  <m:e>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ρ</m:t>
                        </m:r>
                      </m:e>
                      <m:sub>
                        <m:r>
                          <w:rPr>
                            <w:rStyle w:val="af"/>
                            <w:rFonts w:ascii="Cambria Math" w:hAnsi="Cambria Math"/>
                            <w:color w:val="000000" w:themeColor="text1"/>
                            <w:sz w:val="20"/>
                            <w:szCs w:val="20"/>
                          </w:rPr>
                          <m:t>l</m:t>
                        </m:r>
                      </m:sub>
                    </m:sSub>
                    <m:r>
                      <w:rPr>
                        <w:rStyle w:val="af"/>
                        <w:rFonts w:ascii="Cambria Math" w:hAnsi="Cambria Math"/>
                        <w:color w:val="000000" w:themeColor="text1"/>
                        <w:sz w:val="20"/>
                        <w:szCs w:val="20"/>
                      </w:rPr>
                      <m:t>ε</m:t>
                    </m:r>
                  </m:e>
                  <m:sub>
                    <m: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oMath>
            </m:oMathPara>
          </w:p>
        </w:tc>
      </w:tr>
      <w:tr w:rsidR="000B6870" w:rsidRPr="000B6870" w14:paraId="1E5F3B83" w14:textId="77777777" w:rsidTr="00DC5748">
        <w:tc>
          <w:tcPr>
            <w:tcW w:w="1410" w:type="dxa"/>
            <w:vMerge/>
            <w:tcBorders>
              <w:top w:val="nil"/>
              <w:left w:val="nil"/>
              <w:bottom w:val="nil"/>
              <w:right w:val="nil"/>
            </w:tcBorders>
            <w:vAlign w:val="center"/>
          </w:tcPr>
          <w:p w14:paraId="68073FB3" w14:textId="77777777" w:rsidR="000B6870" w:rsidRPr="000B6870" w:rsidRDefault="000B6870" w:rsidP="000B6870">
            <w:pPr>
              <w:spacing w:line="360" w:lineRule="auto"/>
              <w:jc w:val="center"/>
              <w:rPr>
                <w:color w:val="000000" w:themeColor="text1"/>
                <w:sz w:val="20"/>
                <w:szCs w:val="20"/>
              </w:rPr>
            </w:pPr>
          </w:p>
        </w:tc>
        <w:tc>
          <w:tcPr>
            <w:tcW w:w="286" w:type="dxa"/>
            <w:gridSpan w:val="2"/>
            <w:tcBorders>
              <w:top w:val="nil"/>
              <w:left w:val="nil"/>
              <w:bottom w:val="nil"/>
              <w:right w:val="nil"/>
            </w:tcBorders>
            <w:vAlign w:val="center"/>
          </w:tcPr>
          <w:p w14:paraId="7923B182" w14:textId="77777777" w:rsidR="000B6870" w:rsidRPr="000B6870" w:rsidRDefault="000B6870" w:rsidP="000B6870">
            <w:pPr>
              <w:spacing w:line="360" w:lineRule="auto"/>
              <w:jc w:val="center"/>
              <w:rPr>
                <w:color w:val="000000" w:themeColor="text1"/>
                <w:sz w:val="20"/>
                <w:szCs w:val="20"/>
              </w:rPr>
            </w:pPr>
          </w:p>
        </w:tc>
        <w:tc>
          <w:tcPr>
            <w:tcW w:w="7376" w:type="dxa"/>
            <w:gridSpan w:val="5"/>
            <w:tcBorders>
              <w:top w:val="nil"/>
              <w:left w:val="nil"/>
              <w:bottom w:val="nil"/>
              <w:right w:val="nil"/>
            </w:tcBorders>
            <w:vAlign w:val="center"/>
          </w:tcPr>
          <w:p w14:paraId="695DAF40" w14:textId="77777777" w:rsidR="000B6870" w:rsidRPr="000B6870" w:rsidRDefault="000B6870" w:rsidP="000B6870">
            <w:pPr>
              <w:spacing w:line="360" w:lineRule="auto"/>
              <w:jc w:val="center"/>
              <w:rPr>
                <w:rStyle w:val="af"/>
                <w:iCs/>
                <w:color w:val="000000" w:themeColor="text1"/>
                <w:sz w:val="20"/>
                <w:szCs w:val="20"/>
              </w:rPr>
            </w:pPr>
            <m:oMathPara>
              <m:oMath>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ερ</m:t>
                    </m:r>
                    <m:r>
                      <m:rPr>
                        <m:sty m:val="bi"/>
                      </m:rPr>
                      <w:rPr>
                        <w:rStyle w:val="af"/>
                        <w:rFonts w:ascii="Cambria Math" w:hAnsi="Cambria Math"/>
                        <w:color w:val="000000" w:themeColor="text1"/>
                        <w:sz w:val="20"/>
                        <w:szCs w:val="20"/>
                      </w:rPr>
                      <m:t>uu</m:t>
                    </m:r>
                    <m:r>
                      <m:rPr>
                        <m:sty m:val="p"/>
                      </m:rPr>
                      <w:rPr>
                        <w:rStyle w:val="af"/>
                        <w:rFonts w:ascii="Cambria Math" w:hAnsi="Cambria Math"/>
                        <w:color w:val="000000" w:themeColor="text1"/>
                        <w:sz w:val="20"/>
                        <w:szCs w:val="20"/>
                      </w:rPr>
                      <m:t>)</m:t>
                    </m:r>
                  </m:e>
                  <m:sub>
                    <m:r>
                      <m:rPr>
                        <m:sty m:val="p"/>
                      </m:rPr>
                      <w:rPr>
                        <w:rStyle w:val="af"/>
                        <w:rFonts w:ascii="Cambria Math" w:hAnsi="Cambria Math"/>
                        <w:color w:val="000000" w:themeColor="text1"/>
                        <w:sz w:val="20"/>
                        <w:szCs w:val="20"/>
                      </w:rPr>
                      <m:t>i</m:t>
                    </m:r>
                  </m:sub>
                </m:sSub>
                <m:r>
                  <m:rPr>
                    <m:sty m:val="p"/>
                  </m:rPr>
                  <w:rPr>
                    <w:rStyle w:val="af"/>
                    <w:rFonts w:ascii="Cambria Math" w:hAnsi="Cambria Math"/>
                    <w:color w:val="000000" w:themeColor="text1"/>
                    <w:sz w:val="20"/>
                    <w:szCs w:val="20"/>
                  </w:rPr>
                  <m:t>=∇·</m:t>
                </m:r>
                <m:d>
                  <m:dPr>
                    <m:ctrlPr>
                      <w:rPr>
                        <w:rStyle w:val="af"/>
                        <w:rFonts w:ascii="Cambria Math" w:hAnsi="Cambria Math"/>
                        <w:iCs/>
                        <w:color w:val="000000" w:themeColor="text1"/>
                        <w:sz w:val="20"/>
                        <w:szCs w:val="20"/>
                      </w:rPr>
                    </m:ctrlPr>
                  </m:dPr>
                  <m:e>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l</m:t>
                        </m:r>
                      </m:sub>
                    </m:sSub>
                    <m:d>
                      <m:dPr>
                        <m:ctrlPr>
                          <w:rPr>
                            <w:rStyle w:val="af"/>
                            <w:rFonts w:ascii="Cambria Math" w:hAnsi="Cambria Math"/>
                            <w:iCs/>
                            <w:color w:val="000000" w:themeColor="text1"/>
                            <w:sz w:val="20"/>
                            <w:szCs w:val="20"/>
                          </w:rPr>
                        </m:ctrlPr>
                      </m:dPr>
                      <m:e>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lam,l</m:t>
                            </m:r>
                          </m:sub>
                        </m:sSub>
                        <m:r>
                          <m:rPr>
                            <m:sty m:val="p"/>
                          </m:rPr>
                          <w:rPr>
                            <w:rStyle w:val="af"/>
                            <w:rFonts w:ascii="Cambria Math" w:hAnsi="Cambria Math"/>
                            <w:color w:val="000000" w:themeColor="text1"/>
                            <w:sz w:val="20"/>
                            <w:szCs w:val="20"/>
                          </w:rPr>
                          <m:t>+</m:t>
                        </m:r>
                        <m:f>
                          <m:fPr>
                            <m:type m:val="lin"/>
                            <m:ctrlPr>
                              <w:rPr>
                                <w:rStyle w:val="af"/>
                                <w:rFonts w:ascii="Cambria Math" w:hAnsi="Cambria Math"/>
                                <w:color w:val="000000" w:themeColor="text1"/>
                                <w:sz w:val="20"/>
                                <w:szCs w:val="20"/>
                              </w:rPr>
                            </m:ctrlPr>
                          </m:fPr>
                          <m:num>
                            <m: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t,b</m:t>
                                </m:r>
                              </m:sub>
                            </m:sSub>
                            <m:r>
                              <w:rPr>
                                <w:rStyle w:val="af"/>
                                <w:rFonts w:ascii="Cambria Math" w:hAnsi="Cambria Math"/>
                                <w:color w:val="000000" w:themeColor="text1"/>
                                <w:sz w:val="20"/>
                                <w:szCs w:val="20"/>
                              </w:rPr>
                              <m:t>)</m:t>
                            </m:r>
                          </m:num>
                          <m:den>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σ</m:t>
                                </m:r>
                              </m:e>
                              <m:sub>
                                <m:r>
                                  <m:rPr>
                                    <m:sty m:val="p"/>
                                  </m:rPr>
                                  <w:rPr>
                                    <w:rStyle w:val="af"/>
                                    <w:rFonts w:ascii="Cambria Math" w:hAnsi="Cambria Math"/>
                                    <w:color w:val="000000" w:themeColor="text1"/>
                                    <w:sz w:val="20"/>
                                    <w:szCs w:val="20"/>
                                  </w:rPr>
                                  <m:t>k</m:t>
                                </m:r>
                              </m:sub>
                            </m:sSub>
                          </m:den>
                        </m:f>
                      </m:e>
                    </m:d>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l</m:t>
                        </m:r>
                      </m:sub>
                    </m:sSub>
                  </m:e>
                </m:d>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l</m:t>
                    </m:r>
                  </m:sub>
                </m:sSub>
                <m:box>
                  <m:boxPr>
                    <m:ctrlPr>
                      <w:rPr>
                        <w:rStyle w:val="af"/>
                        <w:rFonts w:ascii="Cambria Math" w:hAnsi="Cambria Math"/>
                        <w:iCs/>
                        <w:color w:val="000000" w:themeColor="text1"/>
                        <w:sz w:val="20"/>
                        <w:szCs w:val="20"/>
                      </w:rPr>
                    </m:ctrlPr>
                  </m:boxPr>
                  <m:e>
                    <m:argPr>
                      <m:argSz m:val="-1"/>
                    </m:argPr>
                    <m:f>
                      <m:fPr>
                        <m:ctrlPr>
                          <w:rPr>
                            <w:rStyle w:val="af"/>
                            <w:rFonts w:ascii="Cambria Math" w:hAnsi="Cambria Math"/>
                            <w:iCs/>
                            <w:color w:val="000000" w:themeColor="text1"/>
                            <w:sz w:val="20"/>
                            <w:szCs w:val="20"/>
                          </w:rPr>
                        </m:ctrlPr>
                      </m:fPr>
                      <m:num>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ε</m:t>
                            </m:r>
                          </m:e>
                          <m:sub>
                            <m:r>
                              <w:rPr>
                                <w:rStyle w:val="af"/>
                                <w:rFonts w:ascii="Cambria Math" w:hAnsi="Cambria Math"/>
                                <w:color w:val="000000" w:themeColor="text1"/>
                                <w:sz w:val="20"/>
                                <w:szCs w:val="20"/>
                              </w:rPr>
                              <m:t>l</m:t>
                            </m:r>
                          </m:sub>
                        </m:sSub>
                      </m:num>
                      <m:den>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m:t>
                            </m:r>
                          </m:sub>
                        </m:sSub>
                      </m:den>
                    </m:f>
                  </m:e>
                </m:box>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C</m:t>
                    </m:r>
                  </m:e>
                  <m:sub>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1</m:t>
                        </m:r>
                      </m:sub>
                    </m:sSub>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G</m:t>
                    </m:r>
                  </m:e>
                  <m:sub>
                    <m:r>
                      <m:rPr>
                        <m:sty m:val="p"/>
                      </m:rPr>
                      <w:rPr>
                        <w:rStyle w:val="af"/>
                        <w:rFonts w:ascii="Cambria Math" w:hAnsi="Cambria Math"/>
                        <w:color w:val="000000" w:themeColor="text1"/>
                        <w:sz w:val="20"/>
                        <w:szCs w:val="20"/>
                      </w:rPr>
                      <m:t>K,l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C</m:t>
                    </m:r>
                  </m:e>
                  <m:sub>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2</m:t>
                        </m:r>
                      </m:sub>
                    </m:sSub>
                  </m:sub>
                </m:sSub>
                <m:sSub>
                  <m:sSubPr>
                    <m:ctrlPr>
                      <w:rPr>
                        <w:rStyle w:val="af"/>
                        <w:rFonts w:ascii="Cambria Math" w:hAnsi="Cambria Math"/>
                        <w:iCs/>
                        <w:color w:val="000000" w:themeColor="text1"/>
                        <w:sz w:val="20"/>
                        <w:szCs w:val="20"/>
                      </w:rPr>
                    </m:ctrlPr>
                  </m:sSubPr>
                  <m:e>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oMath>
            </m:oMathPara>
          </w:p>
          <w:p w14:paraId="4A192129" w14:textId="77777777" w:rsidR="000B6870" w:rsidRPr="000B6870" w:rsidRDefault="00F80AA9" w:rsidP="000B6870">
            <w:pPr>
              <w:spacing w:line="360" w:lineRule="auto"/>
              <w:jc w:val="center"/>
              <w:rPr>
                <w:rStyle w:val="af"/>
                <w:iCs/>
                <w:color w:val="000000" w:themeColor="text1"/>
                <w:sz w:val="20"/>
                <w:szCs w:val="20"/>
              </w:rPr>
            </w:pPr>
            <m:oMathPara>
              <m:oMath>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G</m:t>
                    </m:r>
                  </m:e>
                  <m:sub>
                    <m:r>
                      <m:rPr>
                        <m:sty m:val="p"/>
                      </m:rPr>
                      <w:rPr>
                        <w:rStyle w:val="af"/>
                        <w:rFonts w:ascii="Cambria Math" w:hAnsi="Cambria Math"/>
                        <w:color w:val="000000" w:themeColor="text1"/>
                        <w:sz w:val="20"/>
                        <w:szCs w:val="20"/>
                      </w:rPr>
                      <m:t>k,l</m:t>
                    </m:r>
                  </m:sub>
                </m:sSub>
                <m:r>
                  <m:rPr>
                    <m:sty m:val="p"/>
                  </m:rPr>
                  <w:rPr>
                    <w:rStyle w:val="af"/>
                    <w:rFonts w:ascii="Cambria Math" w:hAnsi="Cambria Math"/>
                    <w:color w:val="000000" w:themeColor="text1"/>
                    <w:sz w:val="20"/>
                    <w:szCs w:val="20"/>
                  </w:rPr>
                  <m:t xml:space="preserve">= </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eff,l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d>
                  <m:dPr>
                    <m:ctrlPr>
                      <w:rPr>
                        <w:rStyle w:val="af"/>
                        <w:rFonts w:ascii="Cambria Math" w:hAnsi="Cambria Math"/>
                        <w:iCs/>
                        <w:color w:val="000000" w:themeColor="text1"/>
                        <w:sz w:val="20"/>
                        <w:szCs w:val="20"/>
                      </w:rPr>
                    </m:ctrlPr>
                  </m:dPr>
                  <m:e>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sSup>
                      <m:sSupPr>
                        <m:ctrlPr>
                          <w:rPr>
                            <w:rStyle w:val="af"/>
                            <w:rFonts w:ascii="Cambria Math" w:hAnsi="Cambria Math"/>
                            <w:iCs/>
                            <w:color w:val="000000" w:themeColor="text1"/>
                            <w:sz w:val="20"/>
                            <w:szCs w:val="20"/>
                          </w:rPr>
                        </m:ctrlPr>
                      </m:sSupPr>
                      <m:e>
                        <m:d>
                          <m:dPr>
                            <m:ctrlPr>
                              <w:rPr>
                                <w:rStyle w:val="af"/>
                                <w:rFonts w:ascii="Cambria Math" w:hAnsi="Cambria Math"/>
                                <w:iCs/>
                                <w:color w:val="000000" w:themeColor="text1"/>
                                <w:sz w:val="20"/>
                                <w:szCs w:val="20"/>
                              </w:rPr>
                            </m:ctrlPr>
                          </m:dPr>
                          <m:e>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e>
                        </m:d>
                      </m:e>
                      <m:sup>
                        <m:r>
                          <m:rPr>
                            <m:sty m:val="p"/>
                          </m:rPr>
                          <w:rPr>
                            <w:rStyle w:val="af"/>
                            <w:rFonts w:ascii="Cambria Math" w:hAnsi="Cambria Math"/>
                            <w:color w:val="000000" w:themeColor="text1"/>
                            <w:sz w:val="20"/>
                            <w:szCs w:val="20"/>
                          </w:rPr>
                          <m:t>T</m:t>
                        </m:r>
                      </m:sup>
                    </m:sSup>
                  </m:e>
                </m:d>
                <m:r>
                  <m:rPr>
                    <m:sty m:val="p"/>
                  </m:rPr>
                  <w:rPr>
                    <w:rStyle w:val="af"/>
                    <w:rFonts w:ascii="Cambria Math" w:hAnsi="Cambria Math"/>
                    <w:color w:val="000000" w:themeColor="text1"/>
                    <w:sz w:val="20"/>
                    <w:szCs w:val="20"/>
                  </w:rPr>
                  <m:t>-</m:t>
                </m:r>
                <m:box>
                  <m:boxPr>
                    <m:ctrlPr>
                      <w:rPr>
                        <w:rStyle w:val="af"/>
                        <w:rFonts w:ascii="Cambria Math" w:hAnsi="Cambria Math"/>
                        <w:iCs/>
                        <w:color w:val="000000" w:themeColor="text1"/>
                        <w:sz w:val="20"/>
                        <w:szCs w:val="20"/>
                      </w:rPr>
                    </m:ctrlPr>
                  </m:boxPr>
                  <m:e>
                    <m:argPr>
                      <m:argSz m:val="-1"/>
                    </m:argPr>
                    <m:f>
                      <m:fPr>
                        <m:ctrlPr>
                          <w:rPr>
                            <w:rStyle w:val="af"/>
                            <w:rFonts w:ascii="Cambria Math" w:hAnsi="Cambria Math"/>
                            <w:iCs/>
                            <w:color w:val="000000" w:themeColor="text1"/>
                            <w:sz w:val="20"/>
                            <w:szCs w:val="20"/>
                          </w:rPr>
                        </m:ctrlPr>
                      </m:fPr>
                      <m:num>
                        <m:r>
                          <m:rPr>
                            <m:sty m:val="p"/>
                          </m:rPr>
                          <w:rPr>
                            <w:rStyle w:val="af"/>
                            <w:rFonts w:ascii="Cambria Math" w:hAnsi="Cambria Math"/>
                            <w:color w:val="000000" w:themeColor="text1"/>
                            <w:sz w:val="20"/>
                            <w:szCs w:val="20"/>
                          </w:rPr>
                          <m:t>2</m:t>
                        </m:r>
                      </m:num>
                      <m:den>
                        <m:r>
                          <m:rPr>
                            <m:sty m:val="p"/>
                          </m:rPr>
                          <w:rPr>
                            <w:rStyle w:val="af"/>
                            <w:rFonts w:ascii="Cambria Math" w:hAnsi="Cambria Math"/>
                            <w:color w:val="000000" w:themeColor="text1"/>
                            <w:sz w:val="20"/>
                            <w:szCs w:val="20"/>
                          </w:rPr>
                          <m:t>3</m:t>
                        </m:r>
                      </m:den>
                    </m:f>
                  </m:e>
                </m:box>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d>
                  <m:dPr>
                    <m:ctrlPr>
                      <w:rPr>
                        <w:rStyle w:val="af"/>
                        <w:rFonts w:ascii="Cambria Math" w:hAnsi="Cambria Math"/>
                        <w:iCs/>
                        <w:color w:val="000000" w:themeColor="text1"/>
                        <w:sz w:val="20"/>
                        <w:szCs w:val="20"/>
                      </w:rPr>
                    </m:ctrlPr>
                  </m:dPr>
                  <m:e>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eff,l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m:t>
                        </m:r>
                      </m:sub>
                    </m:sSub>
                  </m:e>
                </m:d>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μ</m:t>
                    </m:r>
                  </m:sub>
                </m:sSub>
                <m:r>
                  <m:rPr>
                    <m:sty m:val="p"/>
                  </m:rPr>
                  <w:rPr>
                    <w:rStyle w:val="af"/>
                    <w:rFonts w:ascii="Cambria Math" w:hAnsi="Cambria Math"/>
                    <w:color w:val="000000" w:themeColor="text1"/>
                    <w:sz w:val="20"/>
                    <w:szCs w:val="20"/>
                  </w:rPr>
                  <m:t>(</m:t>
                </m:r>
                <m:f>
                  <m:fPr>
                    <m:type m:val="lin"/>
                    <m:ctrlPr>
                      <w:rPr>
                        <w:rStyle w:val="af"/>
                        <w:rFonts w:ascii="Cambria Math" w:hAnsi="Cambria Math"/>
                        <w:iCs/>
                        <w:color w:val="000000" w:themeColor="text1"/>
                        <w:sz w:val="20"/>
                        <w:szCs w:val="20"/>
                      </w:rPr>
                    </m:ctrlPr>
                  </m:fPr>
                  <m:num>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sSubSup>
                      <m:sSubSupPr>
                        <m:ctrlPr>
                          <w:rPr>
                            <w:rStyle w:val="af"/>
                            <w:rFonts w:ascii="Cambria Math" w:hAnsi="Cambria Math"/>
                            <w:iCs/>
                            <w:color w:val="000000" w:themeColor="text1"/>
                            <w:sz w:val="20"/>
                            <w:szCs w:val="20"/>
                          </w:rPr>
                        </m:ctrlPr>
                      </m:sSubSupPr>
                      <m:e>
                        <m:r>
                          <m:rPr>
                            <m:sty m:val="p"/>
                          </m:rP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m:t>
                        </m:r>
                      </m:sub>
                      <m:sup>
                        <m:r>
                          <m:rPr>
                            <m:sty m:val="p"/>
                          </m:rPr>
                          <w:rPr>
                            <w:rStyle w:val="af"/>
                            <w:rFonts w:ascii="Cambria Math" w:hAnsi="Cambria Math"/>
                            <w:color w:val="000000" w:themeColor="text1"/>
                            <w:sz w:val="20"/>
                            <w:szCs w:val="20"/>
                          </w:rPr>
                          <m:t>2</m:t>
                        </m:r>
                      </m:sup>
                    </m:sSubSup>
                  </m:num>
                  <m:den>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l</m:t>
                        </m:r>
                      </m:sub>
                    </m:sSub>
                  </m:den>
                </m:f>
                <m:r>
                  <m:rPr>
                    <m:sty m:val="p"/>
                  </m:rPr>
                  <w:rPr>
                    <w:rStyle w:val="af"/>
                    <w:rFonts w:ascii="Cambria Math" w:hAnsi="Cambria Math"/>
                    <w:color w:val="000000" w:themeColor="text1"/>
                    <w:sz w:val="20"/>
                    <w:szCs w:val="20"/>
                  </w:rPr>
                  <m:t>)</m:t>
                </m:r>
              </m:oMath>
            </m:oMathPara>
          </w:p>
          <w:p w14:paraId="411A05D9" w14:textId="77777777" w:rsidR="000B6870" w:rsidRPr="000B6870" w:rsidRDefault="00F80AA9" w:rsidP="000B6870">
            <w:pPr>
              <w:spacing w:line="360" w:lineRule="auto"/>
              <w:jc w:val="center"/>
              <w:rPr>
                <w:rStyle w:val="af"/>
                <w:iCs/>
                <w:color w:val="000000" w:themeColor="text1"/>
                <w:sz w:val="20"/>
                <w:szCs w:val="20"/>
              </w:rPr>
            </w:pPr>
            <m:oMath>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t,g</m:t>
                  </m:r>
                </m:sub>
              </m:sSub>
              <m:r>
                <m:rPr>
                  <m:sty m:val="p"/>
                </m:rPr>
                <w:rPr>
                  <w:rStyle w:val="af"/>
                  <w:rFonts w:ascii="Cambria Math" w:hAnsi="Cambria Math"/>
                  <w:color w:val="000000" w:themeColor="text1"/>
                  <w:sz w:val="20"/>
                  <w:szCs w:val="20"/>
                </w:rPr>
                <m:t>=</m:t>
              </m:r>
              <m:f>
                <m:fPr>
                  <m:type m:val="lin"/>
                  <m:ctrlPr>
                    <w:rPr>
                      <w:rStyle w:val="af"/>
                      <w:rFonts w:ascii="Cambria Math" w:hAnsi="Cambria Math"/>
                      <w:iCs/>
                      <w:color w:val="000000" w:themeColor="text1"/>
                      <w:sz w:val="20"/>
                      <w:szCs w:val="20"/>
                    </w:rPr>
                  </m:ctrlPr>
                </m:fPr>
                <m:num>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μ</m:t>
                      </m:r>
                    </m:e>
                    <m:sub>
                      <m:r>
                        <m:rPr>
                          <m:sty m:val="p"/>
                        </m:rPr>
                        <w:rPr>
                          <w:rStyle w:val="af"/>
                          <w:rFonts w:ascii="Cambria Math" w:hAnsi="Cambria Math"/>
                          <w:color w:val="000000" w:themeColor="text1"/>
                          <w:sz w:val="20"/>
                          <w:szCs w:val="20"/>
                        </w:rPr>
                        <m:t>t,l</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g</m:t>
                      </m:r>
                    </m:sub>
                  </m:sSub>
                </m:num>
                <m:den>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den>
              </m:f>
            </m:oMath>
            <w:r w:rsidR="000B6870" w:rsidRPr="000B6870">
              <w:rPr>
                <w:rStyle w:val="af"/>
                <w:iCs/>
                <w:color w:val="000000" w:themeColor="text1"/>
                <w:sz w:val="20"/>
                <w:szCs w:val="20"/>
              </w:rPr>
              <w:t>,</w:t>
            </w:r>
            <m:oMath>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l,t</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l,g</m:t>
                  </m:r>
                </m:sub>
              </m:sSub>
              <m:r>
                <m:rPr>
                  <m:sty m:val="p"/>
                </m:rPr>
                <w:rPr>
                  <w:rStyle w:val="af"/>
                  <w:rFonts w:ascii="Cambria Math" w:hAnsi="Cambria Math"/>
                  <w:color w:val="000000" w:themeColor="text1"/>
                  <w:sz w:val="20"/>
                  <w:szCs w:val="20"/>
                </w:rPr>
                <m:t xml:space="preserve">, </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k</m:t>
                  </m:r>
                </m:e>
                <m:sub>
                  <m:r>
                    <m:rPr>
                      <m:sty m:val="p"/>
                    </m:rPr>
                    <w:rPr>
                      <w:rStyle w:val="af"/>
                      <w:rFonts w:ascii="Cambria Math" w:hAnsi="Cambria Math"/>
                      <w:color w:val="000000" w:themeColor="text1"/>
                      <w:sz w:val="20"/>
                      <w:szCs w:val="20"/>
                    </w:rPr>
                    <m:t>l,g</m:t>
                  </m:r>
                </m:sub>
              </m:sSub>
              <m:r>
                <m:rPr>
                  <m:sty m:val="p"/>
                </m:rPr>
                <w:rPr>
                  <w:rStyle w:val="af"/>
                  <w:rFonts w:ascii="Cambria Math" w:hAnsi="Cambria Math"/>
                  <w:color w:val="000000" w:themeColor="text1"/>
                  <w:sz w:val="20"/>
                  <w:szCs w:val="20"/>
                </w:rPr>
                <m:t>=</m:t>
              </m:r>
              <m:box>
                <m:boxPr>
                  <m:ctrlPr>
                    <w:rPr>
                      <w:rStyle w:val="af"/>
                      <w:rFonts w:ascii="Cambria Math" w:hAnsi="Cambria Math"/>
                      <w:iCs/>
                      <w:color w:val="000000" w:themeColor="text1"/>
                      <w:sz w:val="20"/>
                      <w:szCs w:val="20"/>
                    </w:rPr>
                  </m:ctrlPr>
                </m:boxPr>
                <m:e>
                  <m:argPr>
                    <m:argSz m:val="-1"/>
                  </m:argPr>
                  <m:f>
                    <m:fPr>
                      <m:ctrlPr>
                        <w:rPr>
                          <w:rStyle w:val="af"/>
                          <w:rFonts w:ascii="Cambria Math" w:hAnsi="Cambria Math"/>
                          <w:iCs/>
                          <w:color w:val="000000" w:themeColor="text1"/>
                          <w:sz w:val="20"/>
                          <w:szCs w:val="20"/>
                        </w:rPr>
                      </m:ctrlPr>
                    </m:fPr>
                    <m:num>
                      <m:r>
                        <m:rPr>
                          <m:sty m:val="p"/>
                        </m:rPr>
                        <w:rPr>
                          <w:rStyle w:val="af"/>
                          <w:rFonts w:ascii="Cambria Math" w:hAnsi="Cambria Math"/>
                          <w:color w:val="000000" w:themeColor="text1"/>
                          <w:sz w:val="20"/>
                          <w:szCs w:val="20"/>
                        </w:rPr>
                        <m:t>1</m:t>
                      </m:r>
                    </m:num>
                    <m:den>
                      <m:r>
                        <m:rPr>
                          <m:sty m:val="p"/>
                        </m:rPr>
                        <w:rPr>
                          <w:rStyle w:val="af"/>
                          <w:rFonts w:ascii="Cambria Math" w:hAnsi="Cambria Math"/>
                          <w:color w:val="000000" w:themeColor="text1"/>
                          <w:sz w:val="20"/>
                          <w:szCs w:val="20"/>
                        </w:rPr>
                        <m:t>2</m:t>
                      </m:r>
                    </m:den>
                  </m:f>
                </m:e>
              </m:box>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g</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vm</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slip</m:t>
                  </m:r>
                </m:sub>
              </m:sSub>
            </m:oMath>
            <w:r w:rsidR="000B6870" w:rsidRPr="000B6870">
              <w:rPr>
                <w:rStyle w:val="af"/>
                <w:iCs/>
                <w:color w:val="000000" w:themeColor="text1"/>
                <w:sz w:val="20"/>
                <w:szCs w:val="20"/>
              </w:rPr>
              <w:t xml:space="preserve">, </w:t>
            </w:r>
            <m:oMath>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l,t</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ε</m:t>
                  </m:r>
                </m:e>
                <m:sub>
                  <m:r>
                    <m:rPr>
                      <m:sty m:val="p"/>
                    </m:rPr>
                    <w:rPr>
                      <w:rStyle w:val="af"/>
                      <w:rFonts w:ascii="Cambria Math" w:hAnsi="Cambria Math"/>
                      <w:color w:val="000000" w:themeColor="text1"/>
                      <w:sz w:val="20"/>
                      <w:szCs w:val="20"/>
                    </w:rPr>
                    <m:t>l,g</m:t>
                  </m:r>
                </m:sub>
              </m:sSub>
            </m:oMath>
            <w:r w:rsidR="000B6870" w:rsidRPr="000B6870">
              <w:rPr>
                <w:rStyle w:val="af"/>
                <w:iCs/>
                <w:color w:val="000000" w:themeColor="text1"/>
                <w:sz w:val="20"/>
                <w:szCs w:val="20"/>
              </w:rPr>
              <w:t>,</w:t>
            </w:r>
            <m:oMath>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 xml:space="preserve"> ε</m:t>
                  </m:r>
                </m:e>
                <m:sub>
                  <m:r>
                    <m:rPr>
                      <m:sty m:val="p"/>
                    </m:rPr>
                    <w:rPr>
                      <w:rStyle w:val="af"/>
                      <w:rFonts w:ascii="Cambria Math" w:hAnsi="Cambria Math"/>
                      <w:color w:val="000000" w:themeColor="text1"/>
                      <w:sz w:val="20"/>
                      <w:szCs w:val="20"/>
                    </w:rPr>
                    <m:t>l,g</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g</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gu</m:t>
                  </m:r>
                </m:e>
                <m:sub>
                  <m:r>
                    <m:rPr>
                      <m:sty m:val="p"/>
                    </m:rPr>
                    <w:rPr>
                      <w:rStyle w:val="af"/>
                      <w:rFonts w:ascii="Cambria Math" w:hAnsi="Cambria Math"/>
                      <w:color w:val="000000" w:themeColor="text1"/>
                      <w:sz w:val="20"/>
                      <w:szCs w:val="20"/>
                    </w:rPr>
                    <m:t>slip</m:t>
                  </m:r>
                </m:sub>
              </m:sSub>
            </m:oMath>
          </w:p>
        </w:tc>
      </w:tr>
      <w:tr w:rsidR="000B6870" w:rsidRPr="000B6870" w14:paraId="3AFD5A92" w14:textId="77777777" w:rsidTr="00DC5748">
        <w:tc>
          <w:tcPr>
            <w:tcW w:w="1410" w:type="dxa"/>
            <w:vMerge w:val="restart"/>
            <w:tcBorders>
              <w:top w:val="nil"/>
              <w:left w:val="nil"/>
              <w:bottom w:val="nil"/>
              <w:right w:val="nil"/>
            </w:tcBorders>
            <w:vAlign w:val="center"/>
          </w:tcPr>
          <w:p w14:paraId="467AD6B9"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Interphase forces</w:t>
            </w:r>
          </w:p>
        </w:tc>
        <w:tc>
          <w:tcPr>
            <w:tcW w:w="2726" w:type="dxa"/>
            <w:gridSpan w:val="6"/>
            <w:tcBorders>
              <w:top w:val="nil"/>
              <w:left w:val="nil"/>
              <w:bottom w:val="nil"/>
              <w:right w:val="nil"/>
            </w:tcBorders>
            <w:vAlign w:val="center"/>
          </w:tcPr>
          <w:p w14:paraId="718C51A5"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Drag force</w:t>
            </w:r>
          </w:p>
        </w:tc>
        <w:tc>
          <w:tcPr>
            <w:tcW w:w="4936" w:type="dxa"/>
            <w:tcBorders>
              <w:top w:val="nil"/>
              <w:left w:val="nil"/>
              <w:bottom w:val="nil"/>
              <w:right w:val="nil"/>
            </w:tcBorders>
            <w:vAlign w:val="center"/>
          </w:tcPr>
          <w:p w14:paraId="2F2509FF" w14:textId="77777777" w:rsidR="000B6870" w:rsidRPr="000B6870" w:rsidRDefault="00F80AA9" w:rsidP="000B6870">
            <w:pPr>
              <w:spacing w:line="360" w:lineRule="auto"/>
              <w:jc w:val="center"/>
              <w:rPr>
                <w:rStyle w:val="af"/>
                <w:iCs/>
                <w:color w:val="000000" w:themeColor="text1"/>
                <w:sz w:val="20"/>
                <w:szCs w:val="20"/>
              </w:rPr>
            </w:pPr>
            <m:oMathPara>
              <m:oMath>
                <m:sSubSup>
                  <m:sSubSupPr>
                    <m:ctrlPr>
                      <w:rPr>
                        <w:rStyle w:val="af"/>
                        <w:rFonts w:ascii="Cambria Math" w:hAnsi="Cambria Math"/>
                        <w:iCs/>
                        <w:color w:val="000000" w:themeColor="text1"/>
                        <w:sz w:val="20"/>
                        <w:szCs w:val="20"/>
                      </w:rPr>
                    </m:ctrlPr>
                  </m:sSubSupPr>
                  <m:e>
                    <m:r>
                      <w:rPr>
                        <w:rStyle w:val="af"/>
                        <w:rFonts w:ascii="Cambria Math" w:hAnsi="Cambria Math"/>
                        <w:color w:val="000000" w:themeColor="text1"/>
                        <w:sz w:val="20"/>
                        <w:szCs w:val="20"/>
                      </w:rPr>
                      <m:t>F</m:t>
                    </m:r>
                  </m:e>
                  <m:sub>
                    <m:r>
                      <m:rPr>
                        <m:sty m:val="p"/>
                      </m:rPr>
                      <w:rPr>
                        <w:rStyle w:val="af"/>
                        <w:rFonts w:ascii="Cambria Math" w:hAnsi="Cambria Math"/>
                        <w:color w:val="000000" w:themeColor="text1"/>
                        <w:sz w:val="20"/>
                        <w:szCs w:val="20"/>
                      </w:rPr>
                      <m:t>l</m:t>
                    </m:r>
                  </m:sub>
                  <m:sup>
                    <m:r>
                      <m:rPr>
                        <m:sty m:val="p"/>
                      </m:rPr>
                      <w:rPr>
                        <w:rStyle w:val="af"/>
                        <w:rFonts w:ascii="Cambria Math" w:hAnsi="Cambria Math"/>
                        <w:color w:val="000000" w:themeColor="text1"/>
                        <w:sz w:val="20"/>
                        <w:szCs w:val="20"/>
                      </w:rPr>
                      <m:t>D</m:t>
                    </m:r>
                  </m:sup>
                </m:sSubSup>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0.75</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g</m:t>
                    </m:r>
                  </m:sub>
                </m:sSub>
                <m:r>
                  <m:rPr>
                    <m:sty m:val="p"/>
                  </m:rPr>
                  <w:rPr>
                    <w:rStyle w:val="af"/>
                    <w:rFonts w:ascii="Cambria Math" w:hAnsi="Cambria Math"/>
                    <w:color w:val="000000" w:themeColor="text1"/>
                    <w:sz w:val="20"/>
                    <w:szCs w:val="20"/>
                  </w:rPr>
                  <m:t>(</m:t>
                </m:r>
                <m:f>
                  <m:fPr>
                    <m:type m:val="lin"/>
                    <m:ctrlPr>
                      <w:rPr>
                        <w:rStyle w:val="af"/>
                        <w:rFonts w:ascii="Cambria Math" w:hAnsi="Cambria Math"/>
                        <w:iCs/>
                        <w:color w:val="000000" w:themeColor="text1"/>
                        <w:sz w:val="20"/>
                        <w:szCs w:val="20"/>
                      </w:rPr>
                    </m:ctrlPr>
                  </m:fPr>
                  <m:num>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C</m:t>
                        </m:r>
                      </m:e>
                      <m:sub>
                        <m:r>
                          <w:rPr>
                            <w:rStyle w:val="af"/>
                            <w:rFonts w:ascii="Cambria Math" w:hAnsi="Cambria Math"/>
                            <w:color w:val="000000" w:themeColor="text1"/>
                            <w:sz w:val="20"/>
                            <w:szCs w:val="20"/>
                          </w:rPr>
                          <m:t>D</m:t>
                        </m:r>
                      </m:sub>
                    </m:sSub>
                  </m:num>
                  <m:den>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d</m:t>
                        </m:r>
                      </m:e>
                      <m:sub>
                        <m:r>
                          <w:rPr>
                            <w:rStyle w:val="af"/>
                            <w:rFonts w:ascii="Cambria Math" w:hAnsi="Cambria Math"/>
                            <w:color w:val="000000" w:themeColor="text1"/>
                            <w:sz w:val="20"/>
                            <w:szCs w:val="20"/>
                          </w:rPr>
                          <m:t>b</m:t>
                        </m:r>
                      </m:sub>
                    </m:sSub>
                  </m:den>
                </m:f>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g</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g</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oMath>
            </m:oMathPara>
          </w:p>
        </w:tc>
      </w:tr>
      <w:tr w:rsidR="000B6870" w:rsidRPr="000B6870" w14:paraId="55846264" w14:textId="77777777" w:rsidTr="00DC5748">
        <w:tc>
          <w:tcPr>
            <w:tcW w:w="1410" w:type="dxa"/>
            <w:vMerge/>
            <w:tcBorders>
              <w:top w:val="nil"/>
              <w:left w:val="nil"/>
              <w:bottom w:val="nil"/>
              <w:right w:val="nil"/>
            </w:tcBorders>
            <w:vAlign w:val="center"/>
          </w:tcPr>
          <w:p w14:paraId="24887233" w14:textId="77777777" w:rsidR="000B6870" w:rsidRPr="000B6870" w:rsidRDefault="000B6870" w:rsidP="000B6870">
            <w:pPr>
              <w:spacing w:line="360" w:lineRule="auto"/>
              <w:jc w:val="center"/>
              <w:rPr>
                <w:color w:val="000000" w:themeColor="text1"/>
                <w:sz w:val="20"/>
                <w:szCs w:val="20"/>
              </w:rPr>
            </w:pPr>
          </w:p>
        </w:tc>
        <w:tc>
          <w:tcPr>
            <w:tcW w:w="2726" w:type="dxa"/>
            <w:gridSpan w:val="6"/>
            <w:tcBorders>
              <w:top w:val="nil"/>
              <w:left w:val="nil"/>
              <w:bottom w:val="nil"/>
              <w:right w:val="nil"/>
            </w:tcBorders>
            <w:vAlign w:val="center"/>
          </w:tcPr>
          <w:p w14:paraId="2191DC3B"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Transverse lift force</w:t>
            </w:r>
          </w:p>
        </w:tc>
        <w:tc>
          <w:tcPr>
            <w:tcW w:w="4936" w:type="dxa"/>
            <w:tcBorders>
              <w:top w:val="nil"/>
              <w:left w:val="nil"/>
              <w:bottom w:val="nil"/>
              <w:right w:val="nil"/>
            </w:tcBorders>
            <w:vAlign w:val="center"/>
          </w:tcPr>
          <w:p w14:paraId="73BA84C5" w14:textId="77777777" w:rsidR="000B6870" w:rsidRPr="000B6870" w:rsidRDefault="00F80AA9" w:rsidP="000B6870">
            <w:pPr>
              <w:spacing w:line="360" w:lineRule="auto"/>
              <w:jc w:val="center"/>
              <w:rPr>
                <w:rStyle w:val="af"/>
                <w:iCs/>
                <w:color w:val="000000" w:themeColor="text1"/>
                <w:sz w:val="20"/>
                <w:szCs w:val="20"/>
              </w:rPr>
            </w:pPr>
            <m:oMath>
              <m:sSubSup>
                <m:sSubSupPr>
                  <m:ctrlPr>
                    <w:rPr>
                      <w:rStyle w:val="af"/>
                      <w:rFonts w:ascii="Cambria Math" w:hAnsi="Cambria Math"/>
                      <w:iCs/>
                      <w:color w:val="000000" w:themeColor="text1"/>
                      <w:sz w:val="20"/>
                      <w:szCs w:val="20"/>
                    </w:rPr>
                  </m:ctrlPr>
                </m:sSubSupPr>
                <m:e>
                  <m:r>
                    <w:rPr>
                      <w:rStyle w:val="af"/>
                      <w:rFonts w:ascii="Cambria Math" w:hAnsi="Cambria Math"/>
                      <w:color w:val="000000" w:themeColor="text1"/>
                      <w:sz w:val="20"/>
                      <w:szCs w:val="20"/>
                    </w:rPr>
                    <m:t>F</m:t>
                  </m:r>
                </m:e>
                <m:sub>
                  <m:r>
                    <m:rPr>
                      <m:sty m:val="p"/>
                    </m:rPr>
                    <w:rPr>
                      <w:rStyle w:val="af"/>
                      <w:rFonts w:ascii="Cambria Math" w:hAnsi="Cambria Math"/>
                      <w:color w:val="000000" w:themeColor="text1"/>
                      <w:sz w:val="20"/>
                      <w:szCs w:val="20"/>
                    </w:rPr>
                    <m:t>l</m:t>
                  </m:r>
                </m:sub>
                <m:sup>
                  <m:r>
                    <m:rPr>
                      <m:sty m:val="p"/>
                    </m:rPr>
                    <w:rPr>
                      <w:rStyle w:val="af"/>
                      <w:rFonts w:ascii="Cambria Math" w:hAnsi="Cambria Math"/>
                      <w:color w:val="000000" w:themeColor="text1"/>
                      <w:sz w:val="20"/>
                      <w:szCs w:val="20"/>
                    </w:rPr>
                    <m:t>L</m:t>
                  </m:r>
                </m:sup>
              </m:sSubSup>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L</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g</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g</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l</m:t>
                  </m:r>
                </m:sub>
              </m:sSub>
            </m:oMath>
            <w:r w:rsidR="000B6870" w:rsidRPr="000B6870">
              <w:rPr>
                <w:rStyle w:val="af"/>
                <w:iCs/>
                <w:color w:val="000000" w:themeColor="text1"/>
                <w:sz w:val="20"/>
                <w:szCs w:val="20"/>
              </w:rPr>
              <w:t xml:space="preserve">, </w:t>
            </w:r>
            <m:oMath>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L</m:t>
                  </m:r>
                </m:sub>
              </m:sSub>
              <m:r>
                <m:rPr>
                  <m:sty m:val="p"/>
                </m:rPr>
                <w:rPr>
                  <w:rStyle w:val="af"/>
                  <w:rFonts w:ascii="Cambria Math" w:hAnsi="Cambria Math"/>
                  <w:color w:val="000000" w:themeColor="text1"/>
                  <w:sz w:val="20"/>
                  <w:szCs w:val="20"/>
                </w:rPr>
                <m:t>=0.5</m:t>
              </m:r>
            </m:oMath>
          </w:p>
        </w:tc>
      </w:tr>
      <w:tr w:rsidR="000B6870" w:rsidRPr="000B6870" w14:paraId="40DFD09B" w14:textId="77777777" w:rsidTr="00DC5748">
        <w:tc>
          <w:tcPr>
            <w:tcW w:w="1410" w:type="dxa"/>
            <w:vMerge/>
            <w:tcBorders>
              <w:top w:val="nil"/>
              <w:left w:val="nil"/>
              <w:bottom w:val="nil"/>
              <w:right w:val="nil"/>
            </w:tcBorders>
            <w:vAlign w:val="center"/>
          </w:tcPr>
          <w:p w14:paraId="52BF74A9" w14:textId="77777777" w:rsidR="000B6870" w:rsidRPr="000B6870" w:rsidRDefault="000B6870" w:rsidP="000B6870">
            <w:pPr>
              <w:spacing w:line="360" w:lineRule="auto"/>
              <w:jc w:val="center"/>
              <w:rPr>
                <w:color w:val="000000" w:themeColor="text1"/>
                <w:sz w:val="20"/>
                <w:szCs w:val="20"/>
              </w:rPr>
            </w:pPr>
          </w:p>
        </w:tc>
        <w:tc>
          <w:tcPr>
            <w:tcW w:w="2726" w:type="dxa"/>
            <w:gridSpan w:val="6"/>
            <w:tcBorders>
              <w:top w:val="nil"/>
              <w:left w:val="nil"/>
              <w:bottom w:val="nil"/>
              <w:right w:val="nil"/>
            </w:tcBorders>
            <w:vAlign w:val="center"/>
          </w:tcPr>
          <w:p w14:paraId="15EB6B89"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Wall lubrication force</w:t>
            </w:r>
          </w:p>
        </w:tc>
        <w:tc>
          <w:tcPr>
            <w:tcW w:w="4936" w:type="dxa"/>
            <w:tcBorders>
              <w:top w:val="nil"/>
              <w:left w:val="nil"/>
              <w:bottom w:val="nil"/>
              <w:right w:val="nil"/>
            </w:tcBorders>
            <w:vAlign w:val="center"/>
          </w:tcPr>
          <w:p w14:paraId="03892F14" w14:textId="77777777" w:rsidR="000B6870" w:rsidRPr="000B6870" w:rsidRDefault="00F80AA9" w:rsidP="000B6870">
            <w:pPr>
              <w:spacing w:line="360" w:lineRule="auto"/>
              <w:jc w:val="center"/>
              <w:rPr>
                <w:rStyle w:val="af"/>
                <w:iCs/>
                <w:color w:val="000000" w:themeColor="text1"/>
                <w:sz w:val="20"/>
                <w:szCs w:val="20"/>
              </w:rPr>
            </w:pPr>
            <m:oMathPara>
              <m:oMath>
                <m:sSubSup>
                  <m:sSubSupPr>
                    <m:ctrlPr>
                      <w:rPr>
                        <w:rStyle w:val="af"/>
                        <w:rFonts w:ascii="Cambria Math" w:hAnsi="Cambria Math"/>
                        <w:iCs/>
                        <w:color w:val="000000" w:themeColor="text1"/>
                        <w:sz w:val="20"/>
                        <w:szCs w:val="20"/>
                      </w:rPr>
                    </m:ctrlPr>
                  </m:sSubSupPr>
                  <m:e>
                    <m:r>
                      <w:rPr>
                        <w:rStyle w:val="af"/>
                        <w:rFonts w:ascii="Cambria Math" w:hAnsi="Cambria Math"/>
                        <w:color w:val="000000" w:themeColor="text1"/>
                        <w:sz w:val="20"/>
                        <w:szCs w:val="20"/>
                      </w:rPr>
                      <m:t>F</m:t>
                    </m:r>
                  </m:e>
                  <m:sub>
                    <m:r>
                      <m:rPr>
                        <m:sty m:val="p"/>
                      </m:rPr>
                      <w:rPr>
                        <w:rStyle w:val="af"/>
                        <w:rFonts w:ascii="Cambria Math" w:hAnsi="Cambria Math"/>
                        <w:color w:val="000000" w:themeColor="text1"/>
                        <w:sz w:val="20"/>
                        <w:szCs w:val="20"/>
                      </w:rPr>
                      <m:t>l</m:t>
                    </m:r>
                  </m:sub>
                  <m:sup>
                    <m:r>
                      <m:rPr>
                        <m:sty m:val="p"/>
                      </m:rPr>
                      <w:rPr>
                        <w:rStyle w:val="af"/>
                        <w:rFonts w:ascii="Cambria Math" w:hAnsi="Cambria Math"/>
                        <w:color w:val="000000" w:themeColor="text1"/>
                        <w:sz w:val="20"/>
                        <w:szCs w:val="20"/>
                      </w:rPr>
                      <m:t>WL</m:t>
                    </m:r>
                  </m:sup>
                </m:sSubSup>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wall</m:t>
                    </m:r>
                  </m:sub>
                </m:sSub>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ρ</m:t>
                    </m:r>
                  </m:e>
                  <m:sub>
                    <m:r>
                      <w:rPr>
                        <w:rStyle w:val="af"/>
                        <w:rFonts w:ascii="Cambria Math" w:hAnsi="Cambria Math"/>
                        <w:color w:val="000000" w:themeColor="text1"/>
                        <w:sz w:val="20"/>
                        <w:szCs w:val="20"/>
                      </w:rPr>
                      <m:t>l</m:t>
                    </m:r>
                  </m:sub>
                </m:sSub>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α</m:t>
                    </m:r>
                  </m:e>
                  <m:sub>
                    <m:r>
                      <w:rPr>
                        <w:rStyle w:val="af"/>
                        <w:rFonts w:ascii="Cambria Math" w:hAnsi="Cambria Math"/>
                        <w:color w:val="000000" w:themeColor="text1"/>
                        <w:sz w:val="20"/>
                        <w:szCs w:val="20"/>
                      </w:rPr>
                      <m:t>g</m:t>
                    </m:r>
                  </m:sub>
                </m:sSub>
                <m:sSup>
                  <m:sSupPr>
                    <m:ctrlPr>
                      <w:rPr>
                        <w:rStyle w:val="af"/>
                        <w:rFonts w:ascii="Cambria Math" w:hAnsi="Cambria Math"/>
                        <w:iCs/>
                        <w:color w:val="000000" w:themeColor="text1"/>
                        <w:sz w:val="20"/>
                        <w:szCs w:val="20"/>
                      </w:rPr>
                    </m:ctrlPr>
                  </m:sSupPr>
                  <m:e>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rel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u</m:t>
                        </m:r>
                      </m:e>
                      <m:sub>
                        <m:r>
                          <m:rPr>
                            <m:sty m:val="p"/>
                          </m:rPr>
                          <w:rPr>
                            <w:rStyle w:val="af"/>
                            <w:rFonts w:ascii="Cambria Math" w:hAnsi="Cambria Math"/>
                            <w:color w:val="000000" w:themeColor="text1"/>
                            <w:sz w:val="20"/>
                            <w:szCs w:val="20"/>
                          </w:rPr>
                          <m:t>rel</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n</m:t>
                        </m:r>
                      </m:e>
                      <m:sub>
                        <m:r>
                          <m:rPr>
                            <m:sty m:val="p"/>
                          </m:rPr>
                          <w:rPr>
                            <w:rStyle w:val="af"/>
                            <w:rFonts w:ascii="Cambria Math" w:hAnsi="Cambria Math"/>
                            <w:color w:val="000000" w:themeColor="text1"/>
                            <w:sz w:val="20"/>
                            <w:szCs w:val="20"/>
                          </w:rPr>
                          <m:t>W</m:t>
                        </m:r>
                      </m:sub>
                    </m:sSub>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n</m:t>
                        </m:r>
                      </m:e>
                      <m:sub>
                        <m:r>
                          <m:rPr>
                            <m:sty m:val="p"/>
                          </m:rPr>
                          <w:rPr>
                            <w:rStyle w:val="af"/>
                            <w:rFonts w:ascii="Cambria Math" w:hAnsi="Cambria Math"/>
                            <w:color w:val="000000" w:themeColor="text1"/>
                            <w:sz w:val="20"/>
                            <w:szCs w:val="20"/>
                          </w:rPr>
                          <m:t>W</m:t>
                        </m:r>
                      </m:sub>
                    </m:sSub>
                    <m:r>
                      <m:rPr>
                        <m:sty m:val="p"/>
                      </m:rPr>
                      <w:rPr>
                        <w:rStyle w:val="af"/>
                        <w:rFonts w:ascii="Cambria Math" w:hAnsi="Cambria Math"/>
                        <w:color w:val="000000" w:themeColor="text1"/>
                        <w:sz w:val="20"/>
                        <w:szCs w:val="20"/>
                      </w:rPr>
                      <m:t>|</m:t>
                    </m:r>
                  </m:e>
                  <m:sup>
                    <m:r>
                      <m:rPr>
                        <m:sty m:val="p"/>
                      </m:rPr>
                      <w:rPr>
                        <w:rStyle w:val="af"/>
                        <w:rFonts w:ascii="Cambria Math" w:hAnsi="Cambria Math"/>
                        <w:color w:val="000000" w:themeColor="text1"/>
                        <w:sz w:val="20"/>
                        <w:szCs w:val="20"/>
                      </w:rPr>
                      <m:t>2</m:t>
                    </m:r>
                  </m:sup>
                </m:sSup>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n</m:t>
                    </m:r>
                  </m:e>
                  <m:sub>
                    <m:r>
                      <m:rPr>
                        <m:sty m:val="p"/>
                      </m:rPr>
                      <w:rPr>
                        <w:rStyle w:val="af"/>
                        <w:rFonts w:ascii="Cambria Math" w:hAnsi="Cambria Math"/>
                        <w:color w:val="000000" w:themeColor="text1"/>
                        <w:sz w:val="20"/>
                        <w:szCs w:val="20"/>
                      </w:rPr>
                      <m:t>W</m:t>
                    </m:r>
                  </m:sub>
                </m:sSub>
              </m:oMath>
            </m:oMathPara>
          </w:p>
        </w:tc>
      </w:tr>
      <w:tr w:rsidR="000B6870" w:rsidRPr="000B6870" w14:paraId="476E2D52" w14:textId="77777777" w:rsidTr="00DC5748">
        <w:tc>
          <w:tcPr>
            <w:tcW w:w="1410" w:type="dxa"/>
            <w:vMerge/>
            <w:tcBorders>
              <w:top w:val="nil"/>
              <w:left w:val="nil"/>
              <w:bottom w:val="nil"/>
              <w:right w:val="nil"/>
            </w:tcBorders>
            <w:vAlign w:val="center"/>
          </w:tcPr>
          <w:p w14:paraId="6552A8F1" w14:textId="77777777" w:rsidR="000B6870" w:rsidRPr="000B6870" w:rsidRDefault="000B6870" w:rsidP="000B6870">
            <w:pPr>
              <w:spacing w:line="360" w:lineRule="auto"/>
              <w:jc w:val="center"/>
              <w:rPr>
                <w:color w:val="000000" w:themeColor="text1"/>
                <w:sz w:val="20"/>
                <w:szCs w:val="20"/>
              </w:rPr>
            </w:pPr>
          </w:p>
        </w:tc>
        <w:tc>
          <w:tcPr>
            <w:tcW w:w="2726" w:type="dxa"/>
            <w:gridSpan w:val="6"/>
            <w:tcBorders>
              <w:top w:val="nil"/>
              <w:left w:val="nil"/>
              <w:bottom w:val="nil"/>
              <w:right w:val="nil"/>
            </w:tcBorders>
            <w:vAlign w:val="center"/>
          </w:tcPr>
          <w:p w14:paraId="2F280F33" w14:textId="7D71D13D"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Virtu</w:t>
            </w:r>
            <w:r w:rsidR="00B17AB2">
              <w:rPr>
                <w:rFonts w:hint="eastAsia"/>
                <w:color w:val="000000" w:themeColor="text1"/>
                <w:sz w:val="20"/>
                <w:szCs w:val="20"/>
              </w:rPr>
              <w:t>al</w:t>
            </w:r>
            <w:r w:rsidRPr="000B6870">
              <w:rPr>
                <w:color w:val="000000" w:themeColor="text1"/>
                <w:sz w:val="20"/>
                <w:szCs w:val="20"/>
              </w:rPr>
              <w:t xml:space="preserve"> mass force</w:t>
            </w:r>
          </w:p>
        </w:tc>
        <w:tc>
          <w:tcPr>
            <w:tcW w:w="4936" w:type="dxa"/>
            <w:tcBorders>
              <w:top w:val="nil"/>
              <w:left w:val="nil"/>
              <w:bottom w:val="nil"/>
              <w:right w:val="nil"/>
            </w:tcBorders>
            <w:vAlign w:val="center"/>
          </w:tcPr>
          <w:p w14:paraId="2EDBF5B7" w14:textId="77777777" w:rsidR="000B6870" w:rsidRPr="000B6870" w:rsidRDefault="00F80AA9" w:rsidP="000B6870">
            <w:pPr>
              <w:spacing w:line="360" w:lineRule="auto"/>
              <w:jc w:val="center"/>
              <w:rPr>
                <w:rStyle w:val="af"/>
                <w:iCs/>
                <w:color w:val="000000" w:themeColor="text1"/>
                <w:sz w:val="20"/>
                <w:szCs w:val="20"/>
              </w:rPr>
            </w:pPr>
            <m:oMathPara>
              <m:oMath>
                <m:sSubSup>
                  <m:sSubSupPr>
                    <m:ctrlPr>
                      <w:rPr>
                        <w:rStyle w:val="af"/>
                        <w:rFonts w:ascii="Cambria Math" w:hAnsi="Cambria Math"/>
                        <w:iCs/>
                        <w:color w:val="000000" w:themeColor="text1"/>
                        <w:sz w:val="20"/>
                        <w:szCs w:val="20"/>
                      </w:rPr>
                    </m:ctrlPr>
                  </m:sSubSupPr>
                  <m:e>
                    <m:r>
                      <w:rPr>
                        <w:rStyle w:val="af"/>
                        <w:rFonts w:ascii="Cambria Math" w:hAnsi="Cambria Math"/>
                        <w:color w:val="000000" w:themeColor="text1"/>
                        <w:sz w:val="20"/>
                        <w:szCs w:val="20"/>
                      </w:rPr>
                      <m:t>F</m:t>
                    </m:r>
                  </m:e>
                  <m:sub>
                    <m:r>
                      <m:rPr>
                        <m:sty m:val="p"/>
                      </m:rPr>
                      <w:rPr>
                        <w:rStyle w:val="af"/>
                        <w:rFonts w:ascii="Cambria Math" w:hAnsi="Cambria Math"/>
                        <w:color w:val="000000" w:themeColor="text1"/>
                        <w:sz w:val="20"/>
                        <w:szCs w:val="20"/>
                      </w:rPr>
                      <m:t>l</m:t>
                    </m:r>
                  </m:sub>
                  <m:sup>
                    <m:r>
                      <m:rPr>
                        <m:sty m:val="p"/>
                      </m:rPr>
                      <w:rPr>
                        <w:rStyle w:val="af"/>
                        <w:rFonts w:ascii="Cambria Math" w:hAnsi="Cambria Math"/>
                        <w:color w:val="000000" w:themeColor="text1"/>
                        <w:sz w:val="20"/>
                        <w:szCs w:val="20"/>
                      </w:rPr>
                      <m:t>VM</m:t>
                    </m:r>
                  </m:sup>
                </m:sSubSup>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VM</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g</m:t>
                    </m:r>
                  </m:sub>
                </m:sSub>
                <m:r>
                  <m:rPr>
                    <m:sty m:val="p"/>
                  </m:rPr>
                  <w:rPr>
                    <w:rStyle w:val="af"/>
                    <w:rFonts w:ascii="Cambria Math" w:hAnsi="Cambria Math"/>
                    <w:color w:val="000000" w:themeColor="text1"/>
                    <w:sz w:val="20"/>
                    <w:szCs w:val="20"/>
                  </w:rPr>
                  <m:t>(</m:t>
                </m:r>
                <m:f>
                  <m:fPr>
                    <m:type m:val="lin"/>
                    <m:ctrlPr>
                      <w:rPr>
                        <w:rStyle w:val="af"/>
                        <w:rFonts w:ascii="Cambria Math" w:hAnsi="Cambria Math"/>
                        <w:iCs/>
                        <w:color w:val="000000" w:themeColor="text1"/>
                        <w:sz w:val="20"/>
                        <w:szCs w:val="20"/>
                      </w:rPr>
                    </m:ctrlPr>
                  </m:fPr>
                  <m:num>
                    <m:r>
                      <w:rPr>
                        <w:rStyle w:val="af"/>
                        <w:rFonts w:ascii="Cambria Math" w:hAnsi="Cambria Math"/>
                        <w:color w:val="000000" w:themeColor="text1"/>
                        <w:sz w:val="20"/>
                        <w:szCs w:val="20"/>
                      </w:rPr>
                      <m:t>D</m:t>
                    </m:r>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u</m:t>
                        </m:r>
                      </m:e>
                      <m:sub>
                        <m:r>
                          <w:rPr>
                            <w:rStyle w:val="af"/>
                            <w:rFonts w:ascii="Cambria Math" w:hAnsi="Cambria Math"/>
                            <w:color w:val="000000" w:themeColor="text1"/>
                            <w:sz w:val="20"/>
                            <w:szCs w:val="20"/>
                          </w:rPr>
                          <m:t>g</m:t>
                        </m:r>
                      </m:sub>
                    </m:sSub>
                  </m:num>
                  <m:den>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D</m:t>
                        </m:r>
                      </m:e>
                      <m:sub>
                        <m:r>
                          <m:rPr>
                            <m:sty m:val="p"/>
                          </m:rPr>
                          <w:rPr>
                            <w:rStyle w:val="af"/>
                            <w:rFonts w:ascii="Cambria Math" w:hAnsi="Cambria Math"/>
                            <w:color w:val="000000" w:themeColor="text1"/>
                            <w:sz w:val="20"/>
                            <w:szCs w:val="20"/>
                          </w:rPr>
                          <m:t>t</m:t>
                        </m:r>
                      </m:sub>
                    </m:sSub>
                  </m:den>
                </m:f>
                <m:r>
                  <m:rPr>
                    <m:sty m:val="p"/>
                  </m:rPr>
                  <w:rPr>
                    <w:rStyle w:val="af"/>
                    <w:rFonts w:ascii="Cambria Math" w:hAnsi="Cambria Math"/>
                    <w:color w:val="000000" w:themeColor="text1"/>
                    <w:sz w:val="20"/>
                    <w:szCs w:val="20"/>
                  </w:rPr>
                  <m:t>-</m:t>
                </m:r>
                <m:f>
                  <m:fPr>
                    <m:type m:val="lin"/>
                    <m:ctrlPr>
                      <w:rPr>
                        <w:rStyle w:val="af"/>
                        <w:rFonts w:ascii="Cambria Math" w:hAnsi="Cambria Math"/>
                        <w:iCs/>
                        <w:color w:val="000000" w:themeColor="text1"/>
                        <w:sz w:val="20"/>
                        <w:szCs w:val="20"/>
                      </w:rPr>
                    </m:ctrlPr>
                  </m:fPr>
                  <m:num>
                    <m:r>
                      <w:rPr>
                        <w:rStyle w:val="af"/>
                        <w:rFonts w:ascii="Cambria Math" w:hAnsi="Cambria Math"/>
                        <w:color w:val="000000" w:themeColor="text1"/>
                        <w:sz w:val="20"/>
                        <w:szCs w:val="20"/>
                      </w:rPr>
                      <m:t>D</m:t>
                    </m:r>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u</m:t>
                        </m:r>
                      </m:e>
                      <m:sub>
                        <m:r>
                          <w:rPr>
                            <w:rStyle w:val="af"/>
                            <w:rFonts w:ascii="Cambria Math" w:hAnsi="Cambria Math"/>
                            <w:color w:val="000000" w:themeColor="text1"/>
                            <w:sz w:val="20"/>
                            <w:szCs w:val="20"/>
                          </w:rPr>
                          <m:t>t</m:t>
                        </m:r>
                      </m:sub>
                    </m:sSub>
                  </m:num>
                  <m:den>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D</m:t>
                        </m:r>
                      </m:e>
                      <m:sub>
                        <m:r>
                          <m:rPr>
                            <m:sty m:val="p"/>
                          </m:rPr>
                          <w:rPr>
                            <w:rStyle w:val="af"/>
                            <w:rFonts w:ascii="Cambria Math" w:hAnsi="Cambria Math"/>
                            <w:color w:val="000000" w:themeColor="text1"/>
                            <w:sz w:val="20"/>
                            <w:szCs w:val="20"/>
                          </w:rPr>
                          <m:t>t</m:t>
                        </m:r>
                      </m:sub>
                    </m:sSub>
                  </m:den>
                </m:f>
                <m:r>
                  <m:rPr>
                    <m:sty m:val="p"/>
                  </m:rPr>
                  <w:rPr>
                    <w:rStyle w:val="af"/>
                    <w:rFonts w:ascii="Cambria Math" w:hAnsi="Cambria Math"/>
                    <w:color w:val="000000" w:themeColor="text1"/>
                    <w:sz w:val="20"/>
                    <w:szCs w:val="20"/>
                  </w:rPr>
                  <m:t>)</m:t>
                </m:r>
              </m:oMath>
            </m:oMathPara>
          </w:p>
        </w:tc>
      </w:tr>
      <w:tr w:rsidR="000B6870" w:rsidRPr="000B6870" w14:paraId="174A999B" w14:textId="77777777" w:rsidTr="00DC5748">
        <w:tc>
          <w:tcPr>
            <w:tcW w:w="1410" w:type="dxa"/>
            <w:vMerge/>
            <w:tcBorders>
              <w:top w:val="nil"/>
              <w:left w:val="nil"/>
              <w:bottom w:val="nil"/>
              <w:right w:val="nil"/>
            </w:tcBorders>
            <w:vAlign w:val="center"/>
          </w:tcPr>
          <w:p w14:paraId="68CD7356" w14:textId="77777777" w:rsidR="000B6870" w:rsidRPr="000B6870" w:rsidRDefault="000B6870" w:rsidP="000B6870">
            <w:pPr>
              <w:spacing w:line="360" w:lineRule="auto"/>
              <w:jc w:val="center"/>
              <w:rPr>
                <w:color w:val="000000" w:themeColor="text1"/>
                <w:sz w:val="20"/>
                <w:szCs w:val="20"/>
              </w:rPr>
            </w:pPr>
          </w:p>
        </w:tc>
        <w:tc>
          <w:tcPr>
            <w:tcW w:w="2726" w:type="dxa"/>
            <w:gridSpan w:val="6"/>
            <w:tcBorders>
              <w:top w:val="nil"/>
              <w:left w:val="nil"/>
              <w:bottom w:val="nil"/>
              <w:right w:val="nil"/>
            </w:tcBorders>
            <w:vAlign w:val="center"/>
          </w:tcPr>
          <w:p w14:paraId="2CCE8E33"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Turbulent dispersion</w:t>
            </w:r>
          </w:p>
        </w:tc>
        <w:tc>
          <w:tcPr>
            <w:tcW w:w="4936" w:type="dxa"/>
            <w:tcBorders>
              <w:top w:val="nil"/>
              <w:left w:val="nil"/>
              <w:bottom w:val="nil"/>
              <w:right w:val="nil"/>
            </w:tcBorders>
            <w:vAlign w:val="center"/>
          </w:tcPr>
          <w:p w14:paraId="0B31F9D8" w14:textId="77777777" w:rsidR="000B6870" w:rsidRPr="000B6870" w:rsidRDefault="00F80AA9" w:rsidP="000B6870">
            <w:pPr>
              <w:spacing w:line="360" w:lineRule="auto"/>
              <w:jc w:val="center"/>
              <w:rPr>
                <w:rStyle w:val="af"/>
                <w:iCs/>
                <w:color w:val="000000" w:themeColor="text1"/>
                <w:sz w:val="20"/>
                <w:szCs w:val="20"/>
              </w:rPr>
            </w:pPr>
            <m:oMathPara>
              <m:oMath>
                <m:sSubSup>
                  <m:sSubSupPr>
                    <m:ctrlPr>
                      <w:rPr>
                        <w:rStyle w:val="af"/>
                        <w:rFonts w:ascii="Cambria Math" w:hAnsi="Cambria Math"/>
                        <w:iCs/>
                        <w:color w:val="000000" w:themeColor="text1"/>
                        <w:sz w:val="20"/>
                        <w:szCs w:val="20"/>
                      </w:rPr>
                    </m:ctrlPr>
                  </m:sSubSupPr>
                  <m:e>
                    <m:r>
                      <w:rPr>
                        <w:rStyle w:val="af"/>
                        <w:rFonts w:ascii="Cambria Math" w:hAnsi="Cambria Math"/>
                        <w:color w:val="000000" w:themeColor="text1"/>
                        <w:sz w:val="20"/>
                        <w:szCs w:val="20"/>
                      </w:rPr>
                      <m:t>F</m:t>
                    </m:r>
                  </m:e>
                  <m:sub>
                    <m:r>
                      <m:rPr>
                        <m:sty m:val="p"/>
                      </m:rPr>
                      <w:rPr>
                        <w:rStyle w:val="af"/>
                        <w:rFonts w:ascii="Cambria Math" w:hAnsi="Cambria Math"/>
                        <w:color w:val="000000" w:themeColor="text1"/>
                        <w:sz w:val="20"/>
                        <w:szCs w:val="20"/>
                      </w:rPr>
                      <m:t>l</m:t>
                    </m:r>
                  </m:sub>
                  <m:sup>
                    <m:r>
                      <m:rPr>
                        <m:sty m:val="p"/>
                      </m:rPr>
                      <w:rPr>
                        <w:rStyle w:val="af"/>
                        <w:rFonts w:ascii="Cambria Math" w:hAnsi="Cambria Math"/>
                        <w:color w:val="000000" w:themeColor="text1"/>
                        <w:sz w:val="20"/>
                        <w:szCs w:val="20"/>
                      </w:rPr>
                      <m:t>TDF</m:t>
                    </m:r>
                  </m:sup>
                </m:sSubSup>
                <m:r>
                  <m:rPr>
                    <m:sty m:val="p"/>
                  </m:rPr>
                  <w:rPr>
                    <w:rStyle w:val="af"/>
                    <w:rFonts w:ascii="Cambria Math" w:hAnsi="Cambria Math"/>
                    <w:color w:val="000000" w:themeColor="text1"/>
                    <w:sz w:val="20"/>
                    <w:szCs w:val="20"/>
                  </w:rPr>
                  <m:t>=</m:t>
                </m:r>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C</m:t>
                    </m:r>
                  </m:e>
                  <m:sub>
                    <m:r>
                      <m:rPr>
                        <m:sty m:val="p"/>
                      </m:rPr>
                      <w:rPr>
                        <w:rStyle w:val="af"/>
                        <w:rFonts w:ascii="Cambria Math" w:hAnsi="Cambria Math"/>
                        <w:color w:val="000000" w:themeColor="text1"/>
                        <w:sz w:val="20"/>
                        <w:szCs w:val="20"/>
                      </w:rPr>
                      <m:t>TDF</m:t>
                    </m:r>
                  </m:sub>
                </m:sSub>
                <m:sSub>
                  <m:sSubPr>
                    <m:ctrlPr>
                      <w:rPr>
                        <w:rStyle w:val="af"/>
                        <w:rFonts w:ascii="Cambria Math" w:hAnsi="Cambria Math"/>
                        <w:iCs/>
                        <w:color w:val="000000" w:themeColor="text1"/>
                        <w:sz w:val="20"/>
                        <w:szCs w:val="20"/>
                      </w:rPr>
                    </m:ctrlPr>
                  </m:sSubPr>
                  <m:e>
                    <m:r>
                      <w:rPr>
                        <w:rStyle w:val="af"/>
                        <w:rFonts w:ascii="Cambria Math" w:hAnsi="Cambria Math"/>
                        <w:color w:val="000000" w:themeColor="text1"/>
                        <w:sz w:val="20"/>
                        <w:szCs w:val="20"/>
                      </w:rPr>
                      <m:t>ρ</m:t>
                    </m:r>
                  </m:e>
                  <m:sub>
                    <m:r>
                      <m:rPr>
                        <m:sty m:val="p"/>
                      </m:rPr>
                      <w:rPr>
                        <w:rStyle w:val="af"/>
                        <w:rFonts w:ascii="Cambria Math" w:hAnsi="Cambria Math"/>
                        <w:color w:val="000000" w:themeColor="text1"/>
                        <w:sz w:val="20"/>
                        <w:szCs w:val="20"/>
                      </w:rPr>
                      <m:t>l</m:t>
                    </m:r>
                  </m:sub>
                </m:sSub>
                <m:sSub>
                  <m:sSubPr>
                    <m:ctrlPr>
                      <w:rPr>
                        <w:rStyle w:val="af"/>
                        <w:rFonts w:ascii="Cambria Math" w:hAnsi="Cambria Math"/>
                        <w:iCs/>
                        <w:color w:val="000000" w:themeColor="text1"/>
                        <w:sz w:val="20"/>
                        <w:szCs w:val="20"/>
                      </w:rPr>
                    </m:ctrlPr>
                  </m:sSubPr>
                  <m:e>
                    <m:r>
                      <m:rPr>
                        <m:sty m:val="p"/>
                      </m:rPr>
                      <w:rPr>
                        <w:rStyle w:val="af"/>
                        <w:rFonts w:ascii="Cambria Math" w:hAnsi="Cambria Math"/>
                        <w:color w:val="000000" w:themeColor="text1"/>
                        <w:sz w:val="20"/>
                        <w:szCs w:val="20"/>
                      </w:rPr>
                      <m:t>∇</m:t>
                    </m:r>
                    <m:r>
                      <w:rPr>
                        <w:rStyle w:val="af"/>
                        <w:rFonts w:ascii="Cambria Math" w:hAnsi="Cambria Math"/>
                        <w:color w:val="000000" w:themeColor="text1"/>
                        <w:sz w:val="20"/>
                        <w:szCs w:val="20"/>
                      </w:rPr>
                      <m:t>α</m:t>
                    </m:r>
                  </m:e>
                  <m:sub>
                    <m:r>
                      <m:rPr>
                        <m:sty m:val="p"/>
                      </m:rPr>
                      <w:rPr>
                        <w:rStyle w:val="af"/>
                        <w:rFonts w:ascii="Cambria Math" w:hAnsi="Cambria Math"/>
                        <w:color w:val="000000" w:themeColor="text1"/>
                        <w:sz w:val="20"/>
                        <w:szCs w:val="20"/>
                      </w:rPr>
                      <m:t>g</m:t>
                    </m:r>
                  </m:sub>
                </m:sSub>
              </m:oMath>
            </m:oMathPara>
          </w:p>
        </w:tc>
      </w:tr>
      <w:tr w:rsidR="000B6870" w:rsidRPr="000B6870" w14:paraId="4ABEF0D1" w14:textId="77777777" w:rsidTr="00DC5748">
        <w:tc>
          <w:tcPr>
            <w:tcW w:w="1410" w:type="dxa"/>
            <w:vMerge w:val="restart"/>
            <w:tcBorders>
              <w:top w:val="nil"/>
              <w:left w:val="nil"/>
              <w:bottom w:val="nil"/>
              <w:right w:val="nil"/>
            </w:tcBorders>
            <w:vAlign w:val="center"/>
          </w:tcPr>
          <w:p w14:paraId="23F38363"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 xml:space="preserve">Aggregation </w:t>
            </w:r>
            <w:r w:rsidRPr="000B6870">
              <w:rPr>
                <w:rFonts w:hint="eastAsia"/>
                <w:color w:val="000000" w:themeColor="text1"/>
                <w:sz w:val="20"/>
                <w:szCs w:val="20"/>
              </w:rPr>
              <w:t>d</w:t>
            </w:r>
            <w:r w:rsidRPr="000B6870">
              <w:rPr>
                <w:color w:val="000000" w:themeColor="text1"/>
                <w:sz w:val="20"/>
                <w:szCs w:val="20"/>
              </w:rPr>
              <w:t>istribution</w:t>
            </w:r>
          </w:p>
        </w:tc>
        <w:tc>
          <w:tcPr>
            <w:tcW w:w="7662" w:type="dxa"/>
            <w:gridSpan w:val="7"/>
            <w:tcBorders>
              <w:top w:val="nil"/>
              <w:left w:val="nil"/>
              <w:bottom w:val="nil"/>
              <w:right w:val="nil"/>
            </w:tcBorders>
            <w:vAlign w:val="center"/>
          </w:tcPr>
          <w:p w14:paraId="500429A8" w14:textId="77777777" w:rsidR="000B6870" w:rsidRPr="000B6870" w:rsidRDefault="00F80AA9" w:rsidP="000B6870">
            <w:pPr>
              <w:spacing w:line="360" w:lineRule="auto"/>
              <w:jc w:val="center"/>
              <w:rPr>
                <w:rStyle w:val="af"/>
                <w:iCs/>
                <w:color w:val="000000" w:themeColor="text1"/>
                <w:sz w:val="20"/>
                <w:szCs w:val="20"/>
              </w:rPr>
            </w:pPr>
            <m:oMath>
              <m:f>
                <m:fPr>
                  <m:type m:val="lin"/>
                  <m:ctrlPr>
                    <w:rPr>
                      <w:rStyle w:val="af"/>
                      <w:rFonts w:ascii="Cambria Math" w:hAnsi="Cambria Math"/>
                      <w:iCs/>
                      <w:color w:val="000000" w:themeColor="text1"/>
                      <w:sz w:val="20"/>
                      <w:szCs w:val="20"/>
                    </w:rPr>
                  </m:ctrlPr>
                </m:fPr>
                <m:num>
                  <m:r>
                    <w:rPr>
                      <w:rStyle w:val="af"/>
                      <w:rFonts w:ascii="Cambria Math" w:hAnsi="Cambria Math"/>
                      <w:color w:val="000000" w:themeColor="text1"/>
                      <w:sz w:val="20"/>
                      <w:szCs w:val="20"/>
                    </w:rPr>
                    <m:t>∂α</m:t>
                  </m:r>
                  <m:sSub>
                    <m:sSubPr>
                      <m:ctrlPr>
                        <w:rPr>
                          <w:rStyle w:val="af"/>
                          <w:rFonts w:ascii="Cambria Math" w:hAnsi="Cambria Math"/>
                          <w:i/>
                          <w:iCs/>
                          <w:color w:val="000000" w:themeColor="text1"/>
                          <w:sz w:val="20"/>
                          <w:szCs w:val="20"/>
                        </w:rPr>
                      </m:ctrlPr>
                    </m:sSubPr>
                    <m:e>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ρ</m:t>
                          </m:r>
                        </m:e>
                        <m:sub>
                          <m:r>
                            <w:rPr>
                              <w:rStyle w:val="af"/>
                              <w:rFonts w:ascii="Cambria Math" w:hAnsi="Cambria Math"/>
                              <w:color w:val="000000" w:themeColor="text1"/>
                              <w:sz w:val="20"/>
                              <w:szCs w:val="20"/>
                            </w:rPr>
                            <m:t>g</m:t>
                          </m:r>
                        </m:sub>
                      </m:sSub>
                      <m:r>
                        <w:rPr>
                          <w:rStyle w:val="af"/>
                          <w:rFonts w:ascii="Cambria Math" w:hAnsi="Cambria Math"/>
                          <w:color w:val="000000" w:themeColor="text1"/>
                          <w:sz w:val="20"/>
                          <w:szCs w:val="20"/>
                        </w:rPr>
                        <m:t>f</m:t>
                      </m:r>
                    </m:e>
                    <m:sub>
                      <m:r>
                        <w:rPr>
                          <w:rStyle w:val="af"/>
                          <w:rFonts w:ascii="Cambria Math" w:hAnsi="Cambria Math"/>
                          <w:color w:val="000000" w:themeColor="text1"/>
                          <w:sz w:val="20"/>
                          <w:szCs w:val="20"/>
                        </w:rPr>
                        <m:t>i</m:t>
                      </m:r>
                    </m:sub>
                  </m:sSub>
                </m:num>
                <m:den>
                  <m:r>
                    <w:rPr>
                      <w:rStyle w:val="af"/>
                      <w:rFonts w:ascii="Cambria Math" w:hAnsi="Cambria Math"/>
                      <w:color w:val="000000" w:themeColor="text1"/>
                      <w:sz w:val="20"/>
                      <w:szCs w:val="20"/>
                    </w:rPr>
                    <m:t>∂t</m:t>
                  </m:r>
                </m:den>
              </m:f>
              <m:r>
                <w:rPr>
                  <w:rStyle w:val="af"/>
                  <w:rFonts w:ascii="Cambria Math" w:hAnsi="Cambria Math"/>
                  <w:color w:val="000000" w:themeColor="text1"/>
                  <w:sz w:val="20"/>
                  <w:szCs w:val="20"/>
                </w:rPr>
                <m:t>+∇·α</m:t>
              </m:r>
              <m:sSub>
                <m:sSubPr>
                  <m:ctrlPr>
                    <w:rPr>
                      <w:rStyle w:val="af"/>
                      <w:rFonts w:ascii="Cambria Math" w:hAnsi="Cambria Math"/>
                      <w:b/>
                      <w:i/>
                      <w:iCs/>
                      <w:color w:val="000000" w:themeColor="text1"/>
                      <w:sz w:val="20"/>
                      <w:szCs w:val="20"/>
                    </w:rPr>
                  </m:ctrlPr>
                </m:sSubPr>
                <m:e>
                  <m:r>
                    <w:rPr>
                      <w:rStyle w:val="af"/>
                      <w:rFonts w:ascii="Cambria Math" w:hAnsi="Cambria Math"/>
                      <w:color w:val="000000" w:themeColor="text1"/>
                      <w:sz w:val="20"/>
                      <w:szCs w:val="20"/>
                    </w:rPr>
                    <m:t>u</m:t>
                  </m:r>
                </m:e>
                <m:sub>
                  <m:r>
                    <w:rPr>
                      <w:rStyle w:val="af"/>
                      <w:rFonts w:ascii="Cambria Math" w:hAnsi="Cambria Math"/>
                      <w:color w:val="000000" w:themeColor="text1"/>
                      <w:sz w:val="20"/>
                      <w:szCs w:val="20"/>
                    </w:rPr>
                    <m:t>g</m:t>
                  </m:r>
                </m:sub>
              </m:sSub>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f</m:t>
                  </m:r>
                </m:e>
                <m:sub>
                  <m:r>
                    <w:rPr>
                      <w:rStyle w:val="af"/>
                      <w:rFonts w:ascii="Cambria Math" w:hAnsi="Cambria Math"/>
                      <w:color w:val="000000" w:themeColor="text1"/>
                      <w:sz w:val="20"/>
                      <w:szCs w:val="20"/>
                    </w:rPr>
                    <m:t>i</m:t>
                  </m:r>
                </m:sub>
              </m:sSub>
              <m:r>
                <w:rPr>
                  <w:rStyle w:val="af"/>
                  <w:rFonts w:ascii="Cambria Math" w:hAnsi="Cambria Math"/>
                  <w:color w:val="000000" w:themeColor="text1"/>
                  <w:sz w:val="20"/>
                  <w:szCs w:val="20"/>
                </w:rPr>
                <m:t>=</m:t>
              </m:r>
              <m:sSub>
                <m:sSubPr>
                  <m:ctrlPr>
                    <w:rPr>
                      <w:rStyle w:val="af"/>
                      <w:rFonts w:ascii="Cambria Math" w:hAnsi="Cambria Math"/>
                      <w:bCs/>
                      <w:iCs/>
                      <w:color w:val="000000" w:themeColor="text1"/>
                      <w:sz w:val="20"/>
                      <w:szCs w:val="20"/>
                    </w:rPr>
                  </m:ctrlPr>
                </m:sSubPr>
                <m:e>
                  <m:r>
                    <w:rPr>
                      <w:rStyle w:val="af"/>
                      <w:rFonts w:ascii="Cambria Math" w:hAnsi="Cambria Math"/>
                      <w:color w:val="000000" w:themeColor="text1"/>
                      <w:sz w:val="20"/>
                      <w:szCs w:val="20"/>
                    </w:rPr>
                    <m:t>S</m:t>
                  </m:r>
                </m:e>
                <m:sub>
                  <m:r>
                    <w:rPr>
                      <w:rStyle w:val="af"/>
                      <w:rFonts w:ascii="Cambria Math" w:hAnsi="Cambria Math"/>
                      <w:color w:val="000000" w:themeColor="text1"/>
                      <w:sz w:val="20"/>
                      <w:szCs w:val="20"/>
                    </w:rPr>
                    <m:t>bi</m:t>
                  </m:r>
                </m:sub>
              </m:sSub>
            </m:oMath>
            <w:r w:rsidR="000B6870" w:rsidRPr="000B6870">
              <w:rPr>
                <w:rStyle w:val="af"/>
                <w:bCs/>
                <w:iCs/>
                <w:color w:val="000000" w:themeColor="text1"/>
                <w:sz w:val="20"/>
                <w:szCs w:val="20"/>
              </w:rPr>
              <w:t xml:space="preserve">, </w:t>
            </w:r>
            <m:oMath>
              <m:nary>
                <m:naryPr>
                  <m:chr m:val="∑"/>
                  <m:limLoc m:val="undOvr"/>
                  <m:ctrlPr>
                    <w:rPr>
                      <w:rStyle w:val="af"/>
                      <w:rFonts w:ascii="Cambria Math" w:hAnsi="Cambria Math"/>
                      <w:bCs/>
                      <w:iCs/>
                      <w:color w:val="000000" w:themeColor="text1"/>
                      <w:sz w:val="20"/>
                      <w:szCs w:val="20"/>
                    </w:rPr>
                  </m:ctrlPr>
                </m:naryPr>
                <m:sub>
                  <m:r>
                    <w:rPr>
                      <w:rStyle w:val="af"/>
                      <w:rFonts w:ascii="Cambria Math" w:hAnsi="Cambria Math"/>
                      <w:color w:val="000000" w:themeColor="text1"/>
                      <w:sz w:val="20"/>
                      <w:szCs w:val="20"/>
                    </w:rPr>
                    <m:t>i=1</m:t>
                  </m:r>
                </m:sub>
                <m:sup>
                  <m:r>
                    <w:rPr>
                      <w:rStyle w:val="af"/>
                      <w:rFonts w:ascii="Cambria Math" w:hAnsi="Cambria Math"/>
                      <w:color w:val="000000" w:themeColor="text1"/>
                      <w:sz w:val="20"/>
                      <w:szCs w:val="20"/>
                    </w:rPr>
                    <m:t>M</m:t>
                  </m:r>
                </m:sup>
                <m:e>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S</m:t>
                      </m:r>
                    </m:e>
                    <m:sub>
                      <m:r>
                        <w:rPr>
                          <w:rStyle w:val="af"/>
                          <w:rFonts w:ascii="Cambria Math" w:hAnsi="Cambria Math"/>
                          <w:color w:val="000000" w:themeColor="text1"/>
                          <w:sz w:val="20"/>
                          <w:szCs w:val="20"/>
                        </w:rPr>
                        <m:t>bi</m:t>
                      </m:r>
                    </m:sub>
                  </m:sSub>
                  <m:r>
                    <w:rPr>
                      <w:rStyle w:val="af"/>
                      <w:rFonts w:ascii="Cambria Math" w:hAnsi="Cambria Math"/>
                      <w:color w:val="000000" w:themeColor="text1"/>
                      <w:sz w:val="20"/>
                      <w:szCs w:val="20"/>
                    </w:rPr>
                    <m:t>=0</m:t>
                  </m:r>
                </m:e>
              </m:nary>
            </m:oMath>
          </w:p>
        </w:tc>
      </w:tr>
      <w:tr w:rsidR="000B6870" w:rsidRPr="000B6870" w14:paraId="2AA7BC57" w14:textId="77777777" w:rsidTr="00DC5748">
        <w:tc>
          <w:tcPr>
            <w:tcW w:w="1410" w:type="dxa"/>
            <w:vMerge/>
            <w:tcBorders>
              <w:top w:val="nil"/>
              <w:left w:val="nil"/>
              <w:bottom w:val="nil"/>
              <w:right w:val="nil"/>
            </w:tcBorders>
            <w:vAlign w:val="center"/>
          </w:tcPr>
          <w:p w14:paraId="1A295327" w14:textId="77777777" w:rsidR="000B6870" w:rsidRPr="000B6870" w:rsidRDefault="000B6870" w:rsidP="000B6870">
            <w:pPr>
              <w:spacing w:line="360" w:lineRule="auto"/>
              <w:jc w:val="center"/>
              <w:rPr>
                <w:color w:val="000000" w:themeColor="text1"/>
                <w:sz w:val="20"/>
                <w:szCs w:val="20"/>
              </w:rPr>
            </w:pPr>
          </w:p>
        </w:tc>
        <w:tc>
          <w:tcPr>
            <w:tcW w:w="7662" w:type="dxa"/>
            <w:gridSpan w:val="7"/>
            <w:tcBorders>
              <w:top w:val="nil"/>
              <w:left w:val="nil"/>
              <w:bottom w:val="nil"/>
              <w:right w:val="nil"/>
            </w:tcBorders>
            <w:vAlign w:val="center"/>
          </w:tcPr>
          <w:p w14:paraId="3E67AEBF" w14:textId="77777777" w:rsidR="000B6870" w:rsidRPr="000B6870" w:rsidRDefault="00F80AA9" w:rsidP="000B6870">
            <w:pPr>
              <w:spacing w:line="360" w:lineRule="auto"/>
              <w:jc w:val="center"/>
              <w:rPr>
                <w:rStyle w:val="af"/>
                <w:iCs/>
                <w:color w:val="000000" w:themeColor="text1"/>
                <w:sz w:val="20"/>
                <w:szCs w:val="20"/>
              </w:rPr>
            </w:pPr>
            <m:oMath>
              <m:f>
                <m:fPr>
                  <m:type m:val="lin"/>
                  <m:ctrlPr>
                    <w:rPr>
                      <w:rStyle w:val="af"/>
                      <w:rFonts w:ascii="Cambria Math" w:hAnsi="Cambria Math"/>
                      <w:i/>
                      <w:iCs/>
                      <w:color w:val="000000" w:themeColor="text1"/>
                      <w:sz w:val="20"/>
                      <w:szCs w:val="20"/>
                    </w:rPr>
                  </m:ctrlPr>
                </m:fPr>
                <m:num>
                  <m:r>
                    <w:rPr>
                      <w:rStyle w:val="af"/>
                      <w:rFonts w:ascii="Cambria Math" w:hAnsi="Cambria Math"/>
                      <w:color w:val="000000" w:themeColor="text1"/>
                      <w:sz w:val="20"/>
                      <w:szCs w:val="20"/>
                    </w:rPr>
                    <m:t>∂</m:t>
                  </m:r>
                  <m:d>
                    <m:dPr>
                      <m:begChr m:val="["/>
                      <m:endChr m:val="]"/>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n</m:t>
                      </m:r>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V,t</m:t>
                          </m:r>
                        </m:e>
                      </m:d>
                    </m:e>
                  </m:d>
                </m:num>
                <m:den>
                  <m:r>
                    <w:rPr>
                      <w:rStyle w:val="af"/>
                      <w:rFonts w:ascii="Cambria Math" w:hAnsi="Cambria Math"/>
                      <w:color w:val="000000" w:themeColor="text1"/>
                      <w:sz w:val="20"/>
                      <w:szCs w:val="20"/>
                    </w:rPr>
                    <m:t>∂t</m:t>
                  </m:r>
                </m:den>
              </m:f>
              <m:r>
                <w:rPr>
                  <w:rStyle w:val="af"/>
                  <w:rFonts w:ascii="Cambria Math" w:hAnsi="Cambria Math"/>
                  <w:color w:val="000000" w:themeColor="text1"/>
                  <w:sz w:val="20"/>
                  <w:szCs w:val="20"/>
                </w:rPr>
                <m:t>+∇·</m:t>
              </m:r>
              <m:d>
                <m:dPr>
                  <m:begChr m:val="["/>
                  <m:endChr m:val="]"/>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un</m:t>
                  </m:r>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V,t</m:t>
                      </m:r>
                    </m:e>
                  </m:d>
                </m:e>
              </m:d>
              <m:r>
                <w:rPr>
                  <w:rStyle w:val="af"/>
                  <w:rFonts w:ascii="Cambria Math" w:hAnsi="Cambria Math"/>
                  <w:color w:val="000000" w:themeColor="text1"/>
                  <w:sz w:val="20"/>
                  <w:szCs w:val="20"/>
                </w:rPr>
                <m:t>+</m:t>
              </m:r>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m:t>
                  </m:r>
                </m:e>
                <m:sub>
                  <m:r>
                    <w:rPr>
                      <w:rStyle w:val="af"/>
                      <w:rFonts w:ascii="Cambria Math" w:hAnsi="Cambria Math"/>
                      <w:color w:val="000000" w:themeColor="text1"/>
                      <w:sz w:val="20"/>
                      <w:szCs w:val="20"/>
                    </w:rPr>
                    <m:t>v</m:t>
                  </m:r>
                </m:sub>
              </m:sSub>
              <m:r>
                <w:rPr>
                  <w:rStyle w:val="af"/>
                  <w:rFonts w:ascii="Cambria Math" w:hAnsi="Cambria Math"/>
                  <w:color w:val="000000" w:themeColor="text1"/>
                  <w:sz w:val="20"/>
                  <w:szCs w:val="20"/>
                </w:rPr>
                <m:t>·</m:t>
              </m:r>
              <m:d>
                <m:dPr>
                  <m:begChr m:val="["/>
                  <m:endChr m:val="]"/>
                  <m:ctrlPr>
                    <w:rPr>
                      <w:rStyle w:val="af"/>
                      <w:rFonts w:ascii="Cambria Math" w:hAnsi="Cambria Math"/>
                      <w:i/>
                      <w:iCs/>
                      <w:color w:val="000000" w:themeColor="text1"/>
                      <w:sz w:val="20"/>
                      <w:szCs w:val="20"/>
                    </w:rPr>
                  </m:ctrlPr>
                </m:dPr>
                <m:e>
                  <m:sSub>
                    <m:sSubPr>
                      <m:ctrlPr>
                        <w:rPr>
                          <w:rStyle w:val="af"/>
                          <w:rFonts w:ascii="Cambria Math" w:hAnsi="Cambria Math"/>
                          <w:i/>
                          <w:iCs/>
                          <w:color w:val="000000" w:themeColor="text1"/>
                          <w:sz w:val="20"/>
                          <w:szCs w:val="20"/>
                        </w:rPr>
                      </m:ctrlPr>
                    </m:sSubPr>
                    <m:e>
                      <m:r>
                        <w:rPr>
                          <w:rStyle w:val="af"/>
                          <w:rFonts w:ascii="Cambria Math" w:hAnsi="Cambria Math"/>
                          <w:color w:val="000000" w:themeColor="text1"/>
                          <w:sz w:val="20"/>
                          <w:szCs w:val="20"/>
                        </w:rPr>
                        <m:t>G</m:t>
                      </m:r>
                    </m:e>
                    <m:sub>
                      <m:r>
                        <w:rPr>
                          <w:rStyle w:val="af"/>
                          <w:rFonts w:ascii="Cambria Math" w:hAnsi="Cambria Math"/>
                          <w:color w:val="000000" w:themeColor="text1"/>
                          <w:sz w:val="20"/>
                          <w:szCs w:val="20"/>
                        </w:rPr>
                        <m:t>v</m:t>
                      </m:r>
                    </m:sub>
                  </m:sSub>
                  <m:r>
                    <w:rPr>
                      <w:rStyle w:val="af"/>
                      <w:rFonts w:ascii="Cambria Math" w:hAnsi="Cambria Math"/>
                      <w:color w:val="000000" w:themeColor="text1"/>
                      <w:sz w:val="20"/>
                      <w:szCs w:val="20"/>
                    </w:rPr>
                    <m:t>n</m:t>
                  </m:r>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V,t</m:t>
                      </m:r>
                    </m:e>
                  </m:d>
                </m:e>
              </m:d>
              <m:r>
                <w:rPr>
                  <w:rStyle w:val="af"/>
                  <w:rFonts w:ascii="Cambria Math" w:hAnsi="Cambria Math"/>
                  <w:color w:val="000000" w:themeColor="text1"/>
                  <w:sz w:val="20"/>
                  <w:szCs w:val="20"/>
                </w:rPr>
                <m:t>=0.5</m:t>
              </m:r>
              <m:nary>
                <m:naryPr>
                  <m:limLoc m:val="subSup"/>
                  <m:ctrlPr>
                    <w:rPr>
                      <w:rStyle w:val="af"/>
                      <w:rFonts w:ascii="Cambria Math" w:hAnsi="Cambria Math"/>
                      <w:i/>
                      <w:iCs/>
                      <w:color w:val="000000" w:themeColor="text1"/>
                      <w:sz w:val="20"/>
                      <w:szCs w:val="20"/>
                    </w:rPr>
                  </m:ctrlPr>
                </m:naryPr>
                <m:sub>
                  <m:r>
                    <w:rPr>
                      <w:rStyle w:val="af"/>
                      <w:rFonts w:ascii="Cambria Math" w:hAnsi="Cambria Math"/>
                      <w:color w:val="000000" w:themeColor="text1"/>
                      <w:sz w:val="20"/>
                      <w:szCs w:val="20"/>
                    </w:rPr>
                    <m:t>0</m:t>
                  </m:r>
                </m:sub>
                <m:sup>
                  <m:r>
                    <w:rPr>
                      <w:rStyle w:val="af"/>
                      <w:rFonts w:ascii="Cambria Math" w:hAnsi="Cambria Math"/>
                      <w:color w:val="000000" w:themeColor="text1"/>
                      <w:sz w:val="20"/>
                      <w:szCs w:val="20"/>
                    </w:rPr>
                    <m:t>V</m:t>
                  </m:r>
                </m:sup>
                <m:e>
                  <m:r>
                    <w:rPr>
                      <w:rStyle w:val="af"/>
                      <w:rFonts w:ascii="Cambria Math" w:hAnsi="Cambria Math"/>
                      <w:color w:val="000000" w:themeColor="text1"/>
                      <w:sz w:val="20"/>
                      <w:szCs w:val="20"/>
                    </w:rPr>
                    <m:t>a</m:t>
                  </m:r>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V-</m:t>
                      </m:r>
                      <m:sSup>
                        <m:sSupPr>
                          <m:ctrlPr>
                            <w:rPr>
                              <w:rStyle w:val="af"/>
                              <w:rFonts w:ascii="Cambria Math" w:hAnsi="Cambria Math"/>
                              <w:i/>
                              <w:iCs/>
                              <w:color w:val="000000" w:themeColor="text1"/>
                              <w:sz w:val="20"/>
                              <w:szCs w:val="20"/>
                            </w:rPr>
                          </m:ctrlPr>
                        </m:sSupPr>
                        <m:e>
                          <m:r>
                            <w:rPr>
                              <w:rStyle w:val="af"/>
                              <w:rFonts w:ascii="Cambria Math" w:hAnsi="Cambria Math"/>
                              <w:color w:val="000000" w:themeColor="text1"/>
                              <w:sz w:val="20"/>
                              <w:szCs w:val="20"/>
                            </w:rPr>
                            <m:t>V</m:t>
                          </m:r>
                        </m:e>
                        <m:sup>
                          <m:r>
                            <w:rPr>
                              <w:rStyle w:val="af"/>
                              <w:rFonts w:ascii="Cambria Math" w:hAnsi="Cambria Math"/>
                              <w:color w:val="000000" w:themeColor="text1"/>
                              <w:sz w:val="20"/>
                              <w:szCs w:val="20"/>
                            </w:rPr>
                            <m:t>'</m:t>
                          </m:r>
                        </m:sup>
                      </m:sSup>
                      <m:r>
                        <w:rPr>
                          <w:rStyle w:val="af"/>
                          <w:rFonts w:ascii="Cambria Math" w:hAnsi="Cambria Math"/>
                          <w:color w:val="000000" w:themeColor="text1"/>
                          <w:sz w:val="20"/>
                          <w:szCs w:val="20"/>
                        </w:rPr>
                        <m:t>,t</m:t>
                      </m:r>
                    </m:e>
                  </m:d>
                  <m:r>
                    <w:rPr>
                      <w:rStyle w:val="af"/>
                      <w:rFonts w:ascii="Cambria Math" w:hAnsi="Cambria Math"/>
                      <w:color w:val="000000" w:themeColor="text1"/>
                      <w:sz w:val="20"/>
                      <w:szCs w:val="20"/>
                    </w:rPr>
                    <m:t>n</m:t>
                  </m:r>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V-</m:t>
                      </m:r>
                      <m:sSup>
                        <m:sSupPr>
                          <m:ctrlPr>
                            <w:rPr>
                              <w:rStyle w:val="af"/>
                              <w:rFonts w:ascii="Cambria Math" w:hAnsi="Cambria Math"/>
                              <w:i/>
                              <w:iCs/>
                              <w:color w:val="000000" w:themeColor="text1"/>
                              <w:sz w:val="20"/>
                              <w:szCs w:val="20"/>
                            </w:rPr>
                          </m:ctrlPr>
                        </m:sSupPr>
                        <m:e>
                          <m:r>
                            <w:rPr>
                              <w:rStyle w:val="af"/>
                              <w:rFonts w:ascii="Cambria Math" w:hAnsi="Cambria Math"/>
                              <w:color w:val="000000" w:themeColor="text1"/>
                              <w:sz w:val="20"/>
                              <w:szCs w:val="20"/>
                            </w:rPr>
                            <m:t>V</m:t>
                          </m:r>
                        </m:e>
                        <m:sup>
                          <m:r>
                            <w:rPr>
                              <w:rStyle w:val="af"/>
                              <w:rFonts w:ascii="Cambria Math" w:hAnsi="Cambria Math"/>
                              <w:color w:val="000000" w:themeColor="text1"/>
                              <w:sz w:val="20"/>
                              <w:szCs w:val="20"/>
                            </w:rPr>
                            <m:t>'</m:t>
                          </m:r>
                        </m:sup>
                      </m:sSup>
                    </m:e>
                  </m:d>
                  <m:r>
                    <w:rPr>
                      <w:rStyle w:val="af"/>
                      <w:rFonts w:ascii="Cambria Math" w:hAnsi="Cambria Math"/>
                      <w:color w:val="000000" w:themeColor="text1"/>
                      <w:sz w:val="20"/>
                      <w:szCs w:val="20"/>
                    </w:rPr>
                    <m:t>n</m:t>
                  </m:r>
                  <m:d>
                    <m:dPr>
                      <m:ctrlPr>
                        <w:rPr>
                          <w:rStyle w:val="af"/>
                          <w:rFonts w:ascii="Cambria Math" w:hAnsi="Cambria Math"/>
                          <w:i/>
                          <w:iCs/>
                          <w:color w:val="000000" w:themeColor="text1"/>
                          <w:sz w:val="20"/>
                          <w:szCs w:val="20"/>
                        </w:rPr>
                      </m:ctrlPr>
                    </m:dPr>
                    <m:e>
                      <m:sSup>
                        <m:sSupPr>
                          <m:ctrlPr>
                            <w:rPr>
                              <w:rStyle w:val="af"/>
                              <w:rFonts w:ascii="Cambria Math" w:hAnsi="Cambria Math"/>
                              <w:i/>
                              <w:iCs/>
                              <w:color w:val="000000" w:themeColor="text1"/>
                              <w:sz w:val="20"/>
                              <w:szCs w:val="20"/>
                            </w:rPr>
                          </m:ctrlPr>
                        </m:sSupPr>
                        <m:e>
                          <m:r>
                            <w:rPr>
                              <w:rStyle w:val="af"/>
                              <w:rFonts w:ascii="Cambria Math" w:hAnsi="Cambria Math"/>
                              <w:color w:val="000000" w:themeColor="text1"/>
                              <w:sz w:val="20"/>
                              <w:szCs w:val="20"/>
                            </w:rPr>
                            <m:t>V</m:t>
                          </m:r>
                        </m:e>
                        <m:sup>
                          <m:r>
                            <w:rPr>
                              <w:rStyle w:val="af"/>
                              <w:rFonts w:ascii="Cambria Math" w:hAnsi="Cambria Math"/>
                              <w:color w:val="000000" w:themeColor="text1"/>
                              <w:sz w:val="20"/>
                              <w:szCs w:val="20"/>
                            </w:rPr>
                            <m:t>'</m:t>
                          </m:r>
                        </m:sup>
                      </m:sSup>
                      <m:r>
                        <w:rPr>
                          <w:rStyle w:val="af"/>
                          <w:rFonts w:ascii="Cambria Math" w:hAnsi="Cambria Math"/>
                          <w:color w:val="000000" w:themeColor="text1"/>
                          <w:sz w:val="20"/>
                          <w:szCs w:val="20"/>
                        </w:rPr>
                        <m:t>,t</m:t>
                      </m:r>
                    </m:e>
                  </m:d>
                  <m:r>
                    <w:rPr>
                      <w:rStyle w:val="af"/>
                      <w:rFonts w:ascii="Cambria Math" w:hAnsi="Cambria Math"/>
                      <w:color w:val="000000" w:themeColor="text1"/>
                      <w:sz w:val="20"/>
                      <w:szCs w:val="20"/>
                    </w:rPr>
                    <m:t>d</m:t>
                  </m:r>
                  <m:sSup>
                    <m:sSupPr>
                      <m:ctrlPr>
                        <w:rPr>
                          <w:rStyle w:val="af"/>
                          <w:rFonts w:ascii="Cambria Math" w:hAnsi="Cambria Math"/>
                          <w:i/>
                          <w:iCs/>
                          <w:color w:val="000000" w:themeColor="text1"/>
                          <w:sz w:val="20"/>
                          <w:szCs w:val="20"/>
                        </w:rPr>
                      </m:ctrlPr>
                    </m:sSupPr>
                    <m:e>
                      <m:r>
                        <w:rPr>
                          <w:rStyle w:val="af"/>
                          <w:rFonts w:ascii="Cambria Math" w:hAnsi="Cambria Math"/>
                          <w:color w:val="000000" w:themeColor="text1"/>
                          <w:sz w:val="20"/>
                          <w:szCs w:val="20"/>
                        </w:rPr>
                        <m:t>V</m:t>
                      </m:r>
                    </m:e>
                    <m:sup>
                      <m:r>
                        <w:rPr>
                          <w:rStyle w:val="af"/>
                          <w:rFonts w:ascii="Cambria Math" w:hAnsi="Cambria Math"/>
                          <w:color w:val="000000" w:themeColor="text1"/>
                          <w:sz w:val="20"/>
                          <w:szCs w:val="20"/>
                        </w:rPr>
                        <m:t>'</m:t>
                      </m:r>
                    </m:sup>
                  </m:sSup>
                  <m:r>
                    <w:rPr>
                      <w:rStyle w:val="af"/>
                      <w:rFonts w:ascii="Cambria Math" w:hAnsi="Cambria Math"/>
                      <w:color w:val="000000" w:themeColor="text1"/>
                      <w:sz w:val="20"/>
                      <w:szCs w:val="20"/>
                    </w:rPr>
                    <m:t>-</m:t>
                  </m:r>
                  <m:nary>
                    <m:naryPr>
                      <m:limLoc m:val="subSup"/>
                      <m:ctrlPr>
                        <w:rPr>
                          <w:rStyle w:val="af"/>
                          <w:rFonts w:ascii="Cambria Math" w:hAnsi="Cambria Math"/>
                          <w:i/>
                          <w:iCs/>
                          <w:color w:val="000000" w:themeColor="text1"/>
                          <w:sz w:val="20"/>
                          <w:szCs w:val="20"/>
                        </w:rPr>
                      </m:ctrlPr>
                    </m:naryPr>
                    <m:sub>
                      <m:r>
                        <w:rPr>
                          <w:rStyle w:val="af"/>
                          <w:rFonts w:ascii="Cambria Math" w:hAnsi="Cambria Math"/>
                          <w:color w:val="000000" w:themeColor="text1"/>
                          <w:sz w:val="20"/>
                          <w:szCs w:val="20"/>
                        </w:rPr>
                        <m:t>0</m:t>
                      </m:r>
                    </m:sub>
                    <m:sup>
                      <m:r>
                        <w:rPr>
                          <w:rStyle w:val="af"/>
                          <w:rFonts w:ascii="Cambria Math" w:hAnsi="Cambria Math"/>
                          <w:color w:val="000000" w:themeColor="text1"/>
                          <w:sz w:val="20"/>
                          <w:szCs w:val="20"/>
                        </w:rPr>
                        <m:t>∞</m:t>
                      </m:r>
                    </m:sup>
                    <m:e>
                      <m:r>
                        <w:rPr>
                          <w:rStyle w:val="af"/>
                          <w:rFonts w:ascii="Cambria Math" w:hAnsi="Cambria Math"/>
                          <w:color w:val="000000" w:themeColor="text1"/>
                          <w:sz w:val="20"/>
                          <w:szCs w:val="20"/>
                        </w:rPr>
                        <m:t>a</m:t>
                      </m:r>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V,</m:t>
                          </m:r>
                          <m:sSup>
                            <m:sSupPr>
                              <m:ctrlPr>
                                <w:rPr>
                                  <w:rStyle w:val="af"/>
                                  <w:rFonts w:ascii="Cambria Math" w:hAnsi="Cambria Math"/>
                                  <w:i/>
                                  <w:iCs/>
                                  <w:color w:val="000000" w:themeColor="text1"/>
                                  <w:sz w:val="20"/>
                                  <w:szCs w:val="20"/>
                                </w:rPr>
                              </m:ctrlPr>
                            </m:sSupPr>
                            <m:e>
                              <m:r>
                                <w:rPr>
                                  <w:rStyle w:val="af"/>
                                  <w:rFonts w:ascii="Cambria Math" w:hAnsi="Cambria Math"/>
                                  <w:color w:val="000000" w:themeColor="text1"/>
                                  <w:sz w:val="20"/>
                                  <w:szCs w:val="20"/>
                                </w:rPr>
                                <m:t>V</m:t>
                              </m:r>
                            </m:e>
                            <m:sup>
                              <m:r>
                                <w:rPr>
                                  <w:rStyle w:val="af"/>
                                  <w:rFonts w:ascii="Cambria Math" w:hAnsi="Cambria Math"/>
                                  <w:color w:val="000000" w:themeColor="text1"/>
                                  <w:sz w:val="20"/>
                                  <w:szCs w:val="20"/>
                                </w:rPr>
                                <m:t>'</m:t>
                              </m:r>
                            </m:sup>
                          </m:sSup>
                        </m:e>
                      </m:d>
                      <m:r>
                        <w:rPr>
                          <w:rStyle w:val="af"/>
                          <w:rFonts w:ascii="Cambria Math" w:hAnsi="Cambria Math"/>
                          <w:color w:val="000000" w:themeColor="text1"/>
                          <w:sz w:val="20"/>
                          <w:szCs w:val="20"/>
                        </w:rPr>
                        <m:t>n</m:t>
                      </m:r>
                      <m:d>
                        <m:dPr>
                          <m:ctrlPr>
                            <w:rPr>
                              <w:rStyle w:val="af"/>
                              <w:rFonts w:ascii="Cambria Math" w:hAnsi="Cambria Math"/>
                              <w:i/>
                              <w:iCs/>
                              <w:color w:val="000000" w:themeColor="text1"/>
                              <w:sz w:val="20"/>
                              <w:szCs w:val="20"/>
                            </w:rPr>
                          </m:ctrlPr>
                        </m:dPr>
                        <m:e>
                          <m:r>
                            <w:rPr>
                              <w:rStyle w:val="af"/>
                              <w:rFonts w:ascii="Cambria Math" w:hAnsi="Cambria Math"/>
                              <w:color w:val="000000" w:themeColor="text1"/>
                              <w:sz w:val="20"/>
                              <w:szCs w:val="20"/>
                            </w:rPr>
                            <m:t>V,t</m:t>
                          </m:r>
                        </m:e>
                      </m:d>
                      <m:r>
                        <w:rPr>
                          <w:rStyle w:val="af"/>
                          <w:rFonts w:ascii="Cambria Math" w:hAnsi="Cambria Math"/>
                          <w:color w:val="000000" w:themeColor="text1"/>
                          <w:sz w:val="20"/>
                          <w:szCs w:val="20"/>
                        </w:rPr>
                        <m:t>n</m:t>
                      </m:r>
                      <m:d>
                        <m:dPr>
                          <m:ctrlPr>
                            <w:rPr>
                              <w:rStyle w:val="af"/>
                              <w:rFonts w:ascii="Cambria Math" w:hAnsi="Cambria Math"/>
                              <w:i/>
                              <w:iCs/>
                              <w:color w:val="000000" w:themeColor="text1"/>
                              <w:sz w:val="20"/>
                              <w:szCs w:val="20"/>
                            </w:rPr>
                          </m:ctrlPr>
                        </m:dPr>
                        <m:e>
                          <m:sSup>
                            <m:sSupPr>
                              <m:ctrlPr>
                                <w:rPr>
                                  <w:rStyle w:val="af"/>
                                  <w:rFonts w:ascii="Cambria Math" w:hAnsi="Cambria Math"/>
                                  <w:i/>
                                  <w:iCs/>
                                  <w:color w:val="000000" w:themeColor="text1"/>
                                  <w:sz w:val="20"/>
                                  <w:szCs w:val="20"/>
                                </w:rPr>
                              </m:ctrlPr>
                            </m:sSupPr>
                            <m:e>
                              <m:r>
                                <w:rPr>
                                  <w:rStyle w:val="af"/>
                                  <w:rFonts w:ascii="Cambria Math" w:hAnsi="Cambria Math"/>
                                  <w:color w:val="000000" w:themeColor="text1"/>
                                  <w:sz w:val="20"/>
                                  <w:szCs w:val="20"/>
                                </w:rPr>
                                <m:t>V</m:t>
                              </m:r>
                            </m:e>
                            <m:sup>
                              <m:r>
                                <w:rPr>
                                  <w:rStyle w:val="af"/>
                                  <w:rFonts w:ascii="Cambria Math" w:hAnsi="Cambria Math"/>
                                  <w:color w:val="000000" w:themeColor="text1"/>
                                  <w:sz w:val="20"/>
                                  <w:szCs w:val="20"/>
                                </w:rPr>
                                <m:t>'</m:t>
                              </m:r>
                            </m:sup>
                          </m:sSup>
                          <m:r>
                            <w:rPr>
                              <w:rStyle w:val="af"/>
                              <w:rFonts w:ascii="Cambria Math" w:hAnsi="Cambria Math"/>
                              <w:color w:val="000000" w:themeColor="text1"/>
                              <w:sz w:val="20"/>
                              <w:szCs w:val="20"/>
                            </w:rPr>
                            <m:t>,t</m:t>
                          </m:r>
                        </m:e>
                      </m:d>
                      <m:r>
                        <w:rPr>
                          <w:rStyle w:val="af"/>
                          <w:rFonts w:ascii="Cambria Math" w:hAnsi="Cambria Math"/>
                          <w:color w:val="000000" w:themeColor="text1"/>
                          <w:sz w:val="20"/>
                          <w:szCs w:val="20"/>
                        </w:rPr>
                        <m:t>dV'</m:t>
                      </m:r>
                    </m:e>
                  </m:nary>
                </m:e>
              </m:nary>
            </m:oMath>
            <w:r w:rsidR="000B6870" w:rsidRPr="000B6870">
              <w:rPr>
                <w:rStyle w:val="af"/>
                <w:iCs/>
                <w:color w:val="000000" w:themeColor="text1"/>
                <w:sz w:val="20"/>
                <w:szCs w:val="20"/>
              </w:rPr>
              <w:t>,</w:t>
            </w:r>
          </w:p>
        </w:tc>
      </w:tr>
      <w:tr w:rsidR="000B6870" w:rsidRPr="000B6870" w14:paraId="1251CB38" w14:textId="77777777" w:rsidTr="00DC5748">
        <w:tc>
          <w:tcPr>
            <w:tcW w:w="1410" w:type="dxa"/>
            <w:tcBorders>
              <w:top w:val="nil"/>
              <w:left w:val="nil"/>
              <w:bottom w:val="single" w:sz="4" w:space="0" w:color="auto"/>
              <w:right w:val="nil"/>
            </w:tcBorders>
            <w:vAlign w:val="center"/>
          </w:tcPr>
          <w:p w14:paraId="7FF11F1B" w14:textId="77777777" w:rsidR="000B6870" w:rsidRPr="000B6870" w:rsidRDefault="000B6870" w:rsidP="000B6870">
            <w:pPr>
              <w:spacing w:line="360" w:lineRule="auto"/>
              <w:jc w:val="center"/>
              <w:rPr>
                <w:color w:val="000000" w:themeColor="text1"/>
                <w:sz w:val="20"/>
                <w:szCs w:val="20"/>
              </w:rPr>
            </w:pPr>
            <w:r w:rsidRPr="000B6870">
              <w:rPr>
                <w:color w:val="000000" w:themeColor="text1"/>
                <w:sz w:val="20"/>
                <w:szCs w:val="20"/>
              </w:rPr>
              <w:t>Aggregation</w:t>
            </w:r>
            <w:r w:rsidRPr="000B6870">
              <w:rPr>
                <w:rFonts w:hint="eastAsia"/>
                <w:color w:val="000000" w:themeColor="text1"/>
                <w:sz w:val="20"/>
                <w:szCs w:val="20"/>
              </w:rPr>
              <w:t xml:space="preserve"> c</w:t>
            </w:r>
            <w:r w:rsidRPr="000B6870">
              <w:rPr>
                <w:color w:val="000000" w:themeColor="text1"/>
                <w:sz w:val="20"/>
                <w:szCs w:val="20"/>
              </w:rPr>
              <w:t>oefficient</w:t>
            </w:r>
          </w:p>
        </w:tc>
        <w:tc>
          <w:tcPr>
            <w:tcW w:w="7662" w:type="dxa"/>
            <w:gridSpan w:val="7"/>
            <w:tcBorders>
              <w:top w:val="nil"/>
              <w:left w:val="nil"/>
              <w:bottom w:val="single" w:sz="4" w:space="0" w:color="auto"/>
              <w:right w:val="nil"/>
            </w:tcBorders>
            <w:vAlign w:val="center"/>
          </w:tcPr>
          <w:p w14:paraId="60435647" w14:textId="77777777" w:rsidR="000B6870" w:rsidRPr="000B6870" w:rsidRDefault="000B6870" w:rsidP="000B6870">
            <w:pPr>
              <w:spacing w:line="360" w:lineRule="auto"/>
              <w:jc w:val="center"/>
              <w:rPr>
                <w:rStyle w:val="af"/>
                <w:iCs/>
                <w:color w:val="000000" w:themeColor="text1"/>
                <w:sz w:val="20"/>
                <w:szCs w:val="20"/>
              </w:rPr>
            </w:pPr>
            <m:oMath>
              <m:r>
                <w:rPr>
                  <w:rStyle w:val="af"/>
                  <w:rFonts w:ascii="Cambria Math" w:hAnsi="Cambria Math"/>
                  <w:color w:val="000000" w:themeColor="text1"/>
                  <w:sz w:val="20"/>
                  <w:szCs w:val="20"/>
                </w:rPr>
                <m:t>Γ</m:t>
              </m:r>
              <m:d>
                <m:dPr>
                  <m:ctrlPr>
                    <w:rPr>
                      <w:rStyle w:val="af"/>
                      <w:rFonts w:ascii="Cambria Math" w:hAnsi="Cambria Math"/>
                      <w:bCs/>
                      <w:i/>
                      <w:iCs/>
                      <w:color w:val="000000" w:themeColor="text1"/>
                      <w:sz w:val="20"/>
                      <w:szCs w:val="20"/>
                    </w:rPr>
                  </m:ctrlPr>
                </m:dPr>
                <m:e>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m</m:t>
                      </m:r>
                    </m:e>
                    <m:sub>
                      <m:r>
                        <w:rPr>
                          <w:rStyle w:val="af"/>
                          <w:rFonts w:ascii="Cambria Math" w:hAnsi="Cambria Math"/>
                          <w:color w:val="000000" w:themeColor="text1"/>
                          <w:sz w:val="20"/>
                          <w:szCs w:val="20"/>
                        </w:rPr>
                        <m:t>i</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m</m:t>
                      </m:r>
                    </m:e>
                    <m:sub>
                      <m:r>
                        <w:rPr>
                          <w:rStyle w:val="af"/>
                          <w:rFonts w:ascii="Cambria Math" w:hAnsi="Cambria Math"/>
                          <w:color w:val="000000" w:themeColor="text1"/>
                          <w:sz w:val="20"/>
                          <w:szCs w:val="20"/>
                        </w:rPr>
                        <m:t>j</m:t>
                      </m:r>
                    </m:sub>
                  </m:sSub>
                </m:e>
              </m:d>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α</m:t>
                  </m:r>
                </m:e>
                <m:sub>
                  <m:r>
                    <w:rPr>
                      <w:rStyle w:val="af"/>
                      <w:rFonts w:ascii="Cambria Math" w:hAnsi="Cambria Math"/>
                      <w:color w:val="000000" w:themeColor="text1"/>
                      <w:sz w:val="20"/>
                      <w:szCs w:val="20"/>
                    </w:rPr>
                    <m:t>g,max</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α</m:t>
                  </m:r>
                </m:e>
                <m:sub>
                  <m:r>
                    <w:rPr>
                      <w:rStyle w:val="af"/>
                      <w:rFonts w:ascii="Cambria Math" w:hAnsi="Cambria Math"/>
                      <w:color w:val="000000" w:themeColor="text1"/>
                      <w:sz w:val="20"/>
                      <w:szCs w:val="20"/>
                    </w:rPr>
                    <m:t>g,max</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α</m:t>
                  </m:r>
                </m:e>
                <m:sub>
                  <m:r>
                    <w:rPr>
                      <w:rStyle w:val="af"/>
                      <w:rFonts w:ascii="Cambria Math" w:hAnsi="Cambria Math"/>
                      <w:color w:val="000000" w:themeColor="text1"/>
                      <w:sz w:val="20"/>
                      <w:szCs w:val="20"/>
                    </w:rPr>
                    <m:t>g</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Γ</m:t>
                  </m:r>
                </m:e>
                <m:sub>
                  <m:r>
                    <w:rPr>
                      <w:rStyle w:val="af"/>
                      <w:rFonts w:ascii="Cambria Math" w:hAnsi="Cambria Math"/>
                      <w:color w:val="000000" w:themeColor="text1"/>
                      <w:sz w:val="20"/>
                      <w:szCs w:val="20"/>
                    </w:rPr>
                    <m:t>turb</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Γ</m:t>
                  </m:r>
                </m:e>
                <m:sub>
                  <m:r>
                    <w:rPr>
                      <w:rStyle w:val="af"/>
                      <w:rFonts w:ascii="Cambria Math" w:hAnsi="Cambria Math"/>
                      <w:color w:val="000000" w:themeColor="text1"/>
                      <w:sz w:val="20"/>
                      <w:szCs w:val="20"/>
                    </w:rPr>
                    <m:t>eddy</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Γ</m:t>
                  </m:r>
                </m:e>
                <m:sub>
                  <m:r>
                    <w:rPr>
                      <w:rStyle w:val="af"/>
                      <w:rFonts w:ascii="Cambria Math" w:hAnsi="Cambria Math"/>
                      <w:color w:val="000000" w:themeColor="text1"/>
                      <w:sz w:val="20"/>
                      <w:szCs w:val="20"/>
                    </w:rPr>
                    <m:t>shear</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Γ</m:t>
                  </m:r>
                </m:e>
                <m:sub>
                  <m:r>
                    <w:rPr>
                      <w:rStyle w:val="af"/>
                      <w:rFonts w:ascii="Cambria Math" w:hAnsi="Cambria Math"/>
                      <w:color w:val="000000" w:themeColor="text1"/>
                      <w:sz w:val="20"/>
                      <w:szCs w:val="20"/>
                    </w:rPr>
                    <m:t>body</m:t>
                  </m:r>
                </m:sub>
              </m:sSub>
              <m:r>
                <w:rPr>
                  <w:rStyle w:val="af"/>
                  <w:rFonts w:ascii="Cambria Math" w:hAnsi="Cambria Math"/>
                  <w:color w:val="000000" w:themeColor="text1"/>
                  <w:sz w:val="20"/>
                  <w:szCs w:val="20"/>
                </w:rPr>
                <m:t>+</m:t>
              </m:r>
              <m:sSub>
                <m:sSubPr>
                  <m:ctrlPr>
                    <w:rPr>
                      <w:rStyle w:val="af"/>
                      <w:rFonts w:ascii="Cambria Math" w:hAnsi="Cambria Math"/>
                      <w:bCs/>
                      <w:i/>
                      <w:iCs/>
                      <w:color w:val="000000" w:themeColor="text1"/>
                      <w:sz w:val="20"/>
                      <w:szCs w:val="20"/>
                    </w:rPr>
                  </m:ctrlPr>
                </m:sSubPr>
                <m:e>
                  <m:r>
                    <w:rPr>
                      <w:rStyle w:val="af"/>
                      <w:rFonts w:ascii="Cambria Math" w:hAnsi="Cambria Math"/>
                      <w:color w:val="000000" w:themeColor="text1"/>
                      <w:sz w:val="20"/>
                      <w:szCs w:val="20"/>
                    </w:rPr>
                    <m:t>Γ</m:t>
                  </m:r>
                </m:e>
                <m:sub>
                  <m:r>
                    <w:rPr>
                      <w:rStyle w:val="af"/>
                      <w:rFonts w:ascii="Cambria Math" w:hAnsi="Cambria Math"/>
                      <w:color w:val="000000" w:themeColor="text1"/>
                      <w:sz w:val="20"/>
                      <w:szCs w:val="20"/>
                    </w:rPr>
                    <m:t>wake</m:t>
                  </m:r>
                </m:sub>
              </m:sSub>
            </m:oMath>
            <w:r w:rsidRPr="000B6870">
              <w:rPr>
                <w:rStyle w:val="af"/>
                <w:bCs/>
                <w:iCs/>
                <w:color w:val="000000" w:themeColor="text1"/>
                <w:sz w:val="20"/>
                <w:szCs w:val="20"/>
              </w:rPr>
              <w:t>)</w:t>
            </w:r>
          </w:p>
        </w:tc>
      </w:tr>
    </w:tbl>
    <w:p w14:paraId="0B7418FE" w14:textId="111F589B" w:rsidR="00510060" w:rsidRPr="00510060" w:rsidRDefault="00510060" w:rsidP="00B17AB2">
      <w:pPr>
        <w:spacing w:line="360" w:lineRule="auto"/>
        <w:ind w:firstLine="420"/>
        <w:rPr>
          <w:rFonts w:cs="Arial"/>
          <w:szCs w:val="22"/>
        </w:rPr>
      </w:pPr>
      <w:r w:rsidRPr="00510060">
        <w:rPr>
          <w:rFonts w:cs="Arial"/>
          <w:szCs w:val="22"/>
        </w:rPr>
        <w:t xml:space="preserve">Bubble coalescence behavior was modeled using a modified Liao model. This model considers five mechanisms contributing to bubble coalescence: turbulence-induced collision, eddy capture, velocity gradient, body-force-induced interaction, and wake entrainment. Under </w:t>
      </w:r>
      <w:r w:rsidRPr="00510060">
        <w:rPr>
          <w:rFonts w:cs="Arial"/>
          <w:szCs w:val="22"/>
        </w:rPr>
        <w:lastRenderedPageBreak/>
        <w:t>MIS conditions, the activity coefficients associated with turbulence-induced and eddy-capture mechanisms were evaluated explicitly, while the remaining coalescence terms were corrected using the maximum interphase velocity, thereby completing the model calibration.</w:t>
      </w:r>
    </w:p>
    <w:p w14:paraId="7FEF899B" w14:textId="4EF0866D" w:rsidR="00510060" w:rsidRPr="00510060" w:rsidRDefault="00510060" w:rsidP="00510060">
      <w:pPr>
        <w:spacing w:line="360" w:lineRule="auto"/>
        <w:ind w:firstLine="420"/>
        <w:rPr>
          <w:rFonts w:cs="Arial"/>
          <w:szCs w:val="22"/>
        </w:rPr>
      </w:pPr>
      <w:r w:rsidRPr="00510060">
        <w:rPr>
          <w:rFonts w:cs="Arial"/>
          <w:szCs w:val="22"/>
        </w:rPr>
        <w:t>The accuracy of the CFD–PBM framework was validated against experimental data reported in the literature</w:t>
      </w:r>
      <w:r w:rsidR="00C66ADE">
        <w:rPr>
          <w:rFonts w:cs="Arial"/>
          <w:szCs w:val="22"/>
        </w:rPr>
        <w:fldChar w:fldCharType="begin"/>
      </w:r>
      <w:r w:rsidR="00282AF2">
        <w:rPr>
          <w:rFonts w:cs="Arial"/>
          <w:szCs w:val="22"/>
        </w:rPr>
        <w:instrText xml:space="preserve"> ADDIN EN.CITE &lt;EndNote&gt;&lt;Cite&gt;&lt;Author&gt;Bando&lt;/Author&gt;&lt;Year&gt;2008&lt;/Year&gt;&lt;RecNum&gt;397&lt;/RecNum&gt;&lt;DisplayText&gt;&lt;style face="superscript"&gt;49&lt;/style&gt;&lt;/DisplayText&gt;&lt;record&gt;&lt;rec-number&gt;397&lt;/rec-number&gt;&lt;foreign-keys&gt;&lt;key app="EN" db-id="0e5tz0z0ke5t29ex5r955wd3advpxrsstet0" timestamp="1773252913" guid="81773ce2-fafc-43bf-bdec-8c0d2daa3586"&gt;397&lt;/key&gt;&lt;/foreign-keys&gt;&lt;ref-type name="Journal Article"&gt;17&lt;/ref-type&gt;&lt;contributors&gt;&lt;authors&gt;&lt;author&gt;Bando, Yoshiyuki&lt;/author&gt;&lt;author&gt;Yoshimatsu, Takashi&lt;/author&gt;&lt;author&gt;Luo, Wenji&lt;/author&gt;&lt;author&gt;Wang, Yufei&lt;/author&gt;&lt;author&gt;Yasuda, Keiji&lt;/author&gt;&lt;author&gt;Nakamura, Masaaki&lt;/author&gt;&lt;author&gt;Funato, Yasuhiro&lt;/author&gt;&lt;author&gt;Oshima, Masataka&lt;/author&gt;&lt;/authors&gt;&lt;/contributors&gt;&lt;titles&gt;&lt;title&gt;Flow characteristics in cocurrent upflow bubble column dispersed with micro-bubbles&lt;/title&gt;&lt;secondary-title&gt;Journal of chemical engineering of Japan&lt;/secondary-title&gt;&lt;/titles&gt;&lt;periodical&gt;&lt;full-title&gt;Journal of Chemical Engineering of Japan&lt;/full-title&gt;&lt;/periodical&gt;&lt;pages&gt;562-567&lt;/pages&gt;&lt;volume&gt;41&lt;/volume&gt;&lt;number&gt;7&lt;/number&gt;&lt;dates&gt;&lt;year&gt;2008&lt;/year&gt;&lt;/dates&gt;&lt;isbn&gt;0021-9592&lt;/isbn&gt;&lt;urls&gt;&lt;/urls&gt;&lt;/record&gt;&lt;/Cite&gt;&lt;/EndNote&gt;</w:instrText>
      </w:r>
      <w:r w:rsidR="00C66ADE">
        <w:rPr>
          <w:rFonts w:cs="Arial"/>
          <w:szCs w:val="22"/>
        </w:rPr>
        <w:fldChar w:fldCharType="separate"/>
      </w:r>
      <w:r w:rsidR="00282AF2" w:rsidRPr="00282AF2">
        <w:rPr>
          <w:rFonts w:cs="Arial"/>
          <w:noProof/>
          <w:szCs w:val="22"/>
          <w:vertAlign w:val="superscript"/>
        </w:rPr>
        <w:t>49</w:t>
      </w:r>
      <w:r w:rsidR="00C66ADE">
        <w:rPr>
          <w:rFonts w:cs="Arial"/>
          <w:szCs w:val="22"/>
        </w:rPr>
        <w:fldChar w:fldCharType="end"/>
      </w:r>
      <w:r w:rsidRPr="00510060">
        <w:rPr>
          <w:rFonts w:cs="Arial"/>
          <w:szCs w:val="22"/>
        </w:rPr>
        <w:t>. The relative deviation between simulation results and experimental observations was below 5%, indicating that the model can reliably predict microbubble stability and gas–liquid hydrodynamic behavior. Therefore, the validated model was used to predict the evolution and stability of microbubbles within the column under MIS operating conditions.</w:t>
      </w:r>
    </w:p>
    <w:p w14:paraId="4AFBBFC7" w14:textId="77777777" w:rsidR="001E47CB" w:rsidRPr="001E47CB" w:rsidRDefault="001E47CB" w:rsidP="001E47CB">
      <w:pPr>
        <w:spacing w:line="480" w:lineRule="auto"/>
        <w:rPr>
          <w:rFonts w:eastAsia="KaiTi" w:cs="Arial"/>
          <w:b/>
          <w:bCs/>
          <w:szCs w:val="21"/>
        </w:rPr>
      </w:pPr>
      <w:r w:rsidRPr="001E47CB">
        <w:rPr>
          <w:rFonts w:eastAsia="KaiTi" w:cs="Arial" w:hint="eastAsia"/>
          <w:b/>
          <w:bCs/>
          <w:szCs w:val="21"/>
        </w:rPr>
        <w:t>5</w:t>
      </w:r>
      <w:r w:rsidRPr="001E47CB">
        <w:rPr>
          <w:rFonts w:eastAsia="KaiTi" w:cs="Arial"/>
          <w:b/>
          <w:bCs/>
          <w:szCs w:val="21"/>
        </w:rPr>
        <w:t>.</w:t>
      </w:r>
      <w:r w:rsidRPr="001E47CB">
        <w:rPr>
          <w:rFonts w:eastAsia="KaiTi" w:cs="Arial" w:hint="eastAsia"/>
          <w:b/>
          <w:bCs/>
          <w:szCs w:val="21"/>
        </w:rPr>
        <w:t>3</w:t>
      </w:r>
      <w:r w:rsidRPr="001E47CB">
        <w:rPr>
          <w:rFonts w:eastAsia="KaiTi" w:cs="Arial"/>
          <w:b/>
          <w:bCs/>
          <w:szCs w:val="21"/>
        </w:rPr>
        <w:t xml:space="preserve"> Machine-learning-based process monitoring</w:t>
      </w:r>
    </w:p>
    <w:p w14:paraId="68912B02" w14:textId="77777777" w:rsidR="00C45DBA" w:rsidRDefault="00C45DBA" w:rsidP="00C45DBA">
      <w:pPr>
        <w:spacing w:line="360" w:lineRule="auto"/>
        <w:ind w:firstLine="420"/>
        <w:rPr>
          <w:rFonts w:cs="Arial"/>
          <w:szCs w:val="22"/>
        </w:rPr>
      </w:pPr>
      <w:r w:rsidRPr="00C45DBA">
        <w:rPr>
          <w:rFonts w:cs="Arial"/>
          <w:szCs w:val="22"/>
        </w:rPr>
        <w:t>To achieve long-term stable operation of the MIS-intensified absorption–regeneration system, a data-driven soft sensor framework was developed to predict the CO</w:t>
      </w:r>
      <w:r w:rsidRPr="00C45DBA">
        <w:rPr>
          <w:rFonts w:ascii="Cambria Math" w:hAnsi="Cambria Math" w:cs="Cambria Math"/>
          <w:szCs w:val="22"/>
        </w:rPr>
        <w:t>₂</w:t>
      </w:r>
      <w:r w:rsidRPr="00C45DBA">
        <w:rPr>
          <w:rFonts w:cs="Arial"/>
          <w:szCs w:val="22"/>
        </w:rPr>
        <w:t xml:space="preserve"> loading in the solvent in real time. Conventional determination of CO</w:t>
      </w:r>
      <w:r w:rsidRPr="00C45DBA">
        <w:rPr>
          <w:rFonts w:ascii="Cambria Math" w:hAnsi="Cambria Math" w:cs="Cambria Math"/>
          <w:szCs w:val="22"/>
        </w:rPr>
        <w:t>₂</w:t>
      </w:r>
      <w:r w:rsidRPr="00C45DBA">
        <w:rPr>
          <w:rFonts w:cs="Arial"/>
          <w:szCs w:val="22"/>
        </w:rPr>
        <w:t xml:space="preserve"> loading typically relies on offline titration or analytical methods, which are difficult to implement for real-time monitoring in continuous processes. Therefore, machine learning methods were employed to infer solvent loading from variables that can be measured online.</w:t>
      </w:r>
    </w:p>
    <w:p w14:paraId="5C112BE6" w14:textId="77777777" w:rsidR="00AB0954" w:rsidRDefault="00AB0954" w:rsidP="00AB0954">
      <w:pPr>
        <w:spacing w:line="360" w:lineRule="auto"/>
        <w:ind w:firstLine="420"/>
        <w:rPr>
          <w:rFonts w:cs="Arial"/>
          <w:szCs w:val="22"/>
        </w:rPr>
      </w:pPr>
      <w:r w:rsidRPr="00C45DBA">
        <w:rPr>
          <w:rFonts w:cs="Arial"/>
          <w:szCs w:val="22"/>
        </w:rPr>
        <w:t>The model input variables include process parameters that can be obtained online, namely the probe potential (E), solution pH, the initial total amine concentration, and the initial amine ratio. These variables reflect the protonation state of the system and the electrochemical environment of the solution, and therefore exhibit strong correlations with the CO</w:t>
      </w:r>
      <w:r w:rsidRPr="00C45DBA">
        <w:rPr>
          <w:rFonts w:ascii="Cambria Math" w:hAnsi="Cambria Math" w:cs="Cambria Math"/>
          <w:szCs w:val="22"/>
        </w:rPr>
        <w:t>₂</w:t>
      </w:r>
      <w:r w:rsidRPr="00C45DBA">
        <w:rPr>
          <w:rFonts w:cs="Arial"/>
          <w:szCs w:val="22"/>
        </w:rPr>
        <w:t xml:space="preserve"> loading.</w:t>
      </w:r>
    </w:p>
    <w:p w14:paraId="19CE0394" w14:textId="28442F18" w:rsidR="00AB0954" w:rsidRPr="00C45DBA" w:rsidRDefault="00AB0954" w:rsidP="00AB0954">
      <w:pPr>
        <w:spacing w:line="360" w:lineRule="auto"/>
        <w:ind w:firstLine="420"/>
        <w:rPr>
          <w:rFonts w:cs="Arial"/>
          <w:szCs w:val="22"/>
        </w:rPr>
      </w:pPr>
      <w:r w:rsidRPr="00C45DBA">
        <w:rPr>
          <w:rFonts w:cs="Arial"/>
          <w:szCs w:val="22"/>
        </w:rPr>
        <w:t>Based on these inputs, a nonlinear regression model was established using the XGBoost algorithm to construct the mapping between measurable variables and solvent CO</w:t>
      </w:r>
      <w:r w:rsidRPr="00C45DBA">
        <w:rPr>
          <w:rFonts w:ascii="Cambria Math" w:hAnsi="Cambria Math" w:cs="Cambria Math"/>
          <w:szCs w:val="22"/>
        </w:rPr>
        <w:t>₂</w:t>
      </w:r>
      <w:r w:rsidRPr="00C45DBA">
        <w:rPr>
          <w:rFonts w:cs="Arial"/>
          <w:szCs w:val="22"/>
        </w:rPr>
        <w:t xml:space="preserve"> loading. The training dataset was obtained from experimental data collected during the continuous absorption–regeneration experiments. Model performance was evaluated using cross-validation and the coefficient of determination (R</w:t>
      </w:r>
      <w:r w:rsidR="001926CF" w:rsidRPr="001926CF">
        <w:rPr>
          <w:rFonts w:cs="Arial" w:hint="eastAsia"/>
          <w:szCs w:val="22"/>
          <w:vertAlign w:val="superscript"/>
        </w:rPr>
        <w:t>2</w:t>
      </w:r>
      <w:r w:rsidRPr="00C45DBA">
        <w:rPr>
          <w:rFonts w:cs="Arial"/>
          <w:szCs w:val="22"/>
        </w:rPr>
        <w:t>)</w:t>
      </w:r>
      <w:r w:rsidR="00A55A9E">
        <w:rPr>
          <w:rFonts w:cs="Arial" w:hint="eastAsia"/>
          <w:szCs w:val="22"/>
        </w:rPr>
        <w:t xml:space="preserve"> (Fig.S4)</w:t>
      </w:r>
      <w:r w:rsidRPr="00C45DBA">
        <w:rPr>
          <w:rFonts w:cs="Arial"/>
          <w:szCs w:val="22"/>
        </w:rPr>
        <w:t>.</w:t>
      </w:r>
    </w:p>
    <w:p w14:paraId="478D4EBC" w14:textId="3D3C3554" w:rsidR="00AB0954" w:rsidRPr="00C45DBA" w:rsidRDefault="00AB0954" w:rsidP="00AB0954">
      <w:pPr>
        <w:spacing w:line="360" w:lineRule="auto"/>
        <w:ind w:firstLine="420"/>
        <w:rPr>
          <w:rFonts w:cs="Arial"/>
          <w:szCs w:val="22"/>
        </w:rPr>
      </w:pPr>
      <w:r w:rsidRPr="00C45DBA">
        <w:rPr>
          <w:rFonts w:cs="Arial"/>
          <w:szCs w:val="22"/>
        </w:rPr>
        <w:t xml:space="preserve">The trained model was then embedded into the process monitoring framework as a soft sensor to enable real-time prediction of solvent loading. When the predicted loading deviates significantly from the designed operating window, the system can trigger an alarm signal to guide </w:t>
      </w:r>
      <w:r w:rsidRPr="00C45DBA">
        <w:rPr>
          <w:rFonts w:cs="Arial"/>
          <w:szCs w:val="22"/>
        </w:rPr>
        <w:lastRenderedPageBreak/>
        <w:t>solvent composition adjustment or operating condition optimization. This data-driven monitoring strategy enables closed-loop regulation of solvent composition and contributes to maintaining the long-term stability of the MIS-intensified CO</w:t>
      </w:r>
      <w:r w:rsidRPr="00C45DBA">
        <w:rPr>
          <w:rFonts w:ascii="Cambria Math" w:hAnsi="Cambria Math" w:cs="Cambria Math"/>
          <w:szCs w:val="22"/>
        </w:rPr>
        <w:t>₂</w:t>
      </w:r>
      <w:r w:rsidRPr="00C45DBA">
        <w:rPr>
          <w:rFonts w:cs="Arial"/>
          <w:szCs w:val="22"/>
        </w:rPr>
        <w:t xml:space="preserve"> capture system.</w:t>
      </w:r>
    </w:p>
    <w:p w14:paraId="02950A23" w14:textId="5E1E0848" w:rsidR="00C95EA6" w:rsidRDefault="000344AA" w:rsidP="00C95EA6">
      <w:pPr>
        <w:spacing w:line="360" w:lineRule="auto"/>
        <w:rPr>
          <w:rFonts w:cs="Arial"/>
          <w:szCs w:val="22"/>
        </w:rPr>
      </w:pPr>
      <w:r>
        <w:rPr>
          <w:rFonts w:cs="Arial"/>
          <w:noProof/>
          <w:szCs w:val="22"/>
        </w:rPr>
        <w:drawing>
          <wp:inline distT="0" distB="0" distL="0" distR="0" wp14:anchorId="1488CF1A" wp14:editId="4A65C1E3">
            <wp:extent cx="5454595" cy="4462149"/>
            <wp:effectExtent l="0" t="0" r="0" b="0"/>
            <wp:docPr id="5353936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1014" t="2361" r="3775"/>
                    <a:stretch>
                      <a:fillRect/>
                    </a:stretch>
                  </pic:blipFill>
                  <pic:spPr bwMode="auto">
                    <a:xfrm>
                      <a:off x="0" y="0"/>
                      <a:ext cx="5467798" cy="4472950"/>
                    </a:xfrm>
                    <a:prstGeom prst="rect">
                      <a:avLst/>
                    </a:prstGeom>
                    <a:noFill/>
                    <a:ln>
                      <a:noFill/>
                    </a:ln>
                    <a:extLst>
                      <a:ext uri="{53640926-AAD7-44D8-BBD7-CCE9431645EC}">
                        <a14:shadowObscured xmlns:a14="http://schemas.microsoft.com/office/drawing/2010/main"/>
                      </a:ext>
                    </a:extLst>
                  </pic:spPr>
                </pic:pic>
              </a:graphicData>
            </a:graphic>
          </wp:inline>
        </w:drawing>
      </w:r>
    </w:p>
    <w:p w14:paraId="3ED46407" w14:textId="09951D13" w:rsidR="004B38BA" w:rsidRDefault="00AB0954" w:rsidP="00C95EA6">
      <w:pPr>
        <w:spacing w:line="360" w:lineRule="auto"/>
        <w:rPr>
          <w:rFonts w:cs="Arial"/>
          <w:szCs w:val="22"/>
        </w:rPr>
      </w:pPr>
      <w:r w:rsidRPr="002211F7">
        <w:rPr>
          <w:rFonts w:cs="Arial" w:hint="eastAsia"/>
          <w:b/>
          <w:bCs/>
          <w:szCs w:val="22"/>
        </w:rPr>
        <w:t xml:space="preserve">Fig.S4 </w:t>
      </w:r>
      <w:r w:rsidR="001926CF" w:rsidRPr="002211F7">
        <w:rPr>
          <w:rFonts w:cs="Arial"/>
          <w:b/>
          <w:bCs/>
          <w:szCs w:val="22"/>
        </w:rPr>
        <w:t>Model prediction performance and generalization ability.</w:t>
      </w:r>
      <w:r w:rsidR="001926CF">
        <w:rPr>
          <w:rFonts w:cs="Arial" w:hint="eastAsia"/>
          <w:szCs w:val="22"/>
        </w:rPr>
        <w:t xml:space="preserve"> </w:t>
      </w:r>
      <w:r w:rsidR="001926CF" w:rsidRPr="001926CF">
        <w:rPr>
          <w:rFonts w:cs="Arial"/>
          <w:szCs w:val="22"/>
        </w:rPr>
        <w:t>a</w:t>
      </w:r>
      <w:r w:rsidR="00AB392A">
        <w:rPr>
          <w:rFonts w:cs="Arial" w:hint="eastAsia"/>
          <w:szCs w:val="22"/>
        </w:rPr>
        <w:t>,</w:t>
      </w:r>
      <w:r w:rsidR="001926CF" w:rsidRPr="001926CF">
        <w:rPr>
          <w:rFonts w:cs="Arial"/>
          <w:szCs w:val="22"/>
        </w:rPr>
        <w:t xml:space="preserve"> Prediction performance of the XGBoost model. b</w:t>
      </w:r>
      <w:r w:rsidR="00AB392A">
        <w:rPr>
          <w:rFonts w:cs="Arial" w:hint="eastAsia"/>
          <w:szCs w:val="22"/>
        </w:rPr>
        <w:t>,</w:t>
      </w:r>
      <w:r w:rsidR="001926CF" w:rsidRPr="001926CF">
        <w:rPr>
          <w:rFonts w:cs="Arial"/>
          <w:szCs w:val="22"/>
        </w:rPr>
        <w:t xml:space="preserve"> Prediction performance of the BP neural network model. c</w:t>
      </w:r>
      <w:r w:rsidR="00AB392A">
        <w:rPr>
          <w:rFonts w:cs="Arial" w:hint="eastAsia"/>
          <w:szCs w:val="22"/>
        </w:rPr>
        <w:t>,</w:t>
      </w:r>
      <w:r w:rsidR="001926CF" w:rsidRPr="001926CF">
        <w:rPr>
          <w:rFonts w:cs="Arial"/>
          <w:szCs w:val="22"/>
        </w:rPr>
        <w:t xml:space="preserve"> Generalization performance of the XGBoost model.</w:t>
      </w:r>
    </w:p>
    <w:p w14:paraId="67276413" w14:textId="6D3707CA" w:rsidR="008C1B5B" w:rsidRDefault="008C1B5B">
      <w:pPr>
        <w:widowControl/>
        <w:rPr>
          <w:rFonts w:cs="Arial"/>
          <w:szCs w:val="22"/>
        </w:rPr>
      </w:pPr>
      <w:r>
        <w:rPr>
          <w:rFonts w:cs="Arial"/>
          <w:szCs w:val="22"/>
        </w:rPr>
        <w:br w:type="page"/>
      </w:r>
    </w:p>
    <w:p w14:paraId="7F5B563A" w14:textId="044265F0" w:rsidR="00443458" w:rsidRPr="002211F7" w:rsidRDefault="00C34964" w:rsidP="008C1B5B">
      <w:pPr>
        <w:spacing w:after="0" w:line="480" w:lineRule="auto"/>
        <w:rPr>
          <w:rFonts w:cs="Arial"/>
          <w:b/>
          <w:bCs/>
          <w:sz w:val="28"/>
          <w:szCs w:val="28"/>
        </w:rPr>
      </w:pPr>
      <w:r w:rsidRPr="002211F7">
        <w:rPr>
          <w:rFonts w:cs="Arial" w:hint="eastAsia"/>
          <w:b/>
          <w:bCs/>
          <w:sz w:val="28"/>
          <w:szCs w:val="28"/>
        </w:rPr>
        <w:lastRenderedPageBreak/>
        <w:t xml:space="preserve">6 </w:t>
      </w:r>
      <w:r w:rsidRPr="002211F7">
        <w:rPr>
          <w:rFonts w:cs="Arial"/>
          <w:b/>
          <w:bCs/>
          <w:sz w:val="28"/>
          <w:szCs w:val="28"/>
        </w:rPr>
        <w:t>Supplementary Figures</w:t>
      </w:r>
    </w:p>
    <w:p w14:paraId="0A6C6827" w14:textId="384AF958" w:rsidR="00C34964" w:rsidRDefault="00C34964" w:rsidP="00C34964">
      <w:pPr>
        <w:spacing w:line="360" w:lineRule="auto"/>
        <w:rPr>
          <w:rFonts w:cs="Arial"/>
          <w:szCs w:val="22"/>
        </w:rPr>
      </w:pPr>
      <w:r>
        <w:rPr>
          <w:rFonts w:cs="Arial"/>
          <w:noProof/>
          <w:szCs w:val="22"/>
        </w:rPr>
        <w:drawing>
          <wp:inline distT="0" distB="0" distL="0" distR="0" wp14:anchorId="287BFC94" wp14:editId="73329E61">
            <wp:extent cx="5722742" cy="2289703"/>
            <wp:effectExtent l="0" t="0" r="0" b="0"/>
            <wp:docPr id="1897315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54" r="3559"/>
                    <a:stretch>
                      <a:fillRect/>
                    </a:stretch>
                  </pic:blipFill>
                  <pic:spPr bwMode="auto">
                    <a:xfrm>
                      <a:off x="0" y="0"/>
                      <a:ext cx="5765420" cy="2306779"/>
                    </a:xfrm>
                    <a:prstGeom prst="rect">
                      <a:avLst/>
                    </a:prstGeom>
                    <a:noFill/>
                    <a:ln>
                      <a:noFill/>
                    </a:ln>
                    <a:extLst>
                      <a:ext uri="{53640926-AAD7-44D8-BBD7-CCE9431645EC}">
                        <a14:shadowObscured xmlns:a14="http://schemas.microsoft.com/office/drawing/2010/main"/>
                      </a:ext>
                    </a:extLst>
                  </pic:spPr>
                </pic:pic>
              </a:graphicData>
            </a:graphic>
          </wp:inline>
        </w:drawing>
      </w:r>
    </w:p>
    <w:p w14:paraId="140888F7" w14:textId="7BA4AA8C" w:rsidR="00443458" w:rsidRDefault="00D26D07" w:rsidP="00C34964">
      <w:pPr>
        <w:spacing w:line="360" w:lineRule="auto"/>
        <w:rPr>
          <w:rFonts w:cs="Arial"/>
          <w:szCs w:val="22"/>
        </w:rPr>
      </w:pPr>
      <w:r w:rsidRPr="002211F7">
        <w:rPr>
          <w:rFonts w:cs="Arial" w:hint="eastAsia"/>
          <w:b/>
          <w:bCs/>
          <w:szCs w:val="22"/>
        </w:rPr>
        <w:t xml:space="preserve">Fig.S5 </w:t>
      </w:r>
      <w:r w:rsidR="006825EE" w:rsidRPr="002211F7">
        <w:rPr>
          <w:rFonts w:cs="Arial"/>
          <w:b/>
          <w:bCs/>
          <w:szCs w:val="22"/>
        </w:rPr>
        <w:t>Raman spectra of product composition and distribution under MIS and MAS conditions</w:t>
      </w:r>
      <w:r w:rsidR="006825EE" w:rsidRPr="002211F7">
        <w:rPr>
          <w:rFonts w:cs="Arial" w:hint="eastAsia"/>
          <w:b/>
          <w:bCs/>
          <w:szCs w:val="22"/>
        </w:rPr>
        <w:t>.</w:t>
      </w:r>
      <w:r w:rsidR="00FE3C22">
        <w:rPr>
          <w:rFonts w:cs="Arial" w:hint="eastAsia"/>
          <w:szCs w:val="22"/>
        </w:rPr>
        <w:t xml:space="preserve"> a</w:t>
      </w:r>
      <w:r w:rsidR="00AB392A">
        <w:rPr>
          <w:rFonts w:cs="Arial" w:hint="eastAsia"/>
          <w:szCs w:val="22"/>
        </w:rPr>
        <w:t>,</w:t>
      </w:r>
      <w:r w:rsidR="00FE3C22">
        <w:rPr>
          <w:rFonts w:cs="Arial" w:hint="eastAsia"/>
          <w:szCs w:val="22"/>
        </w:rPr>
        <w:t xml:space="preserve"> </w:t>
      </w:r>
      <w:r w:rsidR="00A20A34" w:rsidRPr="00A20A34">
        <w:rPr>
          <w:rFonts w:cs="Arial"/>
          <w:szCs w:val="22"/>
        </w:rPr>
        <w:t>AMP system</w:t>
      </w:r>
      <w:r w:rsidR="00B1142F">
        <w:rPr>
          <w:rFonts w:cs="Arial" w:hint="eastAsia"/>
          <w:szCs w:val="22"/>
        </w:rPr>
        <w:t>.</w:t>
      </w:r>
      <w:r w:rsidR="00A20A34">
        <w:rPr>
          <w:rFonts w:cs="Arial" w:hint="eastAsia"/>
          <w:szCs w:val="22"/>
        </w:rPr>
        <w:t xml:space="preserve"> b</w:t>
      </w:r>
      <w:r w:rsidR="00AB392A">
        <w:rPr>
          <w:rFonts w:cs="Arial" w:hint="eastAsia"/>
          <w:szCs w:val="22"/>
        </w:rPr>
        <w:t>,</w:t>
      </w:r>
      <w:r w:rsidR="00A20A34">
        <w:rPr>
          <w:rFonts w:cs="Arial" w:hint="eastAsia"/>
          <w:szCs w:val="22"/>
        </w:rPr>
        <w:t xml:space="preserve"> MDEA &amp; PZ</w:t>
      </w:r>
      <w:r w:rsidR="00A20A34" w:rsidRPr="00A20A34">
        <w:rPr>
          <w:rFonts w:cs="Arial"/>
          <w:szCs w:val="22"/>
        </w:rPr>
        <w:t xml:space="preserve"> system</w:t>
      </w:r>
      <w:r w:rsidR="00A20A34">
        <w:rPr>
          <w:rFonts w:cs="Arial" w:hint="eastAsia"/>
          <w:szCs w:val="22"/>
        </w:rPr>
        <w:t>.</w:t>
      </w:r>
    </w:p>
    <w:p w14:paraId="6ED2E273" w14:textId="552784CC" w:rsidR="00C34964" w:rsidRDefault="00C34964" w:rsidP="00E853C1">
      <w:pPr>
        <w:spacing w:line="360" w:lineRule="auto"/>
        <w:jc w:val="center"/>
        <w:rPr>
          <w:rFonts w:cs="Arial"/>
          <w:szCs w:val="22"/>
        </w:rPr>
      </w:pPr>
      <w:r>
        <w:rPr>
          <w:rFonts w:cs="Arial"/>
          <w:noProof/>
          <w:szCs w:val="22"/>
        </w:rPr>
        <w:drawing>
          <wp:inline distT="0" distB="0" distL="0" distR="0" wp14:anchorId="427785DD" wp14:editId="7D8EFC3E">
            <wp:extent cx="3154257" cy="1457608"/>
            <wp:effectExtent l="0" t="0" r="0" b="0"/>
            <wp:docPr id="1165769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9496"/>
                    <a:stretch>
                      <a:fillRect/>
                    </a:stretch>
                  </pic:blipFill>
                  <pic:spPr bwMode="auto">
                    <a:xfrm>
                      <a:off x="0" y="0"/>
                      <a:ext cx="3237723" cy="1496178"/>
                    </a:xfrm>
                    <a:prstGeom prst="rect">
                      <a:avLst/>
                    </a:prstGeom>
                    <a:noFill/>
                    <a:ln>
                      <a:noFill/>
                    </a:ln>
                    <a:extLst>
                      <a:ext uri="{53640926-AAD7-44D8-BBD7-CCE9431645EC}">
                        <a14:shadowObscured xmlns:a14="http://schemas.microsoft.com/office/drawing/2010/main"/>
                      </a:ext>
                    </a:extLst>
                  </pic:spPr>
                </pic:pic>
              </a:graphicData>
            </a:graphic>
          </wp:inline>
        </w:drawing>
      </w:r>
    </w:p>
    <w:p w14:paraId="5FB61FE7" w14:textId="2A3E7274" w:rsidR="00443458" w:rsidRPr="002211F7" w:rsidRDefault="00842C07" w:rsidP="00443458">
      <w:pPr>
        <w:spacing w:line="360" w:lineRule="auto"/>
        <w:jc w:val="center"/>
        <w:rPr>
          <w:rFonts w:cs="Arial"/>
          <w:b/>
          <w:bCs/>
          <w:szCs w:val="22"/>
        </w:rPr>
      </w:pPr>
      <w:r w:rsidRPr="002211F7">
        <w:rPr>
          <w:rFonts w:cs="Arial" w:hint="eastAsia"/>
          <w:b/>
          <w:bCs/>
          <w:szCs w:val="22"/>
        </w:rPr>
        <w:t xml:space="preserve">Fig.S6 </w:t>
      </w:r>
      <w:r w:rsidRPr="002211F7">
        <w:rPr>
          <w:rFonts w:cs="Arial"/>
          <w:b/>
          <w:bCs/>
          <w:szCs w:val="22"/>
        </w:rPr>
        <w:t>Comparison of free energy under different dielectric conditions</w:t>
      </w:r>
      <w:r w:rsidRPr="002211F7">
        <w:rPr>
          <w:rFonts w:cs="Arial" w:hint="eastAsia"/>
          <w:b/>
          <w:bCs/>
          <w:szCs w:val="22"/>
        </w:rPr>
        <w:t>.</w:t>
      </w:r>
    </w:p>
    <w:p w14:paraId="065060C0" w14:textId="1EEC9669" w:rsidR="00736A95" w:rsidRDefault="00B45BD5" w:rsidP="00DE42B6">
      <w:pPr>
        <w:spacing w:line="360" w:lineRule="auto"/>
        <w:jc w:val="center"/>
        <w:rPr>
          <w:rFonts w:cs="Arial"/>
          <w:noProof/>
          <w:szCs w:val="22"/>
        </w:rPr>
      </w:pPr>
      <w:r>
        <w:rPr>
          <w:rFonts w:cs="Arial"/>
          <w:noProof/>
          <w:szCs w:val="22"/>
        </w:rPr>
        <w:drawing>
          <wp:inline distT="0" distB="0" distL="0" distR="0" wp14:anchorId="5A3ED69F" wp14:editId="44D6ADA4">
            <wp:extent cx="3697615" cy="2256497"/>
            <wp:effectExtent l="0" t="0" r="0" b="0"/>
            <wp:docPr id="1124863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52" t="31421" r="7902"/>
                    <a:stretch>
                      <a:fillRect/>
                    </a:stretch>
                  </pic:blipFill>
                  <pic:spPr bwMode="auto">
                    <a:xfrm>
                      <a:off x="0" y="0"/>
                      <a:ext cx="3762419" cy="2296044"/>
                    </a:xfrm>
                    <a:prstGeom prst="rect">
                      <a:avLst/>
                    </a:prstGeom>
                    <a:noFill/>
                    <a:ln>
                      <a:noFill/>
                    </a:ln>
                    <a:extLst>
                      <a:ext uri="{53640926-AAD7-44D8-BBD7-CCE9431645EC}">
                        <a14:shadowObscured xmlns:a14="http://schemas.microsoft.com/office/drawing/2010/main"/>
                      </a:ext>
                    </a:extLst>
                  </pic:spPr>
                </pic:pic>
              </a:graphicData>
            </a:graphic>
          </wp:inline>
        </w:drawing>
      </w:r>
    </w:p>
    <w:p w14:paraId="762F582C" w14:textId="049B8CA4" w:rsidR="00E15D05" w:rsidRPr="002211F7" w:rsidRDefault="00443458" w:rsidP="00C34964">
      <w:pPr>
        <w:spacing w:line="360" w:lineRule="auto"/>
        <w:rPr>
          <w:rFonts w:cs="Arial"/>
          <w:b/>
          <w:bCs/>
          <w:szCs w:val="22"/>
        </w:rPr>
      </w:pPr>
      <w:r w:rsidRPr="002211F7">
        <w:rPr>
          <w:rFonts w:cs="Arial" w:hint="eastAsia"/>
          <w:b/>
          <w:bCs/>
          <w:szCs w:val="22"/>
        </w:rPr>
        <w:t xml:space="preserve">Fig.S7 </w:t>
      </w:r>
      <w:r w:rsidRPr="002211F7">
        <w:rPr>
          <w:rFonts w:cs="Arial"/>
          <w:b/>
          <w:bCs/>
          <w:szCs w:val="22"/>
        </w:rPr>
        <w:t>Reaction progress at equivalent process positions during continuous absorption–regeneration</w:t>
      </w:r>
      <w:r w:rsidRPr="002211F7">
        <w:rPr>
          <w:rFonts w:cs="Arial" w:hint="eastAsia"/>
          <w:b/>
          <w:bCs/>
          <w:szCs w:val="22"/>
        </w:rPr>
        <w:t>.</w:t>
      </w:r>
    </w:p>
    <w:p w14:paraId="3E768F53" w14:textId="1A68BD57" w:rsidR="00E15D05" w:rsidRDefault="00E15D05" w:rsidP="00752DF3">
      <w:pPr>
        <w:spacing w:line="360" w:lineRule="auto"/>
        <w:jc w:val="center"/>
        <w:rPr>
          <w:rFonts w:cs="Arial"/>
          <w:szCs w:val="22"/>
        </w:rPr>
      </w:pPr>
      <w:r w:rsidRPr="00E15D05">
        <w:rPr>
          <w:rFonts w:cs="Arial"/>
          <w:noProof/>
          <w:szCs w:val="22"/>
        </w:rPr>
        <w:lastRenderedPageBreak/>
        <w:drawing>
          <wp:inline distT="0" distB="0" distL="0" distR="0" wp14:anchorId="3F348254" wp14:editId="2BF63A38">
            <wp:extent cx="3345859" cy="2284355"/>
            <wp:effectExtent l="0" t="0" r="0" b="0"/>
            <wp:docPr id="10" name="图片 9">
              <a:extLst xmlns:a="http://schemas.openxmlformats.org/drawingml/2006/main">
                <a:ext uri="{FF2B5EF4-FFF2-40B4-BE49-F238E27FC236}">
                  <a16:creationId xmlns:a16="http://schemas.microsoft.com/office/drawing/2014/main" id="{93348BC6-C84D-DEF4-7BD1-BCB0DBE11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93348BC6-C84D-DEF4-7BD1-BCB0DBE11848}"/>
                        </a:ext>
                      </a:extLst>
                    </pic:cNvPr>
                    <pic:cNvPicPr>
                      <a:picLocks noChangeAspect="1"/>
                    </pic:cNvPicPr>
                  </pic:nvPicPr>
                  <pic:blipFill>
                    <a:blip r:embed="rId14"/>
                    <a:stretch>
                      <a:fillRect/>
                    </a:stretch>
                  </pic:blipFill>
                  <pic:spPr>
                    <a:xfrm>
                      <a:off x="0" y="0"/>
                      <a:ext cx="3358107" cy="2292717"/>
                    </a:xfrm>
                    <a:prstGeom prst="rect">
                      <a:avLst/>
                    </a:prstGeom>
                  </pic:spPr>
                </pic:pic>
              </a:graphicData>
            </a:graphic>
          </wp:inline>
        </w:drawing>
      </w:r>
    </w:p>
    <w:p w14:paraId="2ADD3B7E" w14:textId="163E9458" w:rsidR="00752DF3" w:rsidRPr="002211F7" w:rsidRDefault="00BF33F4" w:rsidP="00752DF3">
      <w:pPr>
        <w:spacing w:line="360" w:lineRule="auto"/>
        <w:jc w:val="center"/>
        <w:rPr>
          <w:rFonts w:cs="Arial"/>
          <w:b/>
          <w:bCs/>
          <w:szCs w:val="22"/>
        </w:rPr>
      </w:pPr>
      <w:r w:rsidRPr="002211F7">
        <w:rPr>
          <w:rFonts w:cs="Arial" w:hint="eastAsia"/>
          <w:b/>
          <w:bCs/>
          <w:szCs w:val="22"/>
        </w:rPr>
        <w:t xml:space="preserve">Fig.S8 </w:t>
      </w:r>
      <w:r w:rsidRPr="002211F7">
        <w:rPr>
          <w:rFonts w:cs="Arial"/>
          <w:b/>
          <w:bCs/>
          <w:szCs w:val="22"/>
        </w:rPr>
        <w:t>Sensitivity analysis of TEA to steam price and waste-heat utilization</w:t>
      </w:r>
    </w:p>
    <w:p w14:paraId="33A79536" w14:textId="66F86982" w:rsidR="00E15D05" w:rsidRDefault="00DF27D9" w:rsidP="00752DF3">
      <w:pPr>
        <w:spacing w:line="360" w:lineRule="auto"/>
        <w:jc w:val="center"/>
        <w:rPr>
          <w:rFonts w:cs="Arial"/>
          <w:szCs w:val="22"/>
        </w:rPr>
      </w:pPr>
      <w:r w:rsidRPr="00DF27D9">
        <w:rPr>
          <w:rFonts w:cs="Arial"/>
          <w:noProof/>
          <w:szCs w:val="22"/>
        </w:rPr>
        <w:drawing>
          <wp:inline distT="0" distB="0" distL="0" distR="0" wp14:anchorId="62F48B43" wp14:editId="5A8F6234">
            <wp:extent cx="2897137" cy="2403809"/>
            <wp:effectExtent l="0" t="0" r="0" b="0"/>
            <wp:docPr id="1374477013" name="图片 2" descr="图表, 图示&#10;&#10;AI 生成的内容可能不正确。">
              <a:extLst xmlns:a="http://schemas.openxmlformats.org/drawingml/2006/main">
                <a:ext uri="{FF2B5EF4-FFF2-40B4-BE49-F238E27FC236}">
                  <a16:creationId xmlns:a16="http://schemas.microsoft.com/office/drawing/2014/main" id="{8DF11655-12CA-2BBD-763D-809F20EB9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表, 图示&#10;&#10;AI 生成的内容可能不正确。">
                      <a:extLst>
                        <a:ext uri="{FF2B5EF4-FFF2-40B4-BE49-F238E27FC236}">
                          <a16:creationId xmlns:a16="http://schemas.microsoft.com/office/drawing/2014/main" id="{8DF11655-12CA-2BBD-763D-809F20EB9486}"/>
                        </a:ext>
                      </a:extLst>
                    </pic:cNvPr>
                    <pic:cNvPicPr>
                      <a:picLocks noChangeAspect="1"/>
                    </pic:cNvPicPr>
                  </pic:nvPicPr>
                  <pic:blipFill>
                    <a:blip r:embed="rId15"/>
                    <a:stretch>
                      <a:fillRect/>
                    </a:stretch>
                  </pic:blipFill>
                  <pic:spPr>
                    <a:xfrm>
                      <a:off x="0" y="0"/>
                      <a:ext cx="2897137" cy="2403809"/>
                    </a:xfrm>
                    <a:prstGeom prst="rect">
                      <a:avLst/>
                    </a:prstGeom>
                  </pic:spPr>
                </pic:pic>
              </a:graphicData>
            </a:graphic>
          </wp:inline>
        </w:drawing>
      </w:r>
    </w:p>
    <w:p w14:paraId="3A15386F" w14:textId="47BA9BAF" w:rsidR="00FA5CC3" w:rsidRPr="002211F7" w:rsidRDefault="00FA5CC3" w:rsidP="00FA5CC3">
      <w:pPr>
        <w:spacing w:line="360" w:lineRule="auto"/>
        <w:jc w:val="center"/>
        <w:rPr>
          <w:rFonts w:cs="Arial"/>
          <w:b/>
          <w:bCs/>
          <w:szCs w:val="22"/>
        </w:rPr>
      </w:pPr>
      <w:r w:rsidRPr="002211F7">
        <w:rPr>
          <w:rFonts w:cs="Arial" w:hint="eastAsia"/>
          <w:b/>
          <w:bCs/>
          <w:szCs w:val="22"/>
        </w:rPr>
        <w:t xml:space="preserve">Fig.S9 </w:t>
      </w:r>
      <w:r w:rsidRPr="002211F7">
        <w:rPr>
          <w:rFonts w:cs="Arial"/>
          <w:b/>
          <w:bCs/>
          <w:szCs w:val="22"/>
        </w:rPr>
        <w:t>Corrosion behavior characterized by Tafel polarization</w:t>
      </w:r>
    </w:p>
    <w:p w14:paraId="7BB3F248" w14:textId="41D4864E" w:rsidR="00570050" w:rsidRPr="00303569" w:rsidRDefault="00303569" w:rsidP="00303569">
      <w:pPr>
        <w:suppressLineNumbers/>
        <w:spacing w:beforeLines="50" w:before="156" w:after="0" w:line="480" w:lineRule="auto"/>
        <w:rPr>
          <w:rFonts w:cs="Arial"/>
          <w:b/>
          <w:bCs/>
          <w:sz w:val="28"/>
          <w:szCs w:val="32"/>
        </w:rPr>
      </w:pPr>
      <w:r w:rsidRPr="00C3176E">
        <w:rPr>
          <w:rFonts w:cs="Arial" w:hint="eastAsia"/>
          <w:b/>
          <w:bCs/>
          <w:sz w:val="28"/>
          <w:szCs w:val="32"/>
        </w:rPr>
        <w:t>R</w:t>
      </w:r>
      <w:r w:rsidRPr="00C3176E">
        <w:rPr>
          <w:rFonts w:cs="Arial"/>
          <w:b/>
          <w:bCs/>
          <w:sz w:val="28"/>
          <w:szCs w:val="32"/>
        </w:rPr>
        <w:t>eference</w:t>
      </w:r>
      <w:r w:rsidRPr="00C3176E">
        <w:rPr>
          <w:rFonts w:cs="Arial" w:hint="eastAsia"/>
          <w:b/>
          <w:bCs/>
          <w:sz w:val="28"/>
          <w:szCs w:val="32"/>
        </w:rPr>
        <w:t>s</w:t>
      </w:r>
    </w:p>
    <w:p w14:paraId="1E88C6AE" w14:textId="77777777" w:rsidR="00282AF2" w:rsidRPr="00282AF2" w:rsidRDefault="00570050" w:rsidP="00282AF2">
      <w:pPr>
        <w:pStyle w:val="EndNoteBibliography"/>
        <w:spacing w:after="0"/>
        <w:ind w:left="720" w:hanging="720"/>
      </w:pPr>
      <w:r>
        <w:fldChar w:fldCharType="begin"/>
      </w:r>
      <w:r>
        <w:instrText xml:space="preserve"> ADDIN EN.REFLIST </w:instrText>
      </w:r>
      <w:r>
        <w:fldChar w:fldCharType="separate"/>
      </w:r>
      <w:r w:rsidR="00282AF2" w:rsidRPr="00282AF2">
        <w:t>1</w:t>
      </w:r>
      <w:r w:rsidR="00282AF2" w:rsidRPr="00282AF2">
        <w:tab/>
        <w:t>Boot-Handford, M. E.</w:t>
      </w:r>
      <w:r w:rsidR="00282AF2" w:rsidRPr="00282AF2">
        <w:rPr>
          <w:i/>
        </w:rPr>
        <w:t xml:space="preserve"> et al.</w:t>
      </w:r>
      <w:r w:rsidR="00282AF2" w:rsidRPr="00282AF2">
        <w:t xml:space="preserve"> Carbon capture and storage update. </w:t>
      </w:r>
      <w:r w:rsidR="00282AF2" w:rsidRPr="00282AF2">
        <w:rPr>
          <w:i/>
        </w:rPr>
        <w:t>Energy &amp; Environmental Science</w:t>
      </w:r>
      <w:r w:rsidR="00282AF2" w:rsidRPr="00282AF2">
        <w:t xml:space="preserve"> </w:t>
      </w:r>
      <w:r w:rsidR="00282AF2" w:rsidRPr="00282AF2">
        <w:rPr>
          <w:b/>
        </w:rPr>
        <w:t>7</w:t>
      </w:r>
      <w:r w:rsidR="00282AF2" w:rsidRPr="00282AF2">
        <w:t xml:space="preserve">, 130-189 (2014). </w:t>
      </w:r>
    </w:p>
    <w:p w14:paraId="69ADD907" w14:textId="77777777" w:rsidR="00282AF2" w:rsidRPr="00282AF2" w:rsidRDefault="00282AF2" w:rsidP="00282AF2">
      <w:pPr>
        <w:pStyle w:val="EndNoteBibliography"/>
        <w:spacing w:after="0"/>
        <w:ind w:left="720" w:hanging="720"/>
      </w:pPr>
      <w:r w:rsidRPr="00282AF2">
        <w:t>2</w:t>
      </w:r>
      <w:r w:rsidRPr="00282AF2">
        <w:tab/>
        <w:t xml:space="preserve">Rochelle, G. T. Amine scrubbing for CO2 capture. </w:t>
      </w:r>
      <w:r w:rsidRPr="00282AF2">
        <w:rPr>
          <w:i/>
        </w:rPr>
        <w:t>Science</w:t>
      </w:r>
      <w:r w:rsidRPr="00282AF2">
        <w:t xml:space="preserve"> </w:t>
      </w:r>
      <w:r w:rsidRPr="00282AF2">
        <w:rPr>
          <w:b/>
        </w:rPr>
        <w:t>325</w:t>
      </w:r>
      <w:r w:rsidRPr="00282AF2">
        <w:t xml:space="preserve">, 1652-1654 (2009). </w:t>
      </w:r>
    </w:p>
    <w:p w14:paraId="17F6761B" w14:textId="77777777" w:rsidR="00282AF2" w:rsidRPr="00282AF2" w:rsidRDefault="00282AF2" w:rsidP="00282AF2">
      <w:pPr>
        <w:pStyle w:val="EndNoteBibliography"/>
        <w:spacing w:after="0"/>
        <w:ind w:left="720" w:hanging="720"/>
      </w:pPr>
      <w:r w:rsidRPr="00282AF2">
        <w:t>3</w:t>
      </w:r>
      <w:r w:rsidRPr="00282AF2">
        <w:tab/>
        <w:t xml:space="preserve">Wilcox, J. Collaboration can secure carbon capture’s future. </w:t>
      </w:r>
      <w:r w:rsidRPr="00282AF2">
        <w:rPr>
          <w:i/>
        </w:rPr>
        <w:t>Nature Energy</w:t>
      </w:r>
      <w:r w:rsidRPr="00282AF2">
        <w:t xml:space="preserve"> </w:t>
      </w:r>
      <w:r w:rsidRPr="00282AF2">
        <w:rPr>
          <w:b/>
        </w:rPr>
        <w:t>11</w:t>
      </w:r>
      <w:r w:rsidRPr="00282AF2">
        <w:t xml:space="preserve">, 9-10 (2026). </w:t>
      </w:r>
    </w:p>
    <w:p w14:paraId="3DF3B680" w14:textId="77777777" w:rsidR="00282AF2" w:rsidRPr="00282AF2" w:rsidRDefault="00282AF2" w:rsidP="00282AF2">
      <w:pPr>
        <w:pStyle w:val="EndNoteBibliography"/>
        <w:spacing w:after="0"/>
        <w:ind w:left="720" w:hanging="720"/>
      </w:pPr>
      <w:r w:rsidRPr="00282AF2">
        <w:t>4</w:t>
      </w:r>
      <w:r w:rsidRPr="00282AF2">
        <w:tab/>
        <w:t xml:space="preserve">Jia, B., Tsau, J.-S. &amp; Barati, R. A review of the current progress of CO2 injection EOR and carbon storage in shale oil reservoirs. </w:t>
      </w:r>
      <w:r w:rsidRPr="00282AF2">
        <w:rPr>
          <w:i/>
        </w:rPr>
        <w:t>Fuel</w:t>
      </w:r>
      <w:r w:rsidRPr="00282AF2">
        <w:t xml:space="preserve"> </w:t>
      </w:r>
      <w:r w:rsidRPr="00282AF2">
        <w:rPr>
          <w:b/>
        </w:rPr>
        <w:t>236</w:t>
      </w:r>
      <w:r w:rsidRPr="00282AF2">
        <w:t xml:space="preserve">, 404-427 (2019). </w:t>
      </w:r>
    </w:p>
    <w:p w14:paraId="61F0B155" w14:textId="77777777" w:rsidR="00282AF2" w:rsidRPr="00282AF2" w:rsidRDefault="00282AF2" w:rsidP="00282AF2">
      <w:pPr>
        <w:pStyle w:val="EndNoteBibliography"/>
        <w:spacing w:after="0"/>
        <w:ind w:left="720" w:hanging="720"/>
      </w:pPr>
      <w:r w:rsidRPr="00282AF2">
        <w:t>5</w:t>
      </w:r>
      <w:r w:rsidRPr="00282AF2">
        <w:tab/>
        <w:t xml:space="preserve">Bachu, S. Review of CO2 storage efficiency in deep saline aquifers. </w:t>
      </w:r>
      <w:r w:rsidRPr="00282AF2">
        <w:rPr>
          <w:i/>
        </w:rPr>
        <w:t>International Journal of Greenhouse Gas Control</w:t>
      </w:r>
      <w:r w:rsidRPr="00282AF2">
        <w:t xml:space="preserve"> </w:t>
      </w:r>
      <w:r w:rsidRPr="00282AF2">
        <w:rPr>
          <w:b/>
        </w:rPr>
        <w:t>40</w:t>
      </w:r>
      <w:r w:rsidRPr="00282AF2">
        <w:t xml:space="preserve">, 188-202 (2015). </w:t>
      </w:r>
    </w:p>
    <w:p w14:paraId="6B67CD16" w14:textId="77777777" w:rsidR="00282AF2" w:rsidRPr="00282AF2" w:rsidRDefault="00282AF2" w:rsidP="00282AF2">
      <w:pPr>
        <w:pStyle w:val="EndNoteBibliography"/>
        <w:spacing w:after="0"/>
        <w:ind w:left="720" w:hanging="720"/>
      </w:pPr>
      <w:r w:rsidRPr="00282AF2">
        <w:t>6</w:t>
      </w:r>
      <w:r w:rsidRPr="00282AF2">
        <w:tab/>
        <w:t>World Energy Development Report 2024. ( Chinese Academy of Social Sciences, 2024).</w:t>
      </w:r>
    </w:p>
    <w:p w14:paraId="41D0E6FD" w14:textId="77777777" w:rsidR="00282AF2" w:rsidRPr="00282AF2" w:rsidRDefault="00282AF2" w:rsidP="00282AF2">
      <w:pPr>
        <w:pStyle w:val="EndNoteBibliography"/>
        <w:spacing w:after="0"/>
        <w:ind w:left="720" w:hanging="720"/>
      </w:pPr>
      <w:r w:rsidRPr="00282AF2">
        <w:t>7</w:t>
      </w:r>
      <w:r w:rsidRPr="00282AF2">
        <w:tab/>
        <w:t>China Energy Policy Review. (2024).</w:t>
      </w:r>
    </w:p>
    <w:p w14:paraId="72D73CA9" w14:textId="77777777" w:rsidR="00282AF2" w:rsidRPr="00282AF2" w:rsidRDefault="00282AF2" w:rsidP="00282AF2">
      <w:pPr>
        <w:pStyle w:val="EndNoteBibliography"/>
        <w:spacing w:after="0"/>
        <w:ind w:left="720" w:hanging="720"/>
      </w:pPr>
      <w:r w:rsidRPr="00282AF2">
        <w:t>8</w:t>
      </w:r>
      <w:r w:rsidRPr="00282AF2">
        <w:tab/>
        <w:t>Carbon Capture and Storage (CCS) in Coal-Fired Power Plants. (International Energy Agency (IEA), 2013).</w:t>
      </w:r>
    </w:p>
    <w:p w14:paraId="7F2A7CA3" w14:textId="77777777" w:rsidR="00282AF2" w:rsidRPr="00282AF2" w:rsidRDefault="00282AF2" w:rsidP="00282AF2">
      <w:pPr>
        <w:pStyle w:val="EndNoteBibliography"/>
        <w:spacing w:after="0"/>
        <w:ind w:left="720" w:hanging="720"/>
      </w:pPr>
      <w:r w:rsidRPr="00282AF2">
        <w:lastRenderedPageBreak/>
        <w:t>9</w:t>
      </w:r>
      <w:r w:rsidRPr="00282AF2">
        <w:tab/>
        <w:t>he Fourth National Communication on Climate Change of the People’s Republic of China., (Ministry of Ecology and Environment of the People’s Republic of China, 2023).</w:t>
      </w:r>
    </w:p>
    <w:p w14:paraId="1E2ABDCA" w14:textId="77777777" w:rsidR="00282AF2" w:rsidRPr="00282AF2" w:rsidRDefault="00282AF2" w:rsidP="00282AF2">
      <w:pPr>
        <w:pStyle w:val="EndNoteBibliography"/>
        <w:spacing w:after="0"/>
        <w:ind w:left="720" w:hanging="720"/>
      </w:pPr>
      <w:r w:rsidRPr="00282AF2">
        <w:t>10</w:t>
      </w:r>
      <w:r w:rsidRPr="00282AF2">
        <w:tab/>
        <w:t xml:space="preserve">Chao, C., Deng, Y., Dewil, R., Baeyens, J. &amp; Fan, X. Post-combustion carbon capture. </w:t>
      </w:r>
      <w:r w:rsidRPr="00282AF2">
        <w:rPr>
          <w:i/>
        </w:rPr>
        <w:t>Renewable and Sustainable Energy Reviews</w:t>
      </w:r>
      <w:r w:rsidRPr="00282AF2">
        <w:t xml:space="preserve"> </w:t>
      </w:r>
      <w:r w:rsidRPr="00282AF2">
        <w:rPr>
          <w:b/>
        </w:rPr>
        <w:t>138</w:t>
      </w:r>
      <w:r w:rsidRPr="00282AF2">
        <w:t xml:space="preserve">, 110490 (2021). </w:t>
      </w:r>
    </w:p>
    <w:p w14:paraId="54662377" w14:textId="77777777" w:rsidR="00282AF2" w:rsidRPr="00282AF2" w:rsidRDefault="00282AF2" w:rsidP="00282AF2">
      <w:pPr>
        <w:pStyle w:val="EndNoteBibliography"/>
        <w:spacing w:after="0"/>
        <w:ind w:left="720" w:hanging="720"/>
      </w:pPr>
      <w:r w:rsidRPr="00282AF2">
        <w:t>11</w:t>
      </w:r>
      <w:r w:rsidRPr="00282AF2">
        <w:tab/>
        <w:t xml:space="preserve">Azar, C., Lindgren, K., Larson, E. &amp; Möllersten, K. Carbon capture and storage from fossil fuels and biomass–costs and potential role in stabilizing the atmosphere. </w:t>
      </w:r>
      <w:r w:rsidRPr="00282AF2">
        <w:rPr>
          <w:i/>
        </w:rPr>
        <w:t>Climatic change</w:t>
      </w:r>
      <w:r w:rsidRPr="00282AF2">
        <w:t xml:space="preserve"> </w:t>
      </w:r>
      <w:r w:rsidRPr="00282AF2">
        <w:rPr>
          <w:b/>
        </w:rPr>
        <w:t>74</w:t>
      </w:r>
      <w:r w:rsidRPr="00282AF2">
        <w:t xml:space="preserve">, 47-79 (2006). </w:t>
      </w:r>
    </w:p>
    <w:p w14:paraId="4D542568" w14:textId="77777777" w:rsidR="00282AF2" w:rsidRPr="00282AF2" w:rsidRDefault="00282AF2" w:rsidP="00282AF2">
      <w:pPr>
        <w:pStyle w:val="EndNoteBibliography"/>
        <w:spacing w:after="0"/>
        <w:ind w:left="720" w:hanging="720"/>
      </w:pPr>
      <w:r w:rsidRPr="00282AF2">
        <w:t>12</w:t>
      </w:r>
      <w:r w:rsidRPr="00282AF2">
        <w:tab/>
        <w:t xml:space="preserve">Guo, Y. &amp; Hatton, T. A. Enhancing continuous-flow CO2 capture and release from aqueous carbonates via thermal pH regulation. </w:t>
      </w:r>
      <w:r w:rsidRPr="00282AF2">
        <w:rPr>
          <w:i/>
        </w:rPr>
        <w:t>Nature Chemical Engineering</w:t>
      </w:r>
      <w:r w:rsidRPr="00282AF2">
        <w:t xml:space="preserve">, 1-9 (2025). </w:t>
      </w:r>
    </w:p>
    <w:p w14:paraId="24CD94D1" w14:textId="4E7DEA66" w:rsidR="00282AF2" w:rsidRPr="00282AF2" w:rsidRDefault="00282AF2" w:rsidP="00282AF2">
      <w:pPr>
        <w:pStyle w:val="EndNoteBibliography"/>
        <w:spacing w:after="0"/>
        <w:ind w:left="720" w:hanging="720"/>
      </w:pPr>
      <w:r w:rsidRPr="00282AF2">
        <w:t>13</w:t>
      </w:r>
      <w:r w:rsidRPr="00282AF2">
        <w:tab/>
        <w:t xml:space="preserve">Chamberlayne, C. F. &amp; Zare, R. N. Simple model for the electric field and spatial distribution of ions in a microdroplet. </w:t>
      </w:r>
      <w:r w:rsidRPr="00282AF2">
        <w:rPr>
          <w:i/>
        </w:rPr>
        <w:t>Journal of Chemical Physics</w:t>
      </w:r>
      <w:r w:rsidRPr="00282AF2">
        <w:t xml:space="preserve"> </w:t>
      </w:r>
      <w:r w:rsidRPr="00282AF2">
        <w:rPr>
          <w:b/>
        </w:rPr>
        <w:t>152</w:t>
      </w:r>
      <w:r w:rsidRPr="00282AF2">
        <w:t xml:space="preserve"> (2020). </w:t>
      </w:r>
      <w:hyperlink r:id="rId16" w:history="1">
        <w:r w:rsidRPr="00282AF2">
          <w:rPr>
            <w:rStyle w:val="af5"/>
          </w:rPr>
          <w:t>https://doi.org:10.1063/5.0006550</w:t>
        </w:r>
      </w:hyperlink>
    </w:p>
    <w:p w14:paraId="32B53D41" w14:textId="22DDAB30" w:rsidR="00282AF2" w:rsidRPr="00282AF2" w:rsidRDefault="00282AF2" w:rsidP="00282AF2">
      <w:pPr>
        <w:pStyle w:val="EndNoteBibliography"/>
        <w:spacing w:after="0"/>
        <w:ind w:left="720" w:hanging="720"/>
      </w:pPr>
      <w:r w:rsidRPr="00282AF2">
        <w:t>14</w:t>
      </w:r>
      <w:r w:rsidRPr="00282AF2">
        <w:tab/>
        <w:t>Agmon, N.</w:t>
      </w:r>
      <w:r w:rsidRPr="00282AF2">
        <w:rPr>
          <w:i/>
        </w:rPr>
        <w:t xml:space="preserve"> et al.</w:t>
      </w:r>
      <w:r w:rsidRPr="00282AF2">
        <w:t xml:space="preserve"> Protons and Hydroxide Ions in Aqueous Systems. </w:t>
      </w:r>
      <w:r w:rsidRPr="00282AF2">
        <w:rPr>
          <w:i/>
        </w:rPr>
        <w:t>Chemical Reviews</w:t>
      </w:r>
      <w:r w:rsidRPr="00282AF2">
        <w:t xml:space="preserve"> </w:t>
      </w:r>
      <w:r w:rsidRPr="00282AF2">
        <w:rPr>
          <w:b/>
        </w:rPr>
        <w:t>116</w:t>
      </w:r>
      <w:r w:rsidRPr="00282AF2">
        <w:t xml:space="preserve">, 7642-7672 (2016). </w:t>
      </w:r>
      <w:hyperlink r:id="rId17" w:history="1">
        <w:r w:rsidRPr="00282AF2">
          <w:rPr>
            <w:rStyle w:val="af5"/>
          </w:rPr>
          <w:t>https://doi.org:10.1021/acs.chemrev.5b00736</w:t>
        </w:r>
      </w:hyperlink>
    </w:p>
    <w:p w14:paraId="6CC7DFE7" w14:textId="1B80173E" w:rsidR="00282AF2" w:rsidRPr="00282AF2" w:rsidRDefault="00282AF2" w:rsidP="00282AF2">
      <w:pPr>
        <w:pStyle w:val="EndNoteBibliography"/>
        <w:spacing w:after="0"/>
        <w:ind w:left="720" w:hanging="720"/>
      </w:pPr>
      <w:r w:rsidRPr="00282AF2">
        <w:t>15</w:t>
      </w:r>
      <w:r w:rsidRPr="00282AF2">
        <w:tab/>
        <w:t xml:space="preserve">Poli, E., Jong, K. H. &amp; Hassanali, A. Charge transfer as a ubiquitous mechanism in determining the negative charge at hydrophobic interfaces. </w:t>
      </w:r>
      <w:r w:rsidRPr="00282AF2">
        <w:rPr>
          <w:i/>
        </w:rPr>
        <w:t>Nature Communications</w:t>
      </w:r>
      <w:r w:rsidRPr="00282AF2">
        <w:t xml:space="preserve"> </w:t>
      </w:r>
      <w:r w:rsidRPr="00282AF2">
        <w:rPr>
          <w:b/>
        </w:rPr>
        <w:t>11</w:t>
      </w:r>
      <w:r w:rsidRPr="00282AF2">
        <w:t xml:space="preserve"> (2020). </w:t>
      </w:r>
      <w:hyperlink r:id="rId18" w:history="1">
        <w:r w:rsidRPr="00282AF2">
          <w:rPr>
            <w:rStyle w:val="af5"/>
          </w:rPr>
          <w:t>https://doi.org:10.1038/s41467-020-14659-5</w:t>
        </w:r>
      </w:hyperlink>
    </w:p>
    <w:p w14:paraId="616F4D1D" w14:textId="093AEDC3" w:rsidR="00282AF2" w:rsidRPr="00282AF2" w:rsidRDefault="00282AF2" w:rsidP="00282AF2">
      <w:pPr>
        <w:pStyle w:val="EndNoteBibliography"/>
        <w:spacing w:after="0"/>
        <w:ind w:left="720" w:hanging="720"/>
      </w:pPr>
      <w:r w:rsidRPr="00282AF2">
        <w:t>16</w:t>
      </w:r>
      <w:r w:rsidRPr="00282AF2">
        <w:tab/>
        <w:t>Shi, L. X.</w:t>
      </w:r>
      <w:r w:rsidRPr="00282AF2">
        <w:rPr>
          <w:i/>
        </w:rPr>
        <w:t xml:space="preserve"> et al.</w:t>
      </w:r>
      <w:r w:rsidRPr="00282AF2">
        <w:t xml:space="preserve"> Water structure and electric fields at the interface of oil droplets. </w:t>
      </w:r>
      <w:r w:rsidRPr="00282AF2">
        <w:rPr>
          <w:i/>
        </w:rPr>
        <w:t>Nature</w:t>
      </w:r>
      <w:r w:rsidRPr="00282AF2">
        <w:t xml:space="preserve"> </w:t>
      </w:r>
      <w:r w:rsidRPr="00282AF2">
        <w:rPr>
          <w:b/>
        </w:rPr>
        <w:t>640</w:t>
      </w:r>
      <w:r w:rsidRPr="00282AF2">
        <w:t xml:space="preserve"> (2025). </w:t>
      </w:r>
      <w:hyperlink r:id="rId19" w:history="1">
        <w:r w:rsidRPr="00282AF2">
          <w:rPr>
            <w:rStyle w:val="af5"/>
          </w:rPr>
          <w:t>https://doi.org:10.1038/s41586-025-08702-y</w:t>
        </w:r>
      </w:hyperlink>
    </w:p>
    <w:p w14:paraId="6085F0AF" w14:textId="4B7A05A0" w:rsidR="00282AF2" w:rsidRPr="00282AF2" w:rsidRDefault="00282AF2" w:rsidP="00282AF2">
      <w:pPr>
        <w:pStyle w:val="EndNoteBibliography"/>
        <w:spacing w:after="0"/>
        <w:ind w:left="720" w:hanging="720"/>
      </w:pPr>
      <w:r w:rsidRPr="00282AF2">
        <w:t>17</w:t>
      </w:r>
      <w:r w:rsidRPr="00282AF2">
        <w:tab/>
        <w:t>Xia, Y.</w:t>
      </w:r>
      <w:r w:rsidRPr="00282AF2">
        <w:rPr>
          <w:i/>
        </w:rPr>
        <w:t xml:space="preserve"> et al.</w:t>
      </w:r>
      <w:r w:rsidRPr="00282AF2">
        <w:t xml:space="preserve"> Droplet- on- demand mass spectrometry reveals curvature- dependent interfacial reactivity in aqueous microdroplets. </w:t>
      </w:r>
      <w:r w:rsidRPr="00282AF2">
        <w:rPr>
          <w:i/>
        </w:rPr>
        <w:t>Proceedings of the National Academy of Sciences of the United States of America</w:t>
      </w:r>
      <w:r w:rsidRPr="00282AF2">
        <w:t xml:space="preserve"> </w:t>
      </w:r>
      <w:r w:rsidRPr="00282AF2">
        <w:rPr>
          <w:b/>
        </w:rPr>
        <w:t>122</w:t>
      </w:r>
      <w:r w:rsidRPr="00282AF2">
        <w:t xml:space="preserve"> (2025). </w:t>
      </w:r>
      <w:hyperlink r:id="rId20" w:history="1">
        <w:r w:rsidRPr="00282AF2">
          <w:rPr>
            <w:rStyle w:val="af5"/>
          </w:rPr>
          <w:t>https://doi.org:10.1073/pnas.2519491122</w:t>
        </w:r>
      </w:hyperlink>
    </w:p>
    <w:p w14:paraId="0A27932C" w14:textId="77777777" w:rsidR="00282AF2" w:rsidRPr="00282AF2" w:rsidRDefault="00282AF2" w:rsidP="00282AF2">
      <w:pPr>
        <w:pStyle w:val="EndNoteBibliography"/>
        <w:spacing w:after="0"/>
        <w:ind w:left="720" w:hanging="720"/>
      </w:pPr>
      <w:r w:rsidRPr="00282AF2">
        <w:t>18</w:t>
      </w:r>
      <w:r w:rsidRPr="00282AF2">
        <w:tab/>
        <w:t xml:space="preserve">Cooks, R. G. &amp; Holden, D. T. Breaking down microdroplet chemistry. </w:t>
      </w:r>
      <w:r w:rsidRPr="00282AF2">
        <w:rPr>
          <w:i/>
        </w:rPr>
        <w:t>Science</w:t>
      </w:r>
      <w:r w:rsidRPr="00282AF2">
        <w:t xml:space="preserve"> </w:t>
      </w:r>
      <w:r w:rsidRPr="00282AF2">
        <w:rPr>
          <w:b/>
        </w:rPr>
        <w:t>384</w:t>
      </w:r>
      <w:r w:rsidRPr="00282AF2">
        <w:t xml:space="preserve">, 958-959 (2024). </w:t>
      </w:r>
    </w:p>
    <w:p w14:paraId="23E02F1E" w14:textId="77777777" w:rsidR="00282AF2" w:rsidRPr="00282AF2" w:rsidRDefault="00282AF2" w:rsidP="00282AF2">
      <w:pPr>
        <w:pStyle w:val="EndNoteBibliography"/>
        <w:spacing w:after="0"/>
        <w:ind w:left="720" w:hanging="720"/>
      </w:pPr>
      <w:r w:rsidRPr="00282AF2">
        <w:t>19</w:t>
      </w:r>
      <w:r w:rsidRPr="00282AF2">
        <w:tab/>
        <w:t>Yuewei, F.</w:t>
      </w:r>
      <w:r w:rsidRPr="00282AF2">
        <w:rPr>
          <w:i/>
        </w:rPr>
        <w:t xml:space="preserve"> et al.</w:t>
      </w:r>
      <w:r w:rsidRPr="00282AF2">
        <w:t xml:space="preserve"> Micro/nanofluid-based carbon-negative process for capturing CO2 from low-carbon flue gas to produce soda ash: effects and enhancement mechanisms. </w:t>
      </w:r>
      <w:r w:rsidRPr="00282AF2">
        <w:rPr>
          <w:i/>
        </w:rPr>
        <w:t>Separation and Purification Technology</w:t>
      </w:r>
      <w:r w:rsidRPr="00282AF2">
        <w:t xml:space="preserve"> </w:t>
      </w:r>
      <w:r w:rsidRPr="00282AF2">
        <w:rPr>
          <w:b/>
        </w:rPr>
        <w:t>354</w:t>
      </w:r>
      <w:r w:rsidRPr="00282AF2">
        <w:t xml:space="preserve">, 128818 (2025). </w:t>
      </w:r>
    </w:p>
    <w:p w14:paraId="40CCA3F3" w14:textId="4DA43709" w:rsidR="00282AF2" w:rsidRPr="00282AF2" w:rsidRDefault="00282AF2" w:rsidP="00282AF2">
      <w:pPr>
        <w:pStyle w:val="EndNoteBibliography"/>
        <w:spacing w:after="0"/>
        <w:ind w:left="720" w:hanging="720"/>
      </w:pPr>
      <w:r w:rsidRPr="00282AF2">
        <w:t>20</w:t>
      </w:r>
      <w:r w:rsidRPr="00282AF2">
        <w:tab/>
        <w:t>De Luca, S.</w:t>
      </w:r>
      <w:r w:rsidRPr="00282AF2">
        <w:rPr>
          <w:i/>
        </w:rPr>
        <w:t xml:space="preserve"> et al.</w:t>
      </w:r>
      <w:r w:rsidRPr="00282AF2">
        <w:t xml:space="preserve"> Effects of Confinement on the Dielectric Response of Water Extends up to Mesoscale Dimensions. </w:t>
      </w:r>
      <w:r w:rsidRPr="00282AF2">
        <w:rPr>
          <w:i/>
        </w:rPr>
        <w:t>Langmuir</w:t>
      </w:r>
      <w:r w:rsidRPr="00282AF2">
        <w:t xml:space="preserve"> </w:t>
      </w:r>
      <w:r w:rsidRPr="00282AF2">
        <w:rPr>
          <w:b/>
        </w:rPr>
        <w:t>32</w:t>
      </w:r>
      <w:r w:rsidRPr="00282AF2">
        <w:t xml:space="preserve">, 4765-4773 (2016). </w:t>
      </w:r>
      <w:hyperlink r:id="rId21" w:history="1">
        <w:r w:rsidRPr="00282AF2">
          <w:rPr>
            <w:rStyle w:val="af5"/>
          </w:rPr>
          <w:t>https://doi.org:10.1021/acs.langmuir.6b00791</w:t>
        </w:r>
      </w:hyperlink>
    </w:p>
    <w:p w14:paraId="2281FF24" w14:textId="77777777" w:rsidR="00282AF2" w:rsidRPr="00282AF2" w:rsidRDefault="00282AF2" w:rsidP="00282AF2">
      <w:pPr>
        <w:pStyle w:val="EndNoteBibliography"/>
        <w:spacing w:after="0"/>
        <w:ind w:left="720" w:hanging="720"/>
      </w:pPr>
      <w:r w:rsidRPr="00282AF2">
        <w:t>21</w:t>
      </w:r>
      <w:r w:rsidRPr="00282AF2">
        <w:tab/>
        <w:t>Chen, H.</w:t>
      </w:r>
      <w:r w:rsidRPr="00282AF2">
        <w:rPr>
          <w:i/>
        </w:rPr>
        <w:t xml:space="preserve"> et al.</w:t>
      </w:r>
      <w:r w:rsidRPr="00282AF2">
        <w:t xml:space="preserve"> Spontaneous reduction by one electron on water microdroplets facilitates direct carboxylation with CO2. </w:t>
      </w:r>
      <w:r w:rsidRPr="00282AF2">
        <w:rPr>
          <w:i/>
        </w:rPr>
        <w:t>Journal of the American Chemical Society</w:t>
      </w:r>
      <w:r w:rsidRPr="00282AF2">
        <w:t xml:space="preserve"> </w:t>
      </w:r>
      <w:r w:rsidRPr="00282AF2">
        <w:rPr>
          <w:b/>
        </w:rPr>
        <w:t>145</w:t>
      </w:r>
      <w:r w:rsidRPr="00282AF2">
        <w:t xml:space="preserve">, 2647-2652 (2023). </w:t>
      </w:r>
    </w:p>
    <w:p w14:paraId="0D52E8D7" w14:textId="77777777" w:rsidR="00282AF2" w:rsidRPr="00282AF2" w:rsidRDefault="00282AF2" w:rsidP="00282AF2">
      <w:pPr>
        <w:pStyle w:val="EndNoteBibliography"/>
        <w:spacing w:after="0"/>
        <w:ind w:left="720" w:hanging="720"/>
      </w:pPr>
      <w:r w:rsidRPr="00282AF2">
        <w:t>22</w:t>
      </w:r>
      <w:r w:rsidRPr="00282AF2">
        <w:tab/>
        <w:t xml:space="preserve">Song, X., Basheer, C., Xu, J., Adam, M. M. &amp; Zare, R. N. Methane bubbled through seawater can be converted to methanol with high efficiency. </w:t>
      </w:r>
      <w:r w:rsidRPr="00282AF2">
        <w:rPr>
          <w:i/>
        </w:rPr>
        <w:t>Advanced Science</w:t>
      </w:r>
      <w:r w:rsidRPr="00282AF2">
        <w:t xml:space="preserve"> </w:t>
      </w:r>
      <w:r w:rsidRPr="00282AF2">
        <w:rPr>
          <w:b/>
        </w:rPr>
        <w:t>12</w:t>
      </w:r>
      <w:r w:rsidRPr="00282AF2">
        <w:t xml:space="preserve">, 2412246 (2025). </w:t>
      </w:r>
    </w:p>
    <w:p w14:paraId="6B5D0E47" w14:textId="77777777" w:rsidR="00282AF2" w:rsidRPr="00282AF2" w:rsidRDefault="00282AF2" w:rsidP="00282AF2">
      <w:pPr>
        <w:pStyle w:val="EndNoteBibliography"/>
        <w:spacing w:after="0"/>
        <w:ind w:left="720" w:hanging="720"/>
      </w:pPr>
      <w:r w:rsidRPr="00282AF2">
        <w:t>23</w:t>
      </w:r>
      <w:r w:rsidRPr="00282AF2">
        <w:tab/>
        <w:t xml:space="preserve">Bose, S., Xia, Y. &amp; Zare, R. N. Understanding the formation of nitrate from nitrogen at the interface of gas–water microbubbles. </w:t>
      </w:r>
      <w:r w:rsidRPr="00282AF2">
        <w:rPr>
          <w:i/>
        </w:rPr>
        <w:t>Chemical Science</w:t>
      </w:r>
      <w:r w:rsidRPr="00282AF2">
        <w:t xml:space="preserve"> </w:t>
      </w:r>
      <w:r w:rsidRPr="00282AF2">
        <w:rPr>
          <w:b/>
        </w:rPr>
        <w:t>15</w:t>
      </w:r>
      <w:r w:rsidRPr="00282AF2">
        <w:t xml:space="preserve">, 19764-19769 (2024). </w:t>
      </w:r>
    </w:p>
    <w:p w14:paraId="1C53C960" w14:textId="77777777" w:rsidR="00282AF2" w:rsidRPr="00282AF2" w:rsidRDefault="00282AF2" w:rsidP="00282AF2">
      <w:pPr>
        <w:pStyle w:val="EndNoteBibliography"/>
        <w:spacing w:after="0"/>
        <w:ind w:left="720" w:hanging="720"/>
      </w:pPr>
      <w:r w:rsidRPr="00282AF2">
        <w:t>24</w:t>
      </w:r>
      <w:r w:rsidRPr="00282AF2">
        <w:tab/>
        <w:t>Li, J.</w:t>
      </w:r>
      <w:r w:rsidRPr="00282AF2">
        <w:rPr>
          <w:i/>
        </w:rPr>
        <w:t xml:space="preserve"> et al.</w:t>
      </w:r>
      <w:r w:rsidRPr="00282AF2">
        <w:t xml:space="preserve"> Methane C (sp 3)–H bond activation by water microbubbles. </w:t>
      </w:r>
      <w:r w:rsidRPr="00282AF2">
        <w:rPr>
          <w:i/>
        </w:rPr>
        <w:t>Chemical Science</w:t>
      </w:r>
      <w:r w:rsidRPr="00282AF2">
        <w:t xml:space="preserve"> </w:t>
      </w:r>
      <w:r w:rsidRPr="00282AF2">
        <w:rPr>
          <w:b/>
        </w:rPr>
        <w:t>15</w:t>
      </w:r>
      <w:r w:rsidRPr="00282AF2">
        <w:t xml:space="preserve">, 17026-17031 (2024). </w:t>
      </w:r>
    </w:p>
    <w:p w14:paraId="5216F50D" w14:textId="77777777" w:rsidR="00282AF2" w:rsidRPr="00282AF2" w:rsidRDefault="00282AF2" w:rsidP="00282AF2">
      <w:pPr>
        <w:pStyle w:val="EndNoteBibliography"/>
        <w:spacing w:after="0"/>
        <w:ind w:left="720" w:hanging="720"/>
      </w:pPr>
      <w:r w:rsidRPr="00282AF2">
        <w:t>25</w:t>
      </w:r>
      <w:r w:rsidRPr="00282AF2">
        <w:tab/>
        <w:t xml:space="preserve">Lee, K., Mehrgardi, M. A. &amp; Zare, R. N. Interfacial curvature, not simply size, controls spontaneous hydrogen peroxide formation in water microdroplets. </w:t>
      </w:r>
      <w:r w:rsidRPr="00282AF2">
        <w:rPr>
          <w:i/>
        </w:rPr>
        <w:t>Journal of the American Chemical Society</w:t>
      </w:r>
      <w:r w:rsidRPr="00282AF2">
        <w:t xml:space="preserve"> </w:t>
      </w:r>
      <w:r w:rsidRPr="00282AF2">
        <w:rPr>
          <w:b/>
        </w:rPr>
        <w:t>147</w:t>
      </w:r>
      <w:r w:rsidRPr="00282AF2">
        <w:t xml:space="preserve">, 33240-33247 (2025). </w:t>
      </w:r>
    </w:p>
    <w:p w14:paraId="28545C7B" w14:textId="77777777" w:rsidR="00282AF2" w:rsidRPr="00282AF2" w:rsidRDefault="00282AF2" w:rsidP="00282AF2">
      <w:pPr>
        <w:pStyle w:val="EndNoteBibliography"/>
        <w:spacing w:after="0"/>
        <w:ind w:left="720" w:hanging="720"/>
      </w:pPr>
      <w:r w:rsidRPr="00282AF2">
        <w:t>26</w:t>
      </w:r>
      <w:r w:rsidRPr="00282AF2">
        <w:tab/>
        <w:t xml:space="preserve">Lee, J. K., Samanta, D., Nam, H. G. &amp; Zare, R. N. Micrometer-sized water droplets induce spontaneous reduction. </w:t>
      </w:r>
      <w:r w:rsidRPr="00282AF2">
        <w:rPr>
          <w:i/>
        </w:rPr>
        <w:t>Journal of the American Chemical Society</w:t>
      </w:r>
      <w:r w:rsidRPr="00282AF2">
        <w:t xml:space="preserve"> </w:t>
      </w:r>
      <w:r w:rsidRPr="00282AF2">
        <w:rPr>
          <w:b/>
        </w:rPr>
        <w:t>141</w:t>
      </w:r>
      <w:r w:rsidRPr="00282AF2">
        <w:t xml:space="preserve">, 10585-10589 (2019). </w:t>
      </w:r>
    </w:p>
    <w:p w14:paraId="2AEFA88F" w14:textId="77777777" w:rsidR="00282AF2" w:rsidRPr="00282AF2" w:rsidRDefault="00282AF2" w:rsidP="00282AF2">
      <w:pPr>
        <w:pStyle w:val="EndNoteBibliography"/>
        <w:spacing w:after="0"/>
        <w:ind w:left="720" w:hanging="720"/>
      </w:pPr>
      <w:r w:rsidRPr="00282AF2">
        <w:lastRenderedPageBreak/>
        <w:t>27</w:t>
      </w:r>
      <w:r w:rsidRPr="00282AF2">
        <w:tab/>
        <w:t xml:space="preserve">Wei, Z., Li, Y., Cooks, R. G. &amp; Yan, X. Accelerated reaction kinetics in microdroplets: Overview and recent developments. </w:t>
      </w:r>
      <w:r w:rsidRPr="00282AF2">
        <w:rPr>
          <w:i/>
        </w:rPr>
        <w:t>Annual Review of Physical Chemistry</w:t>
      </w:r>
      <w:r w:rsidRPr="00282AF2">
        <w:t xml:space="preserve"> </w:t>
      </w:r>
      <w:r w:rsidRPr="00282AF2">
        <w:rPr>
          <w:b/>
        </w:rPr>
        <w:t>71</w:t>
      </w:r>
      <w:r w:rsidRPr="00282AF2">
        <w:t xml:space="preserve">, 31-51 (2020). </w:t>
      </w:r>
    </w:p>
    <w:p w14:paraId="1C40F19D" w14:textId="77777777" w:rsidR="00282AF2" w:rsidRPr="00282AF2" w:rsidRDefault="00282AF2" w:rsidP="00282AF2">
      <w:pPr>
        <w:pStyle w:val="EndNoteBibliography"/>
        <w:spacing w:after="0"/>
        <w:ind w:left="720" w:hanging="720"/>
      </w:pPr>
      <w:r w:rsidRPr="00282AF2">
        <w:t>28</w:t>
      </w:r>
      <w:r w:rsidRPr="00282AF2">
        <w:tab/>
        <w:t xml:space="preserve">Song, X., Basheer, C. &amp; Zare, R. N. Making ammonia from nitrogen and water microdroplets. </w:t>
      </w:r>
      <w:r w:rsidRPr="00282AF2">
        <w:rPr>
          <w:i/>
        </w:rPr>
        <w:t>Proceedings of the National Academy of Sciences</w:t>
      </w:r>
      <w:r w:rsidRPr="00282AF2">
        <w:t xml:space="preserve"> </w:t>
      </w:r>
      <w:r w:rsidRPr="00282AF2">
        <w:rPr>
          <w:b/>
        </w:rPr>
        <w:t>120</w:t>
      </w:r>
      <w:r w:rsidRPr="00282AF2">
        <w:t xml:space="preserve">, e2301206120 (2023). </w:t>
      </w:r>
    </w:p>
    <w:p w14:paraId="721C6E63" w14:textId="77777777" w:rsidR="00282AF2" w:rsidRPr="00282AF2" w:rsidRDefault="00282AF2" w:rsidP="00282AF2">
      <w:pPr>
        <w:pStyle w:val="EndNoteBibliography"/>
        <w:spacing w:after="0"/>
        <w:ind w:left="720" w:hanging="720"/>
      </w:pPr>
      <w:r w:rsidRPr="00282AF2">
        <w:t>29</w:t>
      </w:r>
      <w:r w:rsidRPr="00282AF2">
        <w:tab/>
        <w:t xml:space="preserve">Li, J., Xia, Y., Song, X., Chen, B. &amp; Zare, R. N. Continuous ammonia synthesis from water and nitrogen via contact electrification. </w:t>
      </w:r>
      <w:r w:rsidRPr="00282AF2">
        <w:rPr>
          <w:i/>
        </w:rPr>
        <w:t>Proceedings of the National Academy of Sciences</w:t>
      </w:r>
      <w:r w:rsidRPr="00282AF2">
        <w:t xml:space="preserve"> </w:t>
      </w:r>
      <w:r w:rsidRPr="00282AF2">
        <w:rPr>
          <w:b/>
        </w:rPr>
        <w:t>121</w:t>
      </w:r>
      <w:r w:rsidRPr="00282AF2">
        <w:t xml:space="preserve">, e2318408121 (2024). </w:t>
      </w:r>
    </w:p>
    <w:p w14:paraId="391B51CE" w14:textId="77777777" w:rsidR="00282AF2" w:rsidRPr="00282AF2" w:rsidRDefault="00282AF2" w:rsidP="00282AF2">
      <w:pPr>
        <w:pStyle w:val="EndNoteBibliography"/>
        <w:spacing w:after="0"/>
        <w:ind w:left="720" w:hanging="720"/>
      </w:pPr>
      <w:r w:rsidRPr="00282AF2">
        <w:t>30</w:t>
      </w:r>
      <w:r w:rsidRPr="00282AF2">
        <w:tab/>
        <w:t xml:space="preserve">Song, X., Basheer, C., Xia, Y. &amp; Zare, R. N. Oxidation of ammonia in water microdroplets produces nitrate and molecular hydrogen. </w:t>
      </w:r>
      <w:r w:rsidRPr="00282AF2">
        <w:rPr>
          <w:i/>
        </w:rPr>
        <w:t>Environmental Science &amp; Technology</w:t>
      </w:r>
      <w:r w:rsidRPr="00282AF2">
        <w:t xml:space="preserve"> </w:t>
      </w:r>
      <w:r w:rsidRPr="00282AF2">
        <w:rPr>
          <w:b/>
        </w:rPr>
        <w:t>58</w:t>
      </w:r>
      <w:r w:rsidRPr="00282AF2">
        <w:t xml:space="preserve">, 16196-16203 (2024). </w:t>
      </w:r>
    </w:p>
    <w:p w14:paraId="0B77811A" w14:textId="77777777" w:rsidR="00282AF2" w:rsidRPr="00282AF2" w:rsidRDefault="00282AF2" w:rsidP="00282AF2">
      <w:pPr>
        <w:pStyle w:val="EndNoteBibliography"/>
        <w:spacing w:after="0"/>
        <w:ind w:left="720" w:hanging="720"/>
      </w:pPr>
      <w:r w:rsidRPr="00282AF2">
        <w:t>31</w:t>
      </w:r>
      <w:r w:rsidRPr="00282AF2">
        <w:tab/>
        <w:t xml:space="preserve">Ding, S.-Y. &amp; Wang, W. Covalent organic frameworks (COFs): from design to applications. </w:t>
      </w:r>
      <w:r w:rsidRPr="00282AF2">
        <w:rPr>
          <w:i/>
        </w:rPr>
        <w:t>Chemical Society Reviews</w:t>
      </w:r>
      <w:r w:rsidRPr="00282AF2">
        <w:t xml:space="preserve"> </w:t>
      </w:r>
      <w:r w:rsidRPr="00282AF2">
        <w:rPr>
          <w:b/>
        </w:rPr>
        <w:t>42</w:t>
      </w:r>
      <w:r w:rsidRPr="00282AF2">
        <w:t xml:space="preserve">, 548-568 (2013). </w:t>
      </w:r>
    </w:p>
    <w:p w14:paraId="42B48214" w14:textId="77777777" w:rsidR="00282AF2" w:rsidRPr="00282AF2" w:rsidRDefault="00282AF2" w:rsidP="00282AF2">
      <w:pPr>
        <w:pStyle w:val="EndNoteBibliography"/>
        <w:spacing w:after="0"/>
        <w:ind w:left="720" w:hanging="720"/>
      </w:pPr>
      <w:r w:rsidRPr="00282AF2">
        <w:t>32</w:t>
      </w:r>
      <w:r w:rsidRPr="00282AF2">
        <w:tab/>
        <w:t xml:space="preserve">Wen, T., Liu, J., He, W. &amp; Yang, A. in </w:t>
      </w:r>
      <w:r w:rsidRPr="00282AF2">
        <w:rPr>
          <w:i/>
        </w:rPr>
        <w:t>Nanotechnology in regenerative medicine and drug delivery therapy</w:t>
      </w:r>
      <w:r w:rsidRPr="00282AF2">
        <w:t xml:space="preserve">     361-387 (Springer, 2020).</w:t>
      </w:r>
    </w:p>
    <w:p w14:paraId="6E016A5B" w14:textId="77777777" w:rsidR="00282AF2" w:rsidRPr="00282AF2" w:rsidRDefault="00282AF2" w:rsidP="00282AF2">
      <w:pPr>
        <w:pStyle w:val="EndNoteBibliography"/>
        <w:spacing w:after="0"/>
        <w:ind w:left="720" w:hanging="720"/>
      </w:pPr>
      <w:r w:rsidRPr="00282AF2">
        <w:t>33</w:t>
      </w:r>
      <w:r w:rsidRPr="00282AF2">
        <w:tab/>
        <w:t>Song, Z.</w:t>
      </w:r>
      <w:r w:rsidRPr="00282AF2">
        <w:rPr>
          <w:i/>
        </w:rPr>
        <w:t xml:space="preserve"> et al.</w:t>
      </w:r>
      <w:r w:rsidRPr="00282AF2">
        <w:t xml:space="preserve"> Deciphering the microdroplet acceleration factors of Aza-Michael addition reactions. </w:t>
      </w:r>
      <w:r w:rsidRPr="00282AF2">
        <w:rPr>
          <w:i/>
        </w:rPr>
        <w:t>Journal of the American Chemical Society</w:t>
      </w:r>
      <w:r w:rsidRPr="00282AF2">
        <w:t xml:space="preserve"> </w:t>
      </w:r>
      <w:r w:rsidRPr="00282AF2">
        <w:rPr>
          <w:b/>
        </w:rPr>
        <w:t>146</w:t>
      </w:r>
      <w:r w:rsidRPr="00282AF2">
        <w:t xml:space="preserve">, 10963-10972 (2024). </w:t>
      </w:r>
    </w:p>
    <w:p w14:paraId="38FF9526" w14:textId="77777777" w:rsidR="00282AF2" w:rsidRPr="00282AF2" w:rsidRDefault="00282AF2" w:rsidP="00282AF2">
      <w:pPr>
        <w:pStyle w:val="EndNoteBibliography"/>
        <w:spacing w:after="0"/>
        <w:ind w:left="720" w:hanging="720"/>
      </w:pPr>
      <w:r w:rsidRPr="00282AF2">
        <w:t>34</w:t>
      </w:r>
      <w:r w:rsidRPr="00282AF2">
        <w:tab/>
        <w:t xml:space="preserve">Holden, D. T., Morato, N. M. &amp; Cooks, R. G. Aqueous microdroplets enable abiotic synthesis and chain extension of unique peptide isomers from free amino acids. </w:t>
      </w:r>
      <w:r w:rsidRPr="00282AF2">
        <w:rPr>
          <w:i/>
        </w:rPr>
        <w:t>Proceedings of the National Academy of Sciences</w:t>
      </w:r>
      <w:r w:rsidRPr="00282AF2">
        <w:t xml:space="preserve"> </w:t>
      </w:r>
      <w:r w:rsidRPr="00282AF2">
        <w:rPr>
          <w:b/>
        </w:rPr>
        <w:t>119</w:t>
      </w:r>
      <w:r w:rsidRPr="00282AF2">
        <w:t xml:space="preserve">, e2212642119 (2022). </w:t>
      </w:r>
    </w:p>
    <w:p w14:paraId="0AF15D76" w14:textId="77777777" w:rsidR="00282AF2" w:rsidRPr="00282AF2" w:rsidRDefault="00282AF2" w:rsidP="00282AF2">
      <w:pPr>
        <w:pStyle w:val="EndNoteBibliography"/>
        <w:spacing w:after="0"/>
        <w:ind w:left="720" w:hanging="720"/>
      </w:pPr>
      <w:r w:rsidRPr="00282AF2">
        <w:t>35</w:t>
      </w:r>
      <w:r w:rsidRPr="00282AF2">
        <w:tab/>
        <w:t xml:space="preserve">Danckwerts, P. The reaction of CO2 with ethanolamines. </w:t>
      </w:r>
      <w:r w:rsidRPr="00282AF2">
        <w:rPr>
          <w:i/>
        </w:rPr>
        <w:t>Chemical engineering science</w:t>
      </w:r>
      <w:r w:rsidRPr="00282AF2">
        <w:t xml:space="preserve"> </w:t>
      </w:r>
      <w:r w:rsidRPr="00282AF2">
        <w:rPr>
          <w:b/>
        </w:rPr>
        <w:t>34</w:t>
      </w:r>
      <w:r w:rsidRPr="00282AF2">
        <w:t xml:space="preserve">, 443-446 (1979). </w:t>
      </w:r>
    </w:p>
    <w:p w14:paraId="231FC90D" w14:textId="77777777" w:rsidR="00282AF2" w:rsidRPr="00282AF2" w:rsidRDefault="00282AF2" w:rsidP="00282AF2">
      <w:pPr>
        <w:pStyle w:val="EndNoteBibliography"/>
        <w:spacing w:after="0"/>
        <w:ind w:left="720" w:hanging="720"/>
      </w:pPr>
      <w:r w:rsidRPr="00282AF2">
        <w:t>36</w:t>
      </w:r>
      <w:r w:rsidRPr="00282AF2">
        <w:tab/>
        <w:t xml:space="preserve">Caplow, M. Kinetics of carbamate formation and breakdown. </w:t>
      </w:r>
      <w:r w:rsidRPr="00282AF2">
        <w:rPr>
          <w:i/>
        </w:rPr>
        <w:t>Journal of the American Chemical Society</w:t>
      </w:r>
      <w:r w:rsidRPr="00282AF2">
        <w:t xml:space="preserve"> </w:t>
      </w:r>
      <w:r w:rsidRPr="00282AF2">
        <w:rPr>
          <w:b/>
        </w:rPr>
        <w:t>90</w:t>
      </w:r>
      <w:r w:rsidRPr="00282AF2">
        <w:t xml:space="preserve">, 6795-6803 (1968). </w:t>
      </w:r>
    </w:p>
    <w:p w14:paraId="1D9C6A8F" w14:textId="77777777" w:rsidR="00282AF2" w:rsidRPr="00282AF2" w:rsidRDefault="00282AF2" w:rsidP="00282AF2">
      <w:pPr>
        <w:pStyle w:val="EndNoteBibliography"/>
        <w:spacing w:after="0"/>
        <w:ind w:left="720" w:hanging="720"/>
      </w:pPr>
      <w:r w:rsidRPr="00282AF2">
        <w:t>37</w:t>
      </w:r>
      <w:r w:rsidRPr="00282AF2">
        <w:tab/>
        <w:t xml:space="preserve">Linek, V., Vacek, V. &amp; Beneš, P. A critical review and experimental verification of the correct use of the dynamic method for the determination of oxygen transfer in aerated agitated vessels to water, electrolyte solutions and viscous liquids. </w:t>
      </w:r>
      <w:r w:rsidRPr="00282AF2">
        <w:rPr>
          <w:i/>
        </w:rPr>
        <w:t>The Chemical Engineering Journal</w:t>
      </w:r>
      <w:r w:rsidRPr="00282AF2">
        <w:t xml:space="preserve"> </w:t>
      </w:r>
      <w:r w:rsidRPr="00282AF2">
        <w:rPr>
          <w:b/>
        </w:rPr>
        <w:t>34</w:t>
      </w:r>
      <w:r w:rsidRPr="00282AF2">
        <w:t xml:space="preserve">, 11-34 (1987). </w:t>
      </w:r>
    </w:p>
    <w:p w14:paraId="060FFBA0" w14:textId="77777777" w:rsidR="00282AF2" w:rsidRPr="00282AF2" w:rsidRDefault="00282AF2" w:rsidP="00282AF2">
      <w:pPr>
        <w:pStyle w:val="EndNoteBibliography"/>
        <w:spacing w:after="0"/>
        <w:ind w:left="720" w:hanging="720"/>
      </w:pPr>
      <w:r w:rsidRPr="00282AF2">
        <w:t>38</w:t>
      </w:r>
      <w:r w:rsidRPr="00282AF2">
        <w:tab/>
        <w:t xml:space="preserve">Majumder, S. K., Kundu, G. &amp; Mukherjee, D. Bubble size distribution and gas–liquid interfacial area in a modified downflow bubble column. </w:t>
      </w:r>
      <w:r w:rsidRPr="00282AF2">
        <w:rPr>
          <w:i/>
        </w:rPr>
        <w:t>Chemical Engineering Journal</w:t>
      </w:r>
      <w:r w:rsidRPr="00282AF2">
        <w:t xml:space="preserve"> </w:t>
      </w:r>
      <w:r w:rsidRPr="00282AF2">
        <w:rPr>
          <w:b/>
        </w:rPr>
        <w:t>122</w:t>
      </w:r>
      <w:r w:rsidRPr="00282AF2">
        <w:t xml:space="preserve">, 1-10 (2006). </w:t>
      </w:r>
    </w:p>
    <w:p w14:paraId="3EA30088" w14:textId="77777777" w:rsidR="00282AF2" w:rsidRPr="00282AF2" w:rsidRDefault="00282AF2" w:rsidP="00282AF2">
      <w:pPr>
        <w:pStyle w:val="EndNoteBibliography"/>
        <w:spacing w:after="0"/>
        <w:ind w:left="720" w:hanging="720"/>
      </w:pPr>
      <w:r w:rsidRPr="00282AF2">
        <w:t>39</w:t>
      </w:r>
      <w:r w:rsidRPr="00282AF2">
        <w:tab/>
        <w:t xml:space="preserve">Burns, S., Yiacoumi, S. &amp; Tsouris, C. Microbubble generation for environmental and industrial separations. </w:t>
      </w:r>
      <w:r w:rsidRPr="00282AF2">
        <w:rPr>
          <w:i/>
        </w:rPr>
        <w:t>Separation and purification technology</w:t>
      </w:r>
      <w:r w:rsidRPr="00282AF2">
        <w:t xml:space="preserve"> </w:t>
      </w:r>
      <w:r w:rsidRPr="00282AF2">
        <w:rPr>
          <w:b/>
        </w:rPr>
        <w:t>11</w:t>
      </w:r>
      <w:r w:rsidRPr="00282AF2">
        <w:t xml:space="preserve">, 221-232 (1997). </w:t>
      </w:r>
    </w:p>
    <w:p w14:paraId="69A0B4A9" w14:textId="77777777" w:rsidR="00282AF2" w:rsidRPr="00282AF2" w:rsidRDefault="00282AF2" w:rsidP="00282AF2">
      <w:pPr>
        <w:pStyle w:val="EndNoteBibliography"/>
        <w:spacing w:after="0"/>
        <w:ind w:left="720" w:hanging="720"/>
      </w:pPr>
      <w:r w:rsidRPr="00282AF2">
        <w:t>40</w:t>
      </w:r>
      <w:r w:rsidRPr="00282AF2">
        <w:tab/>
        <w:t xml:space="preserve">Hsu, Y.-C., Peng, R. Y. &amp; Huang, C.-J. Onset of gas induction, power consumption, gas holdup and mass transfer in a new gas-induced reactor. </w:t>
      </w:r>
      <w:r w:rsidRPr="00282AF2">
        <w:rPr>
          <w:i/>
        </w:rPr>
        <w:t>Chemical engineering science</w:t>
      </w:r>
      <w:r w:rsidRPr="00282AF2">
        <w:t xml:space="preserve"> </w:t>
      </w:r>
      <w:r w:rsidRPr="00282AF2">
        <w:rPr>
          <w:b/>
        </w:rPr>
        <w:t>52</w:t>
      </w:r>
      <w:r w:rsidRPr="00282AF2">
        <w:t xml:space="preserve">, 3883-3891 (1997). </w:t>
      </w:r>
    </w:p>
    <w:p w14:paraId="267ED547" w14:textId="77777777" w:rsidR="00282AF2" w:rsidRPr="00282AF2" w:rsidRDefault="00282AF2" w:rsidP="00282AF2">
      <w:pPr>
        <w:pStyle w:val="EndNoteBibliography"/>
        <w:spacing w:after="0"/>
        <w:ind w:left="720" w:hanging="720"/>
      </w:pPr>
      <w:r w:rsidRPr="00282AF2">
        <w:t>41</w:t>
      </w:r>
      <w:r w:rsidRPr="00282AF2">
        <w:tab/>
        <w:t>Gagnon, H., Lounes</w:t>
      </w:r>
      <w:r w:rsidRPr="00282AF2">
        <w:rPr>
          <w:rFonts w:hint="eastAsia"/>
        </w:rPr>
        <w:t>, M. &amp; Thibault, J. Power consumption and mass transfer in agitated gas</w:t>
      </w:r>
      <w:r w:rsidRPr="00282AF2">
        <w:rPr>
          <w:rFonts w:hint="eastAsia"/>
        </w:rPr>
        <w:t>‐</w:t>
      </w:r>
      <w:r w:rsidRPr="00282AF2">
        <w:rPr>
          <w:rFonts w:hint="eastAsia"/>
        </w:rPr>
        <w:t xml:space="preserve">liquid columns: A comparative study. </w:t>
      </w:r>
      <w:r w:rsidRPr="00282AF2">
        <w:rPr>
          <w:rFonts w:hint="eastAsia"/>
          <w:i/>
        </w:rPr>
        <w:t>The Canadian Journal of Chemical Engineering</w:t>
      </w:r>
      <w:r w:rsidRPr="00282AF2">
        <w:rPr>
          <w:rFonts w:hint="eastAsia"/>
        </w:rPr>
        <w:t xml:space="preserve"> </w:t>
      </w:r>
      <w:r w:rsidRPr="00282AF2">
        <w:rPr>
          <w:rFonts w:hint="eastAsia"/>
          <w:b/>
        </w:rPr>
        <w:t>76</w:t>
      </w:r>
      <w:r w:rsidRPr="00282AF2">
        <w:rPr>
          <w:rFonts w:hint="eastAsia"/>
        </w:rPr>
        <w:t xml:space="preserve">, 379-389 (1998). </w:t>
      </w:r>
    </w:p>
    <w:p w14:paraId="6E7D447E" w14:textId="77777777" w:rsidR="00282AF2" w:rsidRPr="00282AF2" w:rsidRDefault="00282AF2" w:rsidP="00282AF2">
      <w:pPr>
        <w:pStyle w:val="EndNoteBibliography"/>
        <w:spacing w:after="0"/>
        <w:ind w:left="720" w:hanging="720"/>
      </w:pPr>
      <w:r w:rsidRPr="00282AF2">
        <w:rPr>
          <w:rFonts w:hint="eastAsia"/>
        </w:rPr>
        <w:t>42</w:t>
      </w:r>
      <w:r w:rsidRPr="00282AF2">
        <w:rPr>
          <w:rFonts w:hint="eastAsia"/>
        </w:rPr>
        <w:tab/>
        <w:t>Majumder, S. K., Kundu, G. &amp; Mukherjee, D. Energy efficiency of two</w:t>
      </w:r>
      <w:r w:rsidRPr="00282AF2">
        <w:rPr>
          <w:rFonts w:hint="eastAsia"/>
        </w:rPr>
        <w:t>‐</w:t>
      </w:r>
      <w:r w:rsidRPr="00282AF2">
        <w:rPr>
          <w:rFonts w:hint="eastAsia"/>
        </w:rPr>
        <w:t>phase mix</w:t>
      </w:r>
      <w:r w:rsidRPr="00282AF2">
        <w:t xml:space="preserve">ing in a modified bubble column. </w:t>
      </w:r>
      <w:r w:rsidRPr="00282AF2">
        <w:rPr>
          <w:i/>
        </w:rPr>
        <w:t>The Canadian Journal of Chemical Engineering</w:t>
      </w:r>
      <w:r w:rsidRPr="00282AF2">
        <w:t xml:space="preserve"> </w:t>
      </w:r>
      <w:r w:rsidRPr="00282AF2">
        <w:rPr>
          <w:b/>
        </w:rPr>
        <w:t>85</w:t>
      </w:r>
      <w:r w:rsidRPr="00282AF2">
        <w:t xml:space="preserve">, 280-289 (2007). </w:t>
      </w:r>
    </w:p>
    <w:p w14:paraId="0BF45CBC" w14:textId="77777777" w:rsidR="00282AF2" w:rsidRPr="00282AF2" w:rsidRDefault="00282AF2" w:rsidP="00282AF2">
      <w:pPr>
        <w:pStyle w:val="EndNoteBibliography"/>
        <w:spacing w:after="0"/>
        <w:ind w:left="720" w:hanging="720"/>
      </w:pPr>
      <w:r w:rsidRPr="00282AF2">
        <w:t>43</w:t>
      </w:r>
      <w:r w:rsidRPr="00282AF2">
        <w:tab/>
        <w:t xml:space="preserve">Yue, J., Chen, G., Yuan, Q., Luo, L. &amp; Gonthier, Y. Hydrodynamics and mass transfer characteristics in gas–liquid flow through a rectangular microchannel. </w:t>
      </w:r>
      <w:r w:rsidRPr="00282AF2">
        <w:rPr>
          <w:i/>
        </w:rPr>
        <w:t>Chemical Engineering Science</w:t>
      </w:r>
      <w:r w:rsidRPr="00282AF2">
        <w:t xml:space="preserve"> </w:t>
      </w:r>
      <w:r w:rsidRPr="00282AF2">
        <w:rPr>
          <w:b/>
        </w:rPr>
        <w:t>62</w:t>
      </w:r>
      <w:r w:rsidRPr="00282AF2">
        <w:t xml:space="preserve">, 2096-2108 (2007). </w:t>
      </w:r>
    </w:p>
    <w:p w14:paraId="2229E330" w14:textId="77777777" w:rsidR="00282AF2" w:rsidRPr="00282AF2" w:rsidRDefault="00282AF2" w:rsidP="00282AF2">
      <w:pPr>
        <w:pStyle w:val="EndNoteBibliography"/>
        <w:spacing w:after="0"/>
        <w:ind w:left="720" w:hanging="720"/>
      </w:pPr>
      <w:r w:rsidRPr="00282AF2">
        <w:t>44</w:t>
      </w:r>
      <w:r w:rsidRPr="00282AF2">
        <w:tab/>
        <w:t xml:space="preserve">Kasundra, R. B., Kulkarni, A. V. &amp; Joshi, J. B. Hydrodynamic and mass transfer characteristics of single and multiple impeller hollow self-inducing reactors. </w:t>
      </w:r>
      <w:r w:rsidRPr="00282AF2">
        <w:rPr>
          <w:i/>
        </w:rPr>
        <w:t xml:space="preserve">Industrial &amp; </w:t>
      </w:r>
      <w:r w:rsidRPr="00282AF2">
        <w:rPr>
          <w:i/>
        </w:rPr>
        <w:lastRenderedPageBreak/>
        <w:t>engineering chemistry research</w:t>
      </w:r>
      <w:r w:rsidRPr="00282AF2">
        <w:t xml:space="preserve"> </w:t>
      </w:r>
      <w:r w:rsidRPr="00282AF2">
        <w:rPr>
          <w:b/>
        </w:rPr>
        <w:t>47</w:t>
      </w:r>
      <w:r w:rsidRPr="00282AF2">
        <w:t xml:space="preserve">, 2829-2841 (2008). </w:t>
      </w:r>
    </w:p>
    <w:p w14:paraId="03935C79" w14:textId="77777777" w:rsidR="00282AF2" w:rsidRPr="00282AF2" w:rsidRDefault="00282AF2" w:rsidP="00282AF2">
      <w:pPr>
        <w:pStyle w:val="EndNoteBibliography"/>
        <w:spacing w:after="0"/>
        <w:ind w:left="720" w:hanging="720"/>
      </w:pPr>
      <w:r w:rsidRPr="00282AF2">
        <w:t>45</w:t>
      </w:r>
      <w:r w:rsidRPr="00282AF2">
        <w:tab/>
        <w:t xml:space="preserve">Terasaka, K., Hirabayashi, A., Nishino, T., Fujioka, S. &amp; Kobayashi, D. Development of microbubble aerator for waste water treatment using aerobic activated sludge. </w:t>
      </w:r>
      <w:r w:rsidRPr="00282AF2">
        <w:rPr>
          <w:i/>
        </w:rPr>
        <w:t>Chemical engineering science</w:t>
      </w:r>
      <w:r w:rsidRPr="00282AF2">
        <w:t xml:space="preserve"> </w:t>
      </w:r>
      <w:r w:rsidRPr="00282AF2">
        <w:rPr>
          <w:b/>
        </w:rPr>
        <w:t>66</w:t>
      </w:r>
      <w:r w:rsidRPr="00282AF2">
        <w:t xml:space="preserve">, 3172-3179 (2011). </w:t>
      </w:r>
    </w:p>
    <w:p w14:paraId="2B717741" w14:textId="77777777" w:rsidR="00282AF2" w:rsidRPr="00282AF2" w:rsidRDefault="00282AF2" w:rsidP="00282AF2">
      <w:pPr>
        <w:pStyle w:val="EndNoteBibliography"/>
        <w:spacing w:after="0"/>
        <w:ind w:left="720" w:hanging="720"/>
      </w:pPr>
      <w:r w:rsidRPr="00282AF2">
        <w:t>46</w:t>
      </w:r>
      <w:r w:rsidRPr="00282AF2">
        <w:tab/>
        <w:t>Ansar</w:t>
      </w:r>
      <w:r w:rsidRPr="00282AF2">
        <w:rPr>
          <w:rFonts w:hint="eastAsia"/>
        </w:rPr>
        <w:t>i, M.</w:t>
      </w:r>
      <w:r w:rsidRPr="00282AF2">
        <w:rPr>
          <w:rFonts w:hint="eastAsia"/>
          <w:i/>
        </w:rPr>
        <w:t xml:space="preserve"> et al.</w:t>
      </w:r>
      <w:r w:rsidRPr="00282AF2">
        <w:rPr>
          <w:rFonts w:hint="eastAsia"/>
        </w:rPr>
        <w:t xml:space="preserve"> Chemical hydrodynamics of a downward microbubble flow for intensification of gas</w:t>
      </w:r>
      <w:r w:rsidRPr="00282AF2">
        <w:rPr>
          <w:rFonts w:hint="eastAsia"/>
        </w:rPr>
        <w:t>‐</w:t>
      </w:r>
      <w:r w:rsidRPr="00282AF2">
        <w:rPr>
          <w:rFonts w:hint="eastAsia"/>
        </w:rPr>
        <w:t xml:space="preserve">fed bioreactors. </w:t>
      </w:r>
      <w:r w:rsidRPr="00282AF2">
        <w:rPr>
          <w:rFonts w:hint="eastAsia"/>
          <w:i/>
        </w:rPr>
        <w:t>AIChE Journal</w:t>
      </w:r>
      <w:r w:rsidRPr="00282AF2">
        <w:rPr>
          <w:rFonts w:hint="eastAsia"/>
        </w:rPr>
        <w:t xml:space="preserve"> </w:t>
      </w:r>
      <w:r w:rsidRPr="00282AF2">
        <w:rPr>
          <w:rFonts w:hint="eastAsia"/>
          <w:b/>
        </w:rPr>
        <w:t>64</w:t>
      </w:r>
      <w:r w:rsidRPr="00282AF2">
        <w:rPr>
          <w:rFonts w:hint="eastAsia"/>
        </w:rPr>
        <w:t xml:space="preserve">, 1399-1411 (2018). </w:t>
      </w:r>
    </w:p>
    <w:p w14:paraId="7A20B4FD" w14:textId="77777777" w:rsidR="00282AF2" w:rsidRPr="00282AF2" w:rsidRDefault="00282AF2" w:rsidP="00282AF2">
      <w:pPr>
        <w:pStyle w:val="EndNoteBibliography"/>
        <w:spacing w:after="0"/>
        <w:ind w:left="720" w:hanging="720"/>
      </w:pPr>
      <w:r w:rsidRPr="00282AF2">
        <w:t>47</w:t>
      </w:r>
      <w:r w:rsidRPr="00282AF2">
        <w:tab/>
        <w:t xml:space="preserve">Ansari, M., Bokhari, H. H. &amp; Turney, D. E. Energy efficiency and performance of bubble generating systems. </w:t>
      </w:r>
      <w:r w:rsidRPr="00282AF2">
        <w:rPr>
          <w:i/>
        </w:rPr>
        <w:t>Chemical Engineering and Processing-Process Intensification</w:t>
      </w:r>
      <w:r w:rsidRPr="00282AF2">
        <w:t xml:space="preserve"> </w:t>
      </w:r>
      <w:r w:rsidRPr="00282AF2">
        <w:rPr>
          <w:b/>
        </w:rPr>
        <w:t>125</w:t>
      </w:r>
      <w:r w:rsidRPr="00282AF2">
        <w:t xml:space="preserve">, 44-55 (2018). </w:t>
      </w:r>
    </w:p>
    <w:p w14:paraId="5CC423F9" w14:textId="77777777" w:rsidR="00282AF2" w:rsidRPr="00282AF2" w:rsidRDefault="00282AF2" w:rsidP="00282AF2">
      <w:pPr>
        <w:pStyle w:val="EndNoteBibliography"/>
        <w:spacing w:after="0"/>
        <w:ind w:left="720" w:hanging="720"/>
      </w:pPr>
      <w:r w:rsidRPr="00282AF2">
        <w:t>48</w:t>
      </w:r>
      <w:r w:rsidRPr="00282AF2">
        <w:tab/>
        <w:t xml:space="preserve">Towler, G. &amp; Sinnott, R. </w:t>
      </w:r>
      <w:r w:rsidRPr="00282AF2">
        <w:rPr>
          <w:i/>
        </w:rPr>
        <w:t>Chemical engineering design: principles, practice and economics of plant and process design</w:t>
      </w:r>
      <w:r w:rsidRPr="00282AF2">
        <w:t>.  (Butterworth-Heinemann, 2021).</w:t>
      </w:r>
    </w:p>
    <w:p w14:paraId="2591DDCF" w14:textId="77777777" w:rsidR="00282AF2" w:rsidRPr="00282AF2" w:rsidRDefault="00282AF2" w:rsidP="00282AF2">
      <w:pPr>
        <w:pStyle w:val="EndNoteBibliography"/>
        <w:ind w:left="720" w:hanging="720"/>
      </w:pPr>
      <w:r w:rsidRPr="00282AF2">
        <w:t>49</w:t>
      </w:r>
      <w:r w:rsidRPr="00282AF2">
        <w:tab/>
        <w:t>Bando, Y.</w:t>
      </w:r>
      <w:r w:rsidRPr="00282AF2">
        <w:rPr>
          <w:i/>
        </w:rPr>
        <w:t xml:space="preserve"> et al.</w:t>
      </w:r>
      <w:r w:rsidRPr="00282AF2">
        <w:t xml:space="preserve"> Flow characteristics in cocurrent upflow bubble column dispersed with micro-bubbles. </w:t>
      </w:r>
      <w:r w:rsidRPr="00282AF2">
        <w:rPr>
          <w:i/>
        </w:rPr>
        <w:t>Journal of chemical engineering of Japan</w:t>
      </w:r>
      <w:r w:rsidRPr="00282AF2">
        <w:t xml:space="preserve"> </w:t>
      </w:r>
      <w:r w:rsidRPr="00282AF2">
        <w:rPr>
          <w:b/>
        </w:rPr>
        <w:t>41</w:t>
      </w:r>
      <w:r w:rsidRPr="00282AF2">
        <w:t xml:space="preserve">, 562-567 (2008). </w:t>
      </w:r>
    </w:p>
    <w:p w14:paraId="679C2484" w14:textId="34185C18" w:rsidR="009260FB" w:rsidRPr="00863369" w:rsidRDefault="00570050" w:rsidP="009260FB">
      <w:r>
        <w:fldChar w:fldCharType="end"/>
      </w:r>
    </w:p>
    <w:p w14:paraId="6516EB53" w14:textId="69AB87A2" w:rsidR="00B37FEE" w:rsidRPr="00863369" w:rsidRDefault="00B37FEE"/>
    <w:sectPr w:rsidR="00B37FEE" w:rsidRPr="00863369">
      <w:pgSz w:w="11906" w:h="16838"/>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C3A4C" w14:textId="77777777" w:rsidR="00F80AA9" w:rsidRDefault="00F80AA9" w:rsidP="00324F21">
      <w:pPr>
        <w:spacing w:after="0" w:line="240" w:lineRule="auto"/>
      </w:pPr>
      <w:r>
        <w:separator/>
      </w:r>
    </w:p>
  </w:endnote>
  <w:endnote w:type="continuationSeparator" w:id="0">
    <w:p w14:paraId="6779B408" w14:textId="77777777" w:rsidR="00F80AA9" w:rsidRDefault="00F80AA9" w:rsidP="00324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8D359" w14:textId="77777777" w:rsidR="00F80AA9" w:rsidRDefault="00F80AA9" w:rsidP="00324F21">
      <w:pPr>
        <w:spacing w:after="0" w:line="240" w:lineRule="auto"/>
      </w:pPr>
      <w:r>
        <w:separator/>
      </w:r>
    </w:p>
  </w:footnote>
  <w:footnote w:type="continuationSeparator" w:id="0">
    <w:p w14:paraId="06C43AFA" w14:textId="77777777" w:rsidR="00F80AA9" w:rsidRDefault="00F80AA9" w:rsidP="00324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3510C"/>
    <w:multiLevelType w:val="multilevel"/>
    <w:tmpl w:val="90A47DA4"/>
    <w:lvl w:ilvl="0">
      <w:start w:val="1"/>
      <w:numFmt w:val="decimal"/>
      <w:lvlText w:val="%1"/>
      <w:lvlJc w:val="left"/>
      <w:pPr>
        <w:ind w:left="4754" w:hanging="360"/>
      </w:pPr>
      <w:rPr>
        <w:rFonts w:hint="default"/>
      </w:rPr>
    </w:lvl>
    <w:lvl w:ilvl="1">
      <w:start w:val="1"/>
      <w:numFmt w:val="decimal"/>
      <w:lvlText w:val="%1.%2"/>
      <w:lvlJc w:val="left"/>
      <w:pPr>
        <w:ind w:left="4754" w:hanging="360"/>
      </w:pPr>
      <w:rPr>
        <w:rFonts w:hint="default"/>
        <w:b/>
        <w:bCs/>
      </w:rPr>
    </w:lvl>
    <w:lvl w:ilvl="2">
      <w:start w:val="1"/>
      <w:numFmt w:val="decimal"/>
      <w:lvlText w:val="%1.%2.%3"/>
      <w:lvlJc w:val="left"/>
      <w:pPr>
        <w:ind w:left="5114" w:hanging="720"/>
      </w:pPr>
      <w:rPr>
        <w:rFonts w:hint="default"/>
      </w:rPr>
    </w:lvl>
    <w:lvl w:ilvl="3">
      <w:start w:val="1"/>
      <w:numFmt w:val="decimal"/>
      <w:lvlText w:val="%1.%2.%3.%4"/>
      <w:lvlJc w:val="left"/>
      <w:pPr>
        <w:ind w:left="5114" w:hanging="720"/>
      </w:pPr>
      <w:rPr>
        <w:rFonts w:hint="default"/>
      </w:rPr>
    </w:lvl>
    <w:lvl w:ilvl="4">
      <w:start w:val="1"/>
      <w:numFmt w:val="decimal"/>
      <w:lvlText w:val="%1.%2.%3.%4.%5"/>
      <w:lvlJc w:val="left"/>
      <w:pPr>
        <w:ind w:left="5474" w:hanging="1080"/>
      </w:pPr>
      <w:rPr>
        <w:rFonts w:hint="default"/>
      </w:rPr>
    </w:lvl>
    <w:lvl w:ilvl="5">
      <w:start w:val="1"/>
      <w:numFmt w:val="decimal"/>
      <w:lvlText w:val="%1.%2.%3.%4.%5.%6"/>
      <w:lvlJc w:val="left"/>
      <w:pPr>
        <w:ind w:left="5474" w:hanging="1080"/>
      </w:pPr>
      <w:rPr>
        <w:rFonts w:hint="default"/>
      </w:rPr>
    </w:lvl>
    <w:lvl w:ilvl="6">
      <w:start w:val="1"/>
      <w:numFmt w:val="decimal"/>
      <w:lvlText w:val="%1.%2.%3.%4.%5.%6.%7"/>
      <w:lvlJc w:val="left"/>
      <w:pPr>
        <w:ind w:left="5834" w:hanging="1440"/>
      </w:pPr>
      <w:rPr>
        <w:rFonts w:hint="default"/>
      </w:rPr>
    </w:lvl>
    <w:lvl w:ilvl="7">
      <w:start w:val="1"/>
      <w:numFmt w:val="decimal"/>
      <w:lvlText w:val="%1.%2.%3.%4.%5.%6.%7.%8"/>
      <w:lvlJc w:val="left"/>
      <w:pPr>
        <w:ind w:left="5834" w:hanging="1440"/>
      </w:pPr>
      <w:rPr>
        <w:rFonts w:hint="default"/>
      </w:rPr>
    </w:lvl>
    <w:lvl w:ilvl="8">
      <w:start w:val="1"/>
      <w:numFmt w:val="decimal"/>
      <w:lvlText w:val="%1.%2.%3.%4.%5.%6.%7.%8.%9"/>
      <w:lvlJc w:val="left"/>
      <w:pPr>
        <w:ind w:left="6194" w:hanging="1800"/>
      </w:pPr>
      <w:rPr>
        <w:rFonts w:hint="default"/>
      </w:rPr>
    </w:lvl>
  </w:abstractNum>
  <w:abstractNum w:abstractNumId="1" w15:restartNumberingAfterBreak="0">
    <w:nsid w:val="199B77DE"/>
    <w:multiLevelType w:val="hybridMultilevel"/>
    <w:tmpl w:val="77DCBA74"/>
    <w:lvl w:ilvl="0" w:tplc="8C7C19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7634CEC"/>
    <w:multiLevelType w:val="hybridMultilevel"/>
    <w:tmpl w:val="1EF299F4"/>
    <w:lvl w:ilvl="0" w:tplc="12220BDA">
      <w:start w:val="6"/>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31A13458"/>
    <w:multiLevelType w:val="multilevel"/>
    <w:tmpl w:val="4D54F3C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16cid:durableId="1309553972">
    <w:abstractNumId w:val="0"/>
  </w:num>
  <w:num w:numId="2" w16cid:durableId="767388020">
    <w:abstractNumId w:val="1"/>
  </w:num>
  <w:num w:numId="3" w16cid:durableId="2133864732">
    <w:abstractNumId w:val="3"/>
  </w:num>
  <w:num w:numId="4" w16cid:durableId="1984502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5tz0z0ke5t29ex5r955wd3advpxrsstet0&quot;&gt;My EndNote Library&lt;record-ids&gt;&lt;item&gt;318&lt;/item&gt;&lt;item&gt;323&lt;/item&gt;&lt;item&gt;331&lt;/item&gt;&lt;item&gt;332&lt;/item&gt;&lt;item&gt;334&lt;/item&gt;&lt;item&gt;336&lt;/item&gt;&lt;item&gt;337&lt;/item&gt;&lt;item&gt;340&lt;/item&gt;&lt;item&gt;344&lt;/item&gt;&lt;item&gt;345&lt;/item&gt;&lt;item&gt;350&lt;/item&gt;&lt;item&gt;353&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record-ids&gt;&lt;/item&gt;&lt;/Libraries&gt;"/>
  </w:docVars>
  <w:rsids>
    <w:rsidRoot w:val="00584295"/>
    <w:rsid w:val="00010313"/>
    <w:rsid w:val="00015B6B"/>
    <w:rsid w:val="000344AA"/>
    <w:rsid w:val="00051FE0"/>
    <w:rsid w:val="0005212F"/>
    <w:rsid w:val="000529C9"/>
    <w:rsid w:val="000A1186"/>
    <w:rsid w:val="000A13CC"/>
    <w:rsid w:val="000B2DD4"/>
    <w:rsid w:val="000B6870"/>
    <w:rsid w:val="000C3583"/>
    <w:rsid w:val="000E5250"/>
    <w:rsid w:val="0014281B"/>
    <w:rsid w:val="0015223A"/>
    <w:rsid w:val="0016138C"/>
    <w:rsid w:val="0016529D"/>
    <w:rsid w:val="00170821"/>
    <w:rsid w:val="00172E03"/>
    <w:rsid w:val="001926CF"/>
    <w:rsid w:val="001967C9"/>
    <w:rsid w:val="001B716B"/>
    <w:rsid w:val="001C3684"/>
    <w:rsid w:val="001E47CB"/>
    <w:rsid w:val="00200E8D"/>
    <w:rsid w:val="00203264"/>
    <w:rsid w:val="0022110C"/>
    <w:rsid w:val="002211F7"/>
    <w:rsid w:val="00235A60"/>
    <w:rsid w:val="00236403"/>
    <w:rsid w:val="00242CB4"/>
    <w:rsid w:val="00254E13"/>
    <w:rsid w:val="00255AC5"/>
    <w:rsid w:val="00266E13"/>
    <w:rsid w:val="00282AF2"/>
    <w:rsid w:val="00282FD5"/>
    <w:rsid w:val="002878C9"/>
    <w:rsid w:val="00290A16"/>
    <w:rsid w:val="002E37B2"/>
    <w:rsid w:val="002E43C3"/>
    <w:rsid w:val="00303569"/>
    <w:rsid w:val="00306EF3"/>
    <w:rsid w:val="00320FC2"/>
    <w:rsid w:val="00322799"/>
    <w:rsid w:val="00324F21"/>
    <w:rsid w:val="003414AB"/>
    <w:rsid w:val="0034318F"/>
    <w:rsid w:val="00343528"/>
    <w:rsid w:val="00345224"/>
    <w:rsid w:val="00353A47"/>
    <w:rsid w:val="00370664"/>
    <w:rsid w:val="00387136"/>
    <w:rsid w:val="003E4744"/>
    <w:rsid w:val="004075FA"/>
    <w:rsid w:val="00443458"/>
    <w:rsid w:val="00450C66"/>
    <w:rsid w:val="004957EF"/>
    <w:rsid w:val="004B38BA"/>
    <w:rsid w:val="004C022B"/>
    <w:rsid w:val="004C2903"/>
    <w:rsid w:val="004E2A11"/>
    <w:rsid w:val="004F15DD"/>
    <w:rsid w:val="00501A7E"/>
    <w:rsid w:val="00510060"/>
    <w:rsid w:val="00511432"/>
    <w:rsid w:val="00521397"/>
    <w:rsid w:val="00524EE2"/>
    <w:rsid w:val="00525B3E"/>
    <w:rsid w:val="005272CF"/>
    <w:rsid w:val="00527C95"/>
    <w:rsid w:val="00541AB6"/>
    <w:rsid w:val="005531A4"/>
    <w:rsid w:val="00570050"/>
    <w:rsid w:val="00575521"/>
    <w:rsid w:val="00584295"/>
    <w:rsid w:val="00590EA9"/>
    <w:rsid w:val="005B7A71"/>
    <w:rsid w:val="005C5C9C"/>
    <w:rsid w:val="005E33B9"/>
    <w:rsid w:val="005F0503"/>
    <w:rsid w:val="00602818"/>
    <w:rsid w:val="006209F9"/>
    <w:rsid w:val="006210CB"/>
    <w:rsid w:val="006221E6"/>
    <w:rsid w:val="00625201"/>
    <w:rsid w:val="00630685"/>
    <w:rsid w:val="0067582F"/>
    <w:rsid w:val="0067612E"/>
    <w:rsid w:val="006825EE"/>
    <w:rsid w:val="006837BE"/>
    <w:rsid w:val="00695DA5"/>
    <w:rsid w:val="006A2E23"/>
    <w:rsid w:val="006A4275"/>
    <w:rsid w:val="006D58F5"/>
    <w:rsid w:val="006F23FC"/>
    <w:rsid w:val="00733917"/>
    <w:rsid w:val="00736A95"/>
    <w:rsid w:val="0074470F"/>
    <w:rsid w:val="00747D7C"/>
    <w:rsid w:val="00752DF3"/>
    <w:rsid w:val="0076388A"/>
    <w:rsid w:val="00763B47"/>
    <w:rsid w:val="007652D1"/>
    <w:rsid w:val="0077538C"/>
    <w:rsid w:val="00782CA8"/>
    <w:rsid w:val="00791889"/>
    <w:rsid w:val="007B2D5C"/>
    <w:rsid w:val="007B6C08"/>
    <w:rsid w:val="007E23D5"/>
    <w:rsid w:val="007E723C"/>
    <w:rsid w:val="007F33D6"/>
    <w:rsid w:val="008022AE"/>
    <w:rsid w:val="00816621"/>
    <w:rsid w:val="00842C07"/>
    <w:rsid w:val="00863369"/>
    <w:rsid w:val="00892DBF"/>
    <w:rsid w:val="008B5FEA"/>
    <w:rsid w:val="008C1B5B"/>
    <w:rsid w:val="008C2E56"/>
    <w:rsid w:val="008D3DA8"/>
    <w:rsid w:val="008E2F74"/>
    <w:rsid w:val="008E3835"/>
    <w:rsid w:val="008F11DC"/>
    <w:rsid w:val="008F6360"/>
    <w:rsid w:val="00901051"/>
    <w:rsid w:val="00912D96"/>
    <w:rsid w:val="009217CB"/>
    <w:rsid w:val="00925FBE"/>
    <w:rsid w:val="009260FB"/>
    <w:rsid w:val="00944420"/>
    <w:rsid w:val="00985810"/>
    <w:rsid w:val="009A4698"/>
    <w:rsid w:val="009A4CEE"/>
    <w:rsid w:val="009B4E25"/>
    <w:rsid w:val="009D6211"/>
    <w:rsid w:val="00A06BE9"/>
    <w:rsid w:val="00A16C99"/>
    <w:rsid w:val="00A20A34"/>
    <w:rsid w:val="00A43E45"/>
    <w:rsid w:val="00A55A9E"/>
    <w:rsid w:val="00A609CF"/>
    <w:rsid w:val="00A65C9A"/>
    <w:rsid w:val="00A941C3"/>
    <w:rsid w:val="00AB0954"/>
    <w:rsid w:val="00AB392A"/>
    <w:rsid w:val="00AC222C"/>
    <w:rsid w:val="00AE0BCB"/>
    <w:rsid w:val="00AF483C"/>
    <w:rsid w:val="00B1142F"/>
    <w:rsid w:val="00B17AB2"/>
    <w:rsid w:val="00B37FEE"/>
    <w:rsid w:val="00B45BD5"/>
    <w:rsid w:val="00B7444C"/>
    <w:rsid w:val="00B92A49"/>
    <w:rsid w:val="00B97614"/>
    <w:rsid w:val="00BB374A"/>
    <w:rsid w:val="00BB5DC7"/>
    <w:rsid w:val="00BC79EE"/>
    <w:rsid w:val="00BF25F9"/>
    <w:rsid w:val="00BF33F4"/>
    <w:rsid w:val="00BF4E07"/>
    <w:rsid w:val="00BF551B"/>
    <w:rsid w:val="00C0137A"/>
    <w:rsid w:val="00C34964"/>
    <w:rsid w:val="00C375F0"/>
    <w:rsid w:val="00C416AE"/>
    <w:rsid w:val="00C45DBA"/>
    <w:rsid w:val="00C61345"/>
    <w:rsid w:val="00C66ADE"/>
    <w:rsid w:val="00C7790F"/>
    <w:rsid w:val="00C80701"/>
    <w:rsid w:val="00C85EBB"/>
    <w:rsid w:val="00C95EA6"/>
    <w:rsid w:val="00CA1A1B"/>
    <w:rsid w:val="00CA36CF"/>
    <w:rsid w:val="00CC0BB0"/>
    <w:rsid w:val="00CD7A46"/>
    <w:rsid w:val="00CE1D4F"/>
    <w:rsid w:val="00CF2DCC"/>
    <w:rsid w:val="00D22F56"/>
    <w:rsid w:val="00D24B33"/>
    <w:rsid w:val="00D26D07"/>
    <w:rsid w:val="00D47B25"/>
    <w:rsid w:val="00D50BC6"/>
    <w:rsid w:val="00D54C80"/>
    <w:rsid w:val="00D74D3B"/>
    <w:rsid w:val="00D85D27"/>
    <w:rsid w:val="00D96189"/>
    <w:rsid w:val="00DD65DC"/>
    <w:rsid w:val="00DE42B6"/>
    <w:rsid w:val="00DF1574"/>
    <w:rsid w:val="00DF27D9"/>
    <w:rsid w:val="00E15D05"/>
    <w:rsid w:val="00E179A2"/>
    <w:rsid w:val="00E4370B"/>
    <w:rsid w:val="00E60358"/>
    <w:rsid w:val="00E63664"/>
    <w:rsid w:val="00E853C1"/>
    <w:rsid w:val="00E91884"/>
    <w:rsid w:val="00F42C3F"/>
    <w:rsid w:val="00F4630F"/>
    <w:rsid w:val="00F80AA9"/>
    <w:rsid w:val="00F935FC"/>
    <w:rsid w:val="00FA13BF"/>
    <w:rsid w:val="00FA5CC3"/>
    <w:rsid w:val="00FA6A56"/>
    <w:rsid w:val="00FB5E7F"/>
    <w:rsid w:val="00FC1917"/>
    <w:rsid w:val="00FC62C0"/>
    <w:rsid w:val="00FD1666"/>
    <w:rsid w:val="00FD70A3"/>
    <w:rsid w:val="00FE3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9A4A5C"/>
  <w15:chartTrackingRefBased/>
  <w15:docId w15:val="{8C7BF61D-F1C8-4DB9-A96D-8830D037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3369"/>
    <w:pPr>
      <w:widowControl w:val="0"/>
    </w:pPr>
    <w:rPr>
      <w:rFonts w:ascii="Arial" w:hAnsi="Arial"/>
      <w:sz w:val="21"/>
    </w:rPr>
  </w:style>
  <w:style w:type="paragraph" w:styleId="1">
    <w:name w:val="heading 1"/>
    <w:basedOn w:val="a"/>
    <w:next w:val="a"/>
    <w:link w:val="10"/>
    <w:uiPriority w:val="9"/>
    <w:qFormat/>
    <w:rsid w:val="0058429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8429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8429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8429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84295"/>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584295"/>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84295"/>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84295"/>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84295"/>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8429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8429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8429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84295"/>
    <w:rPr>
      <w:rFonts w:cstheme="majorBidi"/>
      <w:color w:val="0F4761" w:themeColor="accent1" w:themeShade="BF"/>
      <w:sz w:val="28"/>
      <w:szCs w:val="28"/>
    </w:rPr>
  </w:style>
  <w:style w:type="character" w:customStyle="1" w:styleId="50">
    <w:name w:val="标题 5 字符"/>
    <w:basedOn w:val="a0"/>
    <w:link w:val="5"/>
    <w:uiPriority w:val="9"/>
    <w:semiHidden/>
    <w:rsid w:val="00584295"/>
    <w:rPr>
      <w:rFonts w:cstheme="majorBidi"/>
      <w:color w:val="0F4761" w:themeColor="accent1" w:themeShade="BF"/>
      <w:sz w:val="24"/>
    </w:rPr>
  </w:style>
  <w:style w:type="character" w:customStyle="1" w:styleId="60">
    <w:name w:val="标题 6 字符"/>
    <w:basedOn w:val="a0"/>
    <w:link w:val="6"/>
    <w:uiPriority w:val="9"/>
    <w:semiHidden/>
    <w:rsid w:val="00584295"/>
    <w:rPr>
      <w:rFonts w:cstheme="majorBidi"/>
      <w:b/>
      <w:bCs/>
      <w:color w:val="0F4761" w:themeColor="accent1" w:themeShade="BF"/>
    </w:rPr>
  </w:style>
  <w:style w:type="character" w:customStyle="1" w:styleId="70">
    <w:name w:val="标题 7 字符"/>
    <w:basedOn w:val="a0"/>
    <w:link w:val="7"/>
    <w:uiPriority w:val="9"/>
    <w:semiHidden/>
    <w:rsid w:val="00584295"/>
    <w:rPr>
      <w:rFonts w:cstheme="majorBidi"/>
      <w:b/>
      <w:bCs/>
      <w:color w:val="595959" w:themeColor="text1" w:themeTint="A6"/>
    </w:rPr>
  </w:style>
  <w:style w:type="character" w:customStyle="1" w:styleId="80">
    <w:name w:val="标题 8 字符"/>
    <w:basedOn w:val="a0"/>
    <w:link w:val="8"/>
    <w:uiPriority w:val="9"/>
    <w:semiHidden/>
    <w:rsid w:val="00584295"/>
    <w:rPr>
      <w:rFonts w:cstheme="majorBidi"/>
      <w:color w:val="595959" w:themeColor="text1" w:themeTint="A6"/>
    </w:rPr>
  </w:style>
  <w:style w:type="character" w:customStyle="1" w:styleId="90">
    <w:name w:val="标题 9 字符"/>
    <w:basedOn w:val="a0"/>
    <w:link w:val="9"/>
    <w:uiPriority w:val="9"/>
    <w:semiHidden/>
    <w:rsid w:val="00584295"/>
    <w:rPr>
      <w:rFonts w:eastAsiaTheme="majorEastAsia" w:cstheme="majorBidi"/>
      <w:color w:val="595959" w:themeColor="text1" w:themeTint="A6"/>
    </w:rPr>
  </w:style>
  <w:style w:type="paragraph" w:styleId="a3">
    <w:name w:val="Title"/>
    <w:basedOn w:val="a"/>
    <w:next w:val="a"/>
    <w:link w:val="a4"/>
    <w:uiPriority w:val="10"/>
    <w:qFormat/>
    <w:rsid w:val="0058429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8429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8429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8429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84295"/>
    <w:pPr>
      <w:spacing w:before="160"/>
      <w:jc w:val="center"/>
    </w:pPr>
    <w:rPr>
      <w:i/>
      <w:iCs/>
      <w:color w:val="404040" w:themeColor="text1" w:themeTint="BF"/>
    </w:rPr>
  </w:style>
  <w:style w:type="character" w:customStyle="1" w:styleId="a8">
    <w:name w:val="引用 字符"/>
    <w:basedOn w:val="a0"/>
    <w:link w:val="a7"/>
    <w:uiPriority w:val="29"/>
    <w:rsid w:val="00584295"/>
    <w:rPr>
      <w:i/>
      <w:iCs/>
      <w:color w:val="404040" w:themeColor="text1" w:themeTint="BF"/>
    </w:rPr>
  </w:style>
  <w:style w:type="paragraph" w:styleId="a9">
    <w:name w:val="List Paragraph"/>
    <w:basedOn w:val="a"/>
    <w:uiPriority w:val="34"/>
    <w:qFormat/>
    <w:rsid w:val="00584295"/>
    <w:pPr>
      <w:ind w:left="720"/>
      <w:contextualSpacing/>
    </w:pPr>
  </w:style>
  <w:style w:type="character" w:styleId="aa">
    <w:name w:val="Intense Emphasis"/>
    <w:basedOn w:val="a0"/>
    <w:uiPriority w:val="21"/>
    <w:qFormat/>
    <w:rsid w:val="00584295"/>
    <w:rPr>
      <w:i/>
      <w:iCs/>
      <w:color w:val="0F4761" w:themeColor="accent1" w:themeShade="BF"/>
    </w:rPr>
  </w:style>
  <w:style w:type="paragraph" w:styleId="ab">
    <w:name w:val="Intense Quote"/>
    <w:basedOn w:val="a"/>
    <w:next w:val="a"/>
    <w:link w:val="ac"/>
    <w:uiPriority w:val="30"/>
    <w:qFormat/>
    <w:rsid w:val="005842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84295"/>
    <w:rPr>
      <w:i/>
      <w:iCs/>
      <w:color w:val="0F4761" w:themeColor="accent1" w:themeShade="BF"/>
    </w:rPr>
  </w:style>
  <w:style w:type="character" w:styleId="ad">
    <w:name w:val="Intense Reference"/>
    <w:basedOn w:val="a0"/>
    <w:uiPriority w:val="32"/>
    <w:qFormat/>
    <w:rsid w:val="00584295"/>
    <w:rPr>
      <w:b/>
      <w:bCs/>
      <w:smallCaps/>
      <w:color w:val="0F4761" w:themeColor="accent1" w:themeShade="BF"/>
      <w:spacing w:val="5"/>
    </w:rPr>
  </w:style>
  <w:style w:type="table" w:styleId="ae">
    <w:name w:val="Table Grid"/>
    <w:basedOn w:val="a1"/>
    <w:uiPriority w:val="39"/>
    <w:qFormat/>
    <w:rsid w:val="00290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autoRedefine/>
    <w:uiPriority w:val="99"/>
    <w:semiHidden/>
    <w:qFormat/>
    <w:rsid w:val="000B6870"/>
    <w:rPr>
      <w:color w:val="808080"/>
    </w:rPr>
  </w:style>
  <w:style w:type="paragraph" w:customStyle="1" w:styleId="EndNoteBibliographyTitle">
    <w:name w:val="EndNote Bibliography Title"/>
    <w:basedOn w:val="a"/>
    <w:link w:val="EndNoteBibliographyTitle0"/>
    <w:rsid w:val="00570050"/>
    <w:pPr>
      <w:spacing w:after="0"/>
      <w:jc w:val="center"/>
    </w:pPr>
    <w:rPr>
      <w:rFonts w:cs="Arial"/>
      <w:noProof/>
      <w:sz w:val="20"/>
    </w:rPr>
  </w:style>
  <w:style w:type="character" w:customStyle="1" w:styleId="EndNoteBibliographyTitle0">
    <w:name w:val="EndNote Bibliography Title 字符"/>
    <w:basedOn w:val="a0"/>
    <w:link w:val="EndNoteBibliographyTitle"/>
    <w:rsid w:val="00570050"/>
    <w:rPr>
      <w:rFonts w:ascii="Arial" w:hAnsi="Arial" w:cs="Arial"/>
      <w:noProof/>
      <w:sz w:val="20"/>
    </w:rPr>
  </w:style>
  <w:style w:type="paragraph" w:customStyle="1" w:styleId="EndNoteBibliography">
    <w:name w:val="EndNote Bibliography"/>
    <w:basedOn w:val="a"/>
    <w:link w:val="EndNoteBibliography0"/>
    <w:rsid w:val="00570050"/>
    <w:pPr>
      <w:spacing w:line="240" w:lineRule="auto"/>
    </w:pPr>
    <w:rPr>
      <w:rFonts w:cs="Arial"/>
      <w:noProof/>
      <w:sz w:val="20"/>
    </w:rPr>
  </w:style>
  <w:style w:type="character" w:customStyle="1" w:styleId="EndNoteBibliography0">
    <w:name w:val="EndNote Bibliography 字符"/>
    <w:basedOn w:val="a0"/>
    <w:link w:val="EndNoteBibliography"/>
    <w:rsid w:val="00570050"/>
    <w:rPr>
      <w:rFonts w:ascii="Arial" w:hAnsi="Arial" w:cs="Arial"/>
      <w:noProof/>
      <w:sz w:val="20"/>
    </w:rPr>
  </w:style>
  <w:style w:type="paragraph" w:styleId="af0">
    <w:name w:val="header"/>
    <w:basedOn w:val="a"/>
    <w:link w:val="af1"/>
    <w:uiPriority w:val="99"/>
    <w:unhideWhenUsed/>
    <w:rsid w:val="00324F21"/>
    <w:pPr>
      <w:tabs>
        <w:tab w:val="center" w:pos="4513"/>
        <w:tab w:val="right" w:pos="9026"/>
      </w:tabs>
      <w:snapToGrid w:val="0"/>
      <w:spacing w:line="240" w:lineRule="auto"/>
      <w:jc w:val="center"/>
    </w:pPr>
    <w:rPr>
      <w:sz w:val="18"/>
      <w:szCs w:val="18"/>
    </w:rPr>
  </w:style>
  <w:style w:type="character" w:customStyle="1" w:styleId="af1">
    <w:name w:val="页眉 字符"/>
    <w:basedOn w:val="a0"/>
    <w:link w:val="af0"/>
    <w:uiPriority w:val="99"/>
    <w:rsid w:val="00324F21"/>
    <w:rPr>
      <w:rFonts w:ascii="Arial" w:hAnsi="Arial"/>
      <w:sz w:val="18"/>
      <w:szCs w:val="18"/>
    </w:rPr>
  </w:style>
  <w:style w:type="paragraph" w:styleId="af2">
    <w:name w:val="footer"/>
    <w:basedOn w:val="a"/>
    <w:link w:val="af3"/>
    <w:uiPriority w:val="99"/>
    <w:unhideWhenUsed/>
    <w:rsid w:val="00324F21"/>
    <w:pPr>
      <w:tabs>
        <w:tab w:val="center" w:pos="4513"/>
        <w:tab w:val="right" w:pos="9026"/>
      </w:tabs>
      <w:snapToGrid w:val="0"/>
      <w:spacing w:line="240" w:lineRule="auto"/>
    </w:pPr>
    <w:rPr>
      <w:sz w:val="18"/>
      <w:szCs w:val="18"/>
    </w:rPr>
  </w:style>
  <w:style w:type="character" w:customStyle="1" w:styleId="af3">
    <w:name w:val="页脚 字符"/>
    <w:basedOn w:val="a0"/>
    <w:link w:val="af2"/>
    <w:uiPriority w:val="99"/>
    <w:rsid w:val="00324F21"/>
    <w:rPr>
      <w:rFonts w:ascii="Arial" w:hAnsi="Arial"/>
      <w:sz w:val="18"/>
      <w:szCs w:val="18"/>
    </w:rPr>
  </w:style>
  <w:style w:type="paragraph" w:styleId="af4">
    <w:name w:val="Normal (Web)"/>
    <w:basedOn w:val="a"/>
    <w:uiPriority w:val="99"/>
    <w:semiHidden/>
    <w:unhideWhenUsed/>
    <w:rsid w:val="004C022B"/>
    <w:rPr>
      <w:rFonts w:ascii="Times New Roman" w:hAnsi="Times New Roman" w:cs="Times New Roman"/>
      <w:sz w:val="24"/>
    </w:rPr>
  </w:style>
  <w:style w:type="character" w:styleId="af5">
    <w:name w:val="Hyperlink"/>
    <w:basedOn w:val="a0"/>
    <w:uiPriority w:val="99"/>
    <w:unhideWhenUsed/>
    <w:rsid w:val="00282AF2"/>
    <w:rPr>
      <w:color w:val="467886" w:themeColor="hyperlink"/>
      <w:u w:val="single"/>
    </w:rPr>
  </w:style>
  <w:style w:type="character" w:styleId="af6">
    <w:name w:val="Unresolved Mention"/>
    <w:basedOn w:val="a0"/>
    <w:uiPriority w:val="99"/>
    <w:semiHidden/>
    <w:unhideWhenUsed/>
    <w:rsid w:val="00282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38/s41467-020-14659-5" TargetMode="External"/><Relationship Id="rId3" Type="http://schemas.openxmlformats.org/officeDocument/2006/relationships/settings" Target="settings.xml"/><Relationship Id="rId21" Type="http://schemas.openxmlformats.org/officeDocument/2006/relationships/hyperlink" Target="https://doi.org:10.1021/acs.langmuir.6b00791"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021/acs.chemrev.5b00736" TargetMode="External"/><Relationship Id="rId2" Type="http://schemas.openxmlformats.org/officeDocument/2006/relationships/styles" Target="styles.xml"/><Relationship Id="rId16" Type="http://schemas.openxmlformats.org/officeDocument/2006/relationships/hyperlink" Target="https://doi.org:10.1063/5.0006550" TargetMode="External"/><Relationship Id="rId20" Type="http://schemas.openxmlformats.org/officeDocument/2006/relationships/hyperlink" Target="https://doi.org:10.1073/pnas.25194911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38/s41586-025-08702-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1059</TotalTime>
  <Pages>29</Pages>
  <Words>11652</Words>
  <Characters>71660</Characters>
  <Application>Microsoft Office Word</Application>
  <DocSecurity>0</DocSecurity>
  <Lines>1214</Lines>
  <Paragraphs>507</Paragraphs>
  <ScaleCrop>false</ScaleCrop>
  <Company/>
  <LinksUpToDate>false</LinksUpToDate>
  <CharactersWithSpaces>82805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越伟 樊</dc:creator>
  <cp:keywords/>
  <dc:description/>
  <cp:lastModifiedBy>越伟 樊</cp:lastModifiedBy>
  <cp:revision>192</cp:revision>
  <cp:lastPrinted>2026-03-29T19:36:00Z</cp:lastPrinted>
  <dcterms:created xsi:type="dcterms:W3CDTF">2026-03-11T07:52:00Z</dcterms:created>
  <dcterms:modified xsi:type="dcterms:W3CDTF">2026-04-27T18:14:00Z</dcterms:modified>
</cp:coreProperties>
</file>