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supplementary-material"/>
    <w:p>
      <w:pPr>
        <w:pStyle w:val="Heading1"/>
      </w:pPr>
      <w:r>
        <w:t xml:space="preserve">Supplementary material</w:t>
      </w:r>
    </w:p>
    <w:bookmarkStart w:id="9" w:name="Xbb16d8f0ce630c0759c014b7e4639962ee72b76"/>
    <w:p>
      <w:pPr>
        <w:pStyle w:val="Heading2"/>
      </w:pPr>
      <w:r>
        <w:t xml:space="preserve">Table S1. Included (clock-eligible, ≥5 biomarkers) vs excluded participants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96"/>
        <w:gridCol w:w="1388"/>
        <w:gridCol w:w="1143"/>
        <w:gridCol w:w="1388"/>
        <w:gridCol w:w="1143"/>
        <w:gridCol w:w="1061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included_mean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included_n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excluded_mean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excluded_n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abs_diff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age_years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59.4885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59638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61.1401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-1.65158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education_years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4.14938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59638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4.6127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-0.46332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frailty_index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0.249002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59601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0.262172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-0.0131706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multimorbidity_ge2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0.18391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59638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0.198624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-0.0147145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poor_srh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0.377581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59619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0.371659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0.00592187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adl_limitation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0.137882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59616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0.210085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-0.0722029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poverty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0.169847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59636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0.158958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0.0108892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current_smoking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0.137618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59556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0.122036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6326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0.0155823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unclean_cooking_fuel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0.466547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58665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0.394874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0.0716732</w:t>
            </w:r>
          </w:p>
        </w:tc>
      </w:tr>
    </w:tbl>
    <w:bookmarkEnd w:id="9"/>
    <w:bookmarkStart w:id="10" w:name="Xe70f816b95c715034742fa8c265f198993da56d"/>
    <w:p>
      <w:pPr>
        <w:pStyle w:val="Heading2"/>
      </w:pPr>
      <w:r>
        <w:t xml:space="preserve">Table S2. Inverse-probability-of-availability weighting sensitivity (max diff 0.3 pp)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94"/>
        <w:gridCol w:w="2149"/>
        <w:gridCol w:w="1018"/>
        <w:gridCol w:w="1357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person_weight_%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IPW_%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abs_diff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Undiagnosed diabetes (%)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Undiagnosed hypertension (%)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63.8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63.6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Biochemical diabetes (%)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Measured hypertension (%)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Anaemia (%)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High burden &gt;=3 (%)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0.16</w:t>
            </w:r>
          </w:p>
        </w:tc>
      </w:tr>
    </w:tbl>
    <w:bookmarkEnd w:id="10"/>
    <w:bookmarkStart w:id="11" w:name="X522bd2c47f074ff7e11e6e9ab4129ee8daef310"/>
    <w:p>
      <w:pPr>
        <w:pStyle w:val="Heading2"/>
      </w:pPr>
      <w:r>
        <w:t xml:space="preserve">Table S3. Cluster-bootstrap robustness for key regression estimates (SSU resampling)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831"/>
        <w:gridCol w:w="2088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Undiagnosed diabetes urban-vs-rural OR (cluster bootstrap)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0.65 (0.58-0.74)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delta-AUROC biomarker burden over self-report (cluster bootstrap)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0.0011 (0.0000-0.0028)</w:t>
            </w:r>
          </w:p>
        </w:tc>
      </w:tr>
    </w:tbl>
    <w:bookmarkEnd w:id="11"/>
    <w:bookmarkStart w:id="12" w:name="X45150c462f0ceec646b691cb7ee59f1b7e4e8ef"/>
    <w:p>
      <w:pPr>
        <w:pStyle w:val="Heading2"/>
      </w:pPr>
      <w:r>
        <w:t xml:space="preserve">Table S4. Social patterning of undiagnosed disease and high burden (weighted %)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59"/>
        <w:gridCol w:w="1352"/>
        <w:gridCol w:w="2028"/>
        <w:gridCol w:w="1545"/>
        <w:gridCol w:w="1835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stratum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undx_diabetes_pct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undx_htn_pct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high_burden_pct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rural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female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male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education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66.5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1-5 yr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49.5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6+ yr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wealth_grp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Poorest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63.5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wealth_grp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Middle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67.3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wealth_grp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Richest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26.3</w:t>
            </w:r>
          </w:p>
        </w:tc>
      </w:tr>
    </w:tbl>
    <w:bookmarkEnd w:id="12"/>
    <w:bookmarkStart w:id="13" w:name="X84f2dc9f7e7784b054185287b6f0bfd78d2cbee"/>
    <w:p>
      <w:pPr>
        <w:pStyle w:val="Heading2"/>
      </w:pPr>
      <w:r>
        <w:t xml:space="preserve">Table S5. Care cascade by social group (% of affected)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826"/>
        <w:gridCol w:w="964"/>
        <w:gridCol w:w="826"/>
        <w:gridCol w:w="964"/>
        <w:gridCol w:w="1170"/>
        <w:gridCol w:w="895"/>
        <w:gridCol w:w="1033"/>
        <w:gridCol w:w="1239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stratum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dm_aware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dm_treated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dm_controlled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htn_aware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htn_treated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htn_controlled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rural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69.5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education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1-5 yr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6+ yr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61.8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wealth_grp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Poorest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61.3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49.1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wealth_grp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Middle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wealth_grp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Richest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61.8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</w:tr>
    </w:tbl>
    <w:bookmarkEnd w:id="13"/>
    <w:bookmarkStart w:id="14" w:name="X7c646fbb317f74e06b5b4dc91631f5ba38dab50"/>
    <w:p>
      <w:pPr>
        <w:pStyle w:val="Heading2"/>
      </w:pPr>
      <w:r>
        <w:t xml:space="preserve">Table S6. Domain prevalence by social group (the dual burden)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37"/>
        <w:gridCol w:w="744"/>
        <w:gridCol w:w="372"/>
        <w:gridCol w:w="850"/>
        <w:gridCol w:w="1169"/>
        <w:gridCol w:w="1009"/>
        <w:gridCol w:w="584"/>
        <w:gridCol w:w="637"/>
        <w:gridCol w:w="1063"/>
        <w:gridCol w:w="85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stratum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Dysglycaemia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Hypertension(meas)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Central obesity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Anaemia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Low grip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Low lung reserve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Inflammation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rural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43112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23358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education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31231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1-5 yr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12156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6+ yr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23083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wealth_grp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Poorest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22097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wealth_grp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Middle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22097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wealth_grp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Richest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22097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9.7</w:t>
            </w:r>
          </w:p>
        </w:tc>
      </w:tr>
    </w:tbl>
    <w:bookmarkEnd w:id="14"/>
    <w:bookmarkStart w:id="15" w:name="Xbcf6ddabdb68fbd8c2f8e2db49048db20d595a3"/>
    <w:p>
      <w:pPr>
        <w:pStyle w:val="Heading2"/>
      </w:pPr>
      <w:r>
        <w:t xml:space="preserve">Table S7. Adjusted predictors of each biological domain (odds ratios)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63"/>
        <w:gridCol w:w="2515"/>
        <w:gridCol w:w="652"/>
        <w:gridCol w:w="838"/>
        <w:gridCol w:w="838"/>
        <w:gridCol w:w="1211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domain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predictor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OR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ci_lo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ci_hi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Dysglycaemia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C(residence)[T.urban]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1.11203e-13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Dysglycaemia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education_years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3.06624e-14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Dysglycaemia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poverty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0.000635575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Dysglycaemia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0.686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0.619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5.19403e-13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Dysglycaemia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current_smokeless_tobacco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8.31411e-10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Dysglycaemia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unclean_cooking_fuel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1.77237e-49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Dysglycaemia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unimproved_drinking_water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3.51027e-05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Hypertension(meas)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C(residence)[T.urban]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5.35432e-07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Hypertension(meas)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education_years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0.0128352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Hypertension(meas)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poverty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0.253034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Hypertension(meas)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1.37557e-07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Hypertension(meas)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current_smokeless_tobacco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0.384287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Hypertension(meas)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unclean_cooking_fuel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9.67934e-13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Hypertension(meas)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unimproved_drinking_water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0.0202514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Central obesity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C(residence)[T.urban]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5.39275e-25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Central obesity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education_years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4.478e-87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Central obesity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poverty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0.628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0.675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9.25346e-36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Central obesity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0.655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0.605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4.29615e-26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Central obesity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current_smokeless_tobacco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3.95424e-21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Central obesity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unclean_cooking_fuel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4.30423e-75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Central obesity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unimproved_drinking_water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7.57269e-06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C(residence)[T.urban]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0.00178545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education_years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0.00667179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poverty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0.000104437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0.400821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current_smokeless_tobacco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1.157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0.0116796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unclean_cooking_fuel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0.0236181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Anaemia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unimproved_drinking_water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0.704589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grip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C(residence)[T.urban]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0.691104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grip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education_years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1.77749e-42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grip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poverty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0.000429152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grip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0.000217141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grip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current_smokeless_tobacco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0.00100711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grip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unclean_cooking_fuel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0.0129175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grip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unimproved_drinking_water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1.672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6.03759e-06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lung reserve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C(residence)[T.urban]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3.5798e-08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lung reserve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education_years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0.00724663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lung reserve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poverty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0.076111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lung reserve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0.47723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lung reserve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current_smokeless_tobacco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0.76859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lung reserve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unclean_cooking_fuel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7.63228e-06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lung reserve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unimproved_drinking_water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0.00525613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Inflammation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C(residence)[T.urban]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1.254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3.99166e-06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Inflammation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education_years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0.00381386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Inflammation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poverty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0.16538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Inflammation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0.00677913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Inflammation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current_smokeless_tobacco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8.56771e-05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Inflammation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unclean_cooking_fuel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0.00114584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Inflammation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unimproved_drinking_water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0.497376</w:t>
            </w:r>
          </w:p>
        </w:tc>
      </w:tr>
    </w:tbl>
    <w:bookmarkEnd w:id="15"/>
    <w:bookmarkStart w:id="16" w:name="Xbe455af8157e37f751ec9283d859aa3febaa16b"/>
    <w:p>
      <w:pPr>
        <w:pStyle w:val="Heading2"/>
      </w:pPr>
      <w:r>
        <w:t xml:space="preserve">Table S8. State/UT surveillance: burden and undiagnosed fraction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36"/>
        <w:gridCol w:w="559"/>
        <w:gridCol w:w="1397"/>
        <w:gridCol w:w="1956"/>
        <w:gridCol w:w="177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state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mean_burden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undx_diabetes_pct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high_burden_pct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Andhra Pradesh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2.379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Chandigarh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Punjab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2.136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Telangana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2.105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Maharashtra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Delhi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Sikkim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Lakshadweep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Kerala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1.985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Daman and Diu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Puducherry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Andaman and Nicobar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Jammu and Kashmir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Tamil Nadu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Gujarat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Odisha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West Bengal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1.662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Dadra and Nagar Haveli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Meghalaya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Jharkhand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1.696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Himachal Pradesh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1.658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Uttarakhand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1.604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Karnataka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Haryana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1.621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Chhatisgarh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Manipur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Uttar Pradesh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59.9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Tripura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Rajasthan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Assam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Mizoram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49.2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Bihar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Arunachal Pradesh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Madhya Pradesh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69.2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Nagaland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71.8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11.5</w:t>
            </w:r>
          </w:p>
        </w:tc>
      </w:tr>
    </w:tbl>
    <w:bookmarkEnd w:id="16"/>
    <w:bookmarkStart w:id="17" w:name="X21669d67b1c5a249926474b2794a8ab4d93999f"/>
    <w:p>
      <w:pPr>
        <w:pStyle w:val="Heading2"/>
      </w:pPr>
      <w:r>
        <w:t xml:space="preserve">Table S9. Biomarker–chronological age associations (weighted) — context for retiring the KDM clock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biomarker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slope_per_yr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logcrp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0.00511929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7.24351e-19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0.00134927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58288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hba1c_v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0.00263702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6.98035e-10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0.000652188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58289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hb_v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-0.0286405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1.04895e-200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0.0155519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58294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sbp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0.37852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0.0444968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60373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pulse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-0.0729705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8.6422e-59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0.00432002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60373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fev1_raw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-0.0175571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0.0865071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50244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grip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-0.281431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0.130105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59137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waist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-0.0956902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1.28518e-80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0.00602934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59789</w:t>
            </w:r>
          </w:p>
        </w:tc>
      </w:tr>
    </w:tbl>
    <w:bookmarkEnd w:id="17"/>
    <w:bookmarkStart w:id="18" w:name="X8d22111d1da369f76c98e03e7c6c3732f33aa69"/>
    <w:p>
      <w:pPr>
        <w:pStyle w:val="Heading2"/>
      </w:pPr>
      <w:r>
        <w:t xml:space="preserve">Table S11. Absolute national burden, applying population-expansion weights (millions, adults 45+)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51"/>
        <w:gridCol w:w="2468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represented_millions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Undiagnosed diabetes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Undiagnosed hypertension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Uncontrolled diabetes (affected, not at target)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Uncontrolled hypertension (affected, not at target)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73.2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Anaemia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Elevated CRP (&gt;3 mg/L)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High multi-system burden (&gt;=3 systems)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Represented 45+ population (DBS-eligible)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234</w:t>
            </w:r>
          </w:p>
        </w:tc>
      </w:tr>
    </w:tbl>
    <w:bookmarkEnd w:id="18"/>
    <w:bookmarkStart w:id="19" w:name="X540091060c2a25b5895eb76352a6439425e160a"/>
    <w:p>
      <w:pPr>
        <w:pStyle w:val="Heading2"/>
      </w:pPr>
      <w:r>
        <w:t xml:space="preserve">Table S12. Threshold sensitivity (alternative clinical cut-offs)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threshold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prevalence_%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undiagnosed_%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Diabetes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HbA1c&gt;=6.5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Diabetes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HbA1c&gt;=7.0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Hypertension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&gt;=140/90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63.8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Hypertension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&gt;=130/80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69.9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Inflammation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CRP&gt;3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Inflammation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CRP&gt;10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nan</w:t>
            </w:r>
          </w:p>
        </w:tc>
      </w:tr>
    </w:tbl>
    <w:bookmarkEnd w:id="19"/>
    <w:bookmarkStart w:id="20" w:name="table-s13.-diagnosis-gap-by-age-group"/>
    <w:p>
      <w:pPr>
        <w:pStyle w:val="Heading2"/>
      </w:pPr>
      <w:r>
        <w:t xml:space="preserve">Table S13. Diagnosis gap by age group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55"/>
        <w:gridCol w:w="2124"/>
        <w:gridCol w:w="2511"/>
        <w:gridCol w:w="2028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age_group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biochem_diabetes_%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undiagnosed_diabetes_%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undiagnosed_htn_%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45-59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60-74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46.3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75+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54.6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56.3</w:t>
            </w:r>
          </w:p>
        </w:tc>
      </w:tr>
    </w:tbl>
    <w:bookmarkEnd w:id="20"/>
    <w:bookmarkStart w:id="21" w:name="Xdec792ccb30d6cd6a17606ff8ebececbc6a5bee"/>
    <w:p>
      <w:pPr>
        <w:pStyle w:val="Heading2"/>
      </w:pPr>
      <w:r>
        <w:t xml:space="preserve">Supplementary Note S10. Why a chronological-age-calibrated biological-age clock is not the primary measure</w:t>
      </w:r>
    </w:p>
    <w:p>
      <w:pPr>
        <w:pStyle w:val="FirstParagraph"/>
      </w:pPr>
      <w:r>
        <w:t xml:space="preserve">We pre-registered an intention to compute Klemera–Doubal Method (KDM) biological age. On implementation</w:t>
      </w:r>
      <w:r>
        <w:t xml:space="preserve"> </w:t>
      </w:r>
      <w:r>
        <w:t xml:space="preserve">(faithful port of the BioAge package, sex-specific, survey-weighted training), the clock proved</w:t>
      </w:r>
      <w:r>
        <w:t xml:space="preserve"> </w:t>
      </w:r>
      <w:r>
        <w:t xml:space="preserve">ill-conditioned in these data: the characteristic variance s_BA^2 was negative and the implied biological-</w:t>
      </w:r>
      <w:r>
        <w:t xml:space="preserve"> </w:t>
      </w:r>
      <w:r>
        <w:t xml:space="preserve">age acceleration had an implausible standard deviation (~26 years), with negative convergent validity</w:t>
      </w:r>
      <w:r>
        <w:t xml:space="preserve"> </w:t>
      </w:r>
      <w:r>
        <w:t xml:space="preserve">against multi-system physiological dysregulation and allostatic load. The cause is visible in Table S9:</w:t>
      </w:r>
      <w:r>
        <w:t xml:space="preserve"> </w:t>
      </w:r>
      <w:r>
        <w:t xml:space="preserve">the LASI biomarker panel (lacking renal, hepatic and lipid chemistries) is only weakly correlated with</w:t>
      </w:r>
      <w:r>
        <w:t xml:space="preserve"> </w:t>
      </w:r>
      <w:r>
        <w:t xml:space="preserve">chronological age in this 45+ population (most r^2 &lt; 0.05), and the population carries two opposing ageing</w:t>
      </w:r>
      <w:r>
        <w:t xml:space="preserve"> </w:t>
      </w:r>
      <w:r>
        <w:t xml:space="preserve">phenotypes — cardiometabolic excess and frailty/wasting — so a single age-anchored latent score is not</w:t>
      </w:r>
      <w:r>
        <w:t xml:space="preserve"> </w:t>
      </w:r>
      <w:r>
        <w:t xml:space="preserve">well defined. We therefore do not report KDM biological age as a primary or secondary result, and instead</w:t>
      </w:r>
      <w:r>
        <w:t xml:space="preserve"> </w:t>
      </w:r>
      <w:r>
        <w:t xml:space="preserve">use externally-thresholded abnormalities and their two clinically coherent axes. This is reported</w:t>
      </w:r>
      <w:r>
        <w:t xml:space="preserve"> </w:t>
      </w:r>
      <w:r>
        <w:t xml:space="preserve">transparently rather than omitted.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2026-06-12T16:00:48Z</dcterms:created>
  <dcterms:modified xsi:type="dcterms:W3CDTF">2026-06-12T16:00:48Z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