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E986E">
      <w:pPr>
        <w:spacing w:line="480" w:lineRule="auto"/>
        <w:jc w:val="center"/>
        <w:outlineLvl w:val="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Supplementary materials</w:t>
      </w:r>
    </w:p>
    <w:p w14:paraId="77190558">
      <w:pPr>
        <w:numPr>
          <w:ilvl w:val="0"/>
          <w:numId w:val="0"/>
        </w:numPr>
        <w:spacing w:line="480" w:lineRule="auto"/>
        <w:outlineLvl w:val="1"/>
        <w:rPr>
          <w:rFonts w:hint="default" w:ascii="Times New Roman" w:hAnsi="Times New Roman" w:cs="Times New Roman" w:eastAsiaTheme="minorEastAsia"/>
          <w:b/>
          <w:bCs/>
          <w:i/>
          <w:iCs/>
          <w:kern w:val="2"/>
          <w:sz w:val="24"/>
          <w:szCs w:val="24"/>
          <w:lang w:val="en-US" w:eastAsia="zh-CN" w:bidi="ar-SA"/>
        </w:rPr>
      </w:pPr>
      <w:r>
        <w:rPr>
          <w:rFonts w:hint="eastAsia" w:ascii="Times New Roman" w:hAnsi="Times New Roman" w:cs="Times New Roman" w:eastAsiaTheme="minorEastAsia"/>
          <w:b/>
          <w:bCs/>
          <w:i/>
          <w:iCs/>
          <w:kern w:val="2"/>
          <w:sz w:val="24"/>
          <w:szCs w:val="24"/>
          <w:lang w:val="en-US" w:eastAsia="zh-CN" w:bidi="ar-SA"/>
        </w:rPr>
        <w:t>1. CT image acquisition protocol</w:t>
      </w:r>
    </w:p>
    <w:p w14:paraId="3F3E1619">
      <w:pPr>
        <w:numPr>
          <w:ilvl w:val="0"/>
          <w:numId w:val="0"/>
        </w:numPr>
        <w:spacing w:line="480" w:lineRule="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All patients underwent dual-phase CECT of the abdomen using one of the following scanners: Somatom Force (Siemens, Germany), Somatom Definition AS+ 128 (Siemens, Germany), or Light Speed VCT 128 (GE, USA). Patients were placed in the supine position with the head first and arms raised, and the scan range extended from the diaphragmatic dome to the iliac crest level. The scanning protocol was consistent across all scanners, with the following parameters: tube voltage of 120 kV, tube current of 150 - 250 mAs, matrix of 512×512, field of view of 350 mm×350 mm, pitch of 0.6 - 1.0, rotation speed of 0.25 - 0.5 s/r, slice thickness of 5 mm, and slice interval of 5 mm. After non-contrast scanning, a non-ionic iodinated contrast agent was injected via an indwelling catheter in the median cubital vein using a power injector (Ulrich CT Plus 150, Ulrich Medical) at a dose of 1.5 mL/kg body weight with an injection rate of 2.5 - 3.5 mL/s, followed by a flush with 30 - 40 mL of normal saline. Arterial and portal venous phase images were acquired with delays of 20 - 30 s and 50 - 60 s after contrast injection, respectively.</w:t>
      </w:r>
    </w:p>
    <w:p w14:paraId="4933EE5F">
      <w:pPr>
        <w:pStyle w:val="2"/>
        <w:numPr>
          <w:ilvl w:val="0"/>
          <w:numId w:val="1"/>
        </w:numPr>
        <w:bidi w:val="0"/>
        <w:rPr>
          <w:rFonts w:hint="default" w:ascii="Times New Roman" w:hAnsi="Times New Roman" w:cs="Times New Roman" w:eastAsiaTheme="minorEastAsia"/>
          <w:b/>
          <w:bCs/>
          <w:i/>
          <w:iCs/>
          <w:kern w:val="2"/>
          <w:sz w:val="24"/>
          <w:szCs w:val="24"/>
          <w:lang w:val="en-US" w:eastAsia="zh-CN" w:bidi="ar-SA"/>
        </w:rPr>
      </w:pPr>
      <w:r>
        <w:rPr>
          <w:rFonts w:hint="default" w:ascii="Times New Roman" w:hAnsi="Times New Roman" w:cs="Times New Roman" w:eastAsiaTheme="minorEastAsia"/>
          <w:b/>
          <w:bCs/>
          <w:i/>
          <w:iCs/>
          <w:kern w:val="2"/>
          <w:sz w:val="24"/>
          <w:szCs w:val="24"/>
          <w:lang w:val="en-US" w:eastAsia="zh-CN" w:bidi="ar-SA"/>
        </w:rPr>
        <w:t>Radiomic</w:t>
      </w:r>
      <w:r>
        <w:rPr>
          <w:rFonts w:hint="eastAsia" w:ascii="Times New Roman" w:hAnsi="Times New Roman" w:cs="Times New Roman" w:eastAsiaTheme="minorEastAsia"/>
          <w:b/>
          <w:bCs/>
          <w:i/>
          <w:iCs/>
          <w:kern w:val="2"/>
          <w:sz w:val="24"/>
          <w:szCs w:val="24"/>
          <w:lang w:val="en-US" w:eastAsia="zh-CN" w:bidi="ar-SA"/>
        </w:rPr>
        <w:t>s</w:t>
      </w:r>
      <w:r>
        <w:rPr>
          <w:rFonts w:hint="default" w:ascii="Times New Roman" w:hAnsi="Times New Roman" w:cs="Times New Roman" w:eastAsiaTheme="minorEastAsia"/>
          <w:b/>
          <w:bCs/>
          <w:i/>
          <w:iCs/>
          <w:kern w:val="2"/>
          <w:sz w:val="24"/>
          <w:szCs w:val="24"/>
          <w:lang w:val="en-US" w:eastAsia="zh-CN" w:bidi="ar-SA"/>
        </w:rPr>
        <w:t xml:space="preserve"> </w:t>
      </w:r>
      <w:r>
        <w:rPr>
          <w:rFonts w:hint="eastAsia" w:ascii="Times New Roman" w:hAnsi="Times New Roman" w:cs="Times New Roman" w:eastAsiaTheme="minorEastAsia"/>
          <w:b/>
          <w:bCs/>
          <w:i/>
          <w:iCs/>
          <w:kern w:val="2"/>
          <w:sz w:val="24"/>
          <w:szCs w:val="24"/>
          <w:lang w:val="en-US" w:eastAsia="zh-CN" w:bidi="ar-SA"/>
        </w:rPr>
        <w:t>preprocessing and reproducibility Assessment</w:t>
      </w:r>
    </w:p>
    <w:p w14:paraId="3A15C159">
      <w:pPr>
        <w:numPr>
          <w:ilvl w:val="0"/>
          <w:numId w:val="0"/>
        </w:numPr>
        <w:spacing w:line="48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To mitigate center effects arising from the use of multiple centers and scanners and to enhance model generalizability, the following standardized preprocessing operations were performed on all images:</w:t>
      </w:r>
    </w:p>
    <w:p w14:paraId="7C1F5FB7">
      <w:pPr>
        <w:numPr>
          <w:ilvl w:val="0"/>
          <w:numId w:val="0"/>
        </w:numPr>
        <w:spacing w:line="480" w:lineRule="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I</w:t>
      </w:r>
      <w:r>
        <w:rPr>
          <w:rFonts w:hint="default" w:ascii="Times New Roman" w:hAnsi="Times New Roman" w:cs="Times New Roman"/>
          <w:b w:val="0"/>
          <w:bCs w:val="0"/>
          <w:sz w:val="24"/>
          <w:szCs w:val="24"/>
          <w:lang w:val="en-US" w:eastAsia="zh-CN"/>
        </w:rPr>
        <w:t xml:space="preserve">mages were resampled to isotropic voxels of 1 × 1 × 1 mm³ using a B-spline interpolation algorithm. A fixed window width and level (350/50 HU) was applied, followed by gray-level discretization with a bin width of 25 </w:t>
      </w:r>
      <w:r>
        <w:rPr>
          <w:rFonts w:hint="default" w:ascii="Times New Roman" w:hAnsi="Times New Roman" w:eastAsia="宋体" w:cs="Times New Roman"/>
          <w:b w:val="0"/>
          <w:bCs w:val="0"/>
          <w:color w:val="000000"/>
          <w:sz w:val="24"/>
          <w:szCs w:val="24"/>
          <w:lang w:val="en-US" w:eastAsia="zh-CN"/>
        </w:rPr>
        <w:fldChar w:fldCharType="begin"/>
      </w:r>
      <w:r>
        <w:rPr>
          <w:rFonts w:hint="eastAsia" w:cs="Times New Roman"/>
          <w:b w:val="0"/>
          <w:bCs w:val="0"/>
          <w:color w:val="000000"/>
          <w:sz w:val="24"/>
          <w:szCs w:val="24"/>
          <w:lang w:val="en-US" w:eastAsia="zh-CN"/>
        </w:rPr>
        <w:instrText xml:space="preserve"> ADDIN NE.Ref.{4E9B0761-463B-4037-8BB8-C50DEBE595D9}</w:instrText>
      </w:r>
      <w:r>
        <w:rPr>
          <w:rFonts w:hint="default" w:ascii="Times New Roman" w:hAnsi="Times New Roman" w:eastAsia="宋体" w:cs="Times New Roman"/>
          <w:b w:val="0"/>
          <w:bCs w:val="0"/>
          <w:color w:val="000000"/>
          <w:sz w:val="24"/>
          <w:szCs w:val="24"/>
          <w:lang w:val="en-US" w:eastAsia="zh-CN"/>
        </w:rPr>
        <w:fldChar w:fldCharType="separate"/>
      </w:r>
      <w:r>
        <w:rPr>
          <w:rFonts w:hint="default" w:ascii="Times New Roman" w:hAnsi="Times New Roman" w:eastAsia="Times New Roman"/>
          <w:color w:val="080000"/>
          <w:sz w:val="24"/>
          <w:szCs w:val="24"/>
        </w:rPr>
        <w:t>[1,2]</w:t>
      </w:r>
      <w:r>
        <w:rPr>
          <w:rFonts w:hint="default" w:ascii="Times New Roman" w:hAnsi="Times New Roman" w:eastAsia="宋体" w:cs="Times New Roman"/>
          <w:b w:val="0"/>
          <w:bCs w:val="0"/>
          <w:color w:val="000000"/>
          <w:sz w:val="24"/>
          <w:szCs w:val="24"/>
          <w:lang w:val="en-US" w:eastAsia="zh-CN"/>
        </w:rPr>
        <w:fldChar w:fldCharType="end"/>
      </w:r>
      <w:r>
        <w:rPr>
          <w:rFonts w:hint="default" w:ascii="Times New Roman" w:hAnsi="Times New Roman" w:cs="Times New Roman"/>
          <w:b w:val="0"/>
          <w:bCs w:val="0"/>
          <w:sz w:val="24"/>
          <w:szCs w:val="24"/>
          <w:lang w:val="en-US" w:eastAsia="zh-CN"/>
        </w:rPr>
        <w:t>. Three filters, including Laplacian of Gaussian (LoG), Mean, and Wavelet, were used for image denoising.</w:t>
      </w:r>
    </w:p>
    <w:p w14:paraId="2B32B171">
      <w:pPr>
        <w:numPr>
          <w:ilvl w:val="0"/>
          <w:numId w:val="0"/>
        </w:numPr>
        <w:spacing w:line="480" w:lineRule="auto"/>
        <w:ind w:firstLine="420"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To assess the reproducibility of radiomic features, 50 randomly selected subjects were used for reliability analysis</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Intra-observer reliability: The first radiologist performed a second delineation after a one-month interval.</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Inter-observer reliability: A second radiologist with eight years of experience in abdominal CECT imaging performed independent delineations.</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Radiomic</w:t>
      </w: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 xml:space="preserve"> features with both intra- and inter-observer intraclass correlation coefficients (ICCs) &gt; 0.75 were retained.</w:t>
      </w:r>
    </w:p>
    <w:p w14:paraId="5E9BA316">
      <w:pPr>
        <w:numPr>
          <w:ilvl w:val="0"/>
          <w:numId w:val="0"/>
        </w:numPr>
        <w:spacing w:line="480" w:lineRule="auto"/>
        <w:ind w:firstLine="420" w:firstLineChars="0"/>
        <w:rPr>
          <w:rFonts w:hint="default" w:ascii="Times New Roman" w:hAnsi="Times New Roman" w:cs="Times New Roman"/>
          <w:b w:val="0"/>
          <w:bCs w:val="0"/>
          <w:sz w:val="24"/>
          <w:szCs w:val="24"/>
          <w:lang w:val="en-US" w:eastAsia="zh-CN"/>
        </w:rPr>
      </w:pPr>
    </w:p>
    <w:p w14:paraId="183B65C6">
      <w:pPr>
        <w:pStyle w:val="2"/>
        <w:numPr>
          <w:ilvl w:val="0"/>
          <w:numId w:val="1"/>
        </w:numPr>
        <w:bidi w:val="0"/>
        <w:rPr>
          <w:rFonts w:hint="default" w:ascii="Times New Roman" w:hAnsi="Times New Roman" w:cs="Times New Roman" w:eastAsiaTheme="minorEastAsia"/>
          <w:b/>
          <w:bCs/>
          <w:i/>
          <w:iCs/>
          <w:kern w:val="2"/>
          <w:sz w:val="24"/>
          <w:szCs w:val="24"/>
          <w:lang w:val="en-US" w:eastAsia="zh-CN" w:bidi="ar-SA"/>
        </w:rPr>
      </w:pPr>
      <w:r>
        <w:rPr>
          <w:rFonts w:hint="eastAsia" w:ascii="Times New Roman" w:hAnsi="Times New Roman" w:cs="Times New Roman" w:eastAsiaTheme="minorEastAsia"/>
          <w:b/>
          <w:bCs/>
          <w:i/>
          <w:iCs/>
          <w:kern w:val="2"/>
          <w:sz w:val="24"/>
          <w:szCs w:val="24"/>
          <w:lang w:val="en-US" w:eastAsia="zh-CN" w:bidi="ar-SA"/>
        </w:rPr>
        <w:t>A</w:t>
      </w:r>
      <w:r>
        <w:rPr>
          <w:rFonts w:hint="default" w:ascii="Times New Roman" w:hAnsi="Times New Roman" w:cs="Times New Roman" w:eastAsiaTheme="minorEastAsia"/>
          <w:b/>
          <w:bCs/>
          <w:i/>
          <w:iCs/>
          <w:kern w:val="2"/>
          <w:sz w:val="24"/>
          <w:szCs w:val="24"/>
          <w:lang w:val="en-US" w:eastAsia="zh-CN" w:bidi="ar-SA"/>
        </w:rPr>
        <w:t>rchitecture of the 3D ResNet-18 DL algorithm</w:t>
      </w:r>
    </w:p>
    <w:tbl>
      <w:tblPr>
        <w:tblStyle w:val="5"/>
        <w:tblW w:w="8649"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99"/>
        <w:gridCol w:w="5550"/>
      </w:tblGrid>
      <w:tr w14:paraId="0C11A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649" w:type="dxa"/>
            <w:gridSpan w:val="2"/>
            <w:tcBorders>
              <w:bottom w:val="single" w:color="auto" w:sz="4" w:space="0"/>
            </w:tcBorders>
            <w:shd w:val="clear" w:color="auto" w:fill="auto"/>
            <w:vAlign w:val="center"/>
          </w:tcPr>
          <w:p w14:paraId="0C11A2DE">
            <w:pPr>
              <w:widowControl w:val="0"/>
              <w:spacing w:line="240" w:lineRule="auto"/>
              <w:rPr>
                <w:rFonts w:ascii="Times New Roman" w:hAnsi="Times New Roman" w:cs="Times New Roman"/>
                <w:sz w:val="24"/>
                <w:szCs w:val="24"/>
              </w:rPr>
            </w:pPr>
            <w:r>
              <w:rPr>
                <w:rFonts w:hint="eastAsia" w:ascii="Times New Roman" w:hAnsi="Times New Roman" w:cs="Times New Roman"/>
                <w:b/>
                <w:bCs/>
                <w:sz w:val="24"/>
                <w:szCs w:val="24"/>
              </w:rPr>
              <w:t xml:space="preserve">Suppl </w:t>
            </w:r>
            <w:r>
              <w:rPr>
                <w:rFonts w:ascii="Times New Roman" w:hAnsi="Times New Roman" w:cs="Times New Roman"/>
                <w:b/>
                <w:bCs/>
                <w:sz w:val="24"/>
                <w:szCs w:val="24"/>
              </w:rPr>
              <w:t xml:space="preserve">Table 1 </w:t>
            </w:r>
            <w:r>
              <w:rPr>
                <w:rFonts w:ascii="Times New Roman" w:hAnsi="Times New Roman" w:cs="Times New Roman"/>
                <w:sz w:val="24"/>
                <w:szCs w:val="24"/>
              </w:rPr>
              <w:t xml:space="preserve">Parameter </w:t>
            </w:r>
            <w:r>
              <w:rPr>
                <w:rFonts w:hint="eastAsia" w:ascii="Times New Roman" w:hAnsi="Times New Roman" w:cs="Times New Roman"/>
                <w:sz w:val="24"/>
                <w:szCs w:val="24"/>
              </w:rPr>
              <w:t>c</w:t>
            </w:r>
            <w:r>
              <w:rPr>
                <w:rFonts w:ascii="Times New Roman" w:hAnsi="Times New Roman" w:cs="Times New Roman"/>
                <w:sz w:val="24"/>
                <w:szCs w:val="24"/>
              </w:rPr>
              <w:t xml:space="preserve">onfiguration of the 3D ResNet-18 </w:t>
            </w:r>
            <w:r>
              <w:rPr>
                <w:rFonts w:hint="eastAsia" w:ascii="Times New Roman" w:hAnsi="Times New Roman" w:cs="Times New Roman"/>
                <w:sz w:val="24"/>
                <w:szCs w:val="24"/>
              </w:rPr>
              <w:t>DL</w:t>
            </w:r>
            <w:r>
              <w:rPr>
                <w:rFonts w:ascii="Times New Roman" w:hAnsi="Times New Roman" w:cs="Times New Roman"/>
                <w:sz w:val="24"/>
                <w:szCs w:val="24"/>
              </w:rPr>
              <w:t xml:space="preserve"> </w:t>
            </w:r>
            <w:r>
              <w:rPr>
                <w:rFonts w:hint="eastAsia" w:ascii="Times New Roman" w:hAnsi="Times New Roman" w:cs="Times New Roman"/>
                <w:sz w:val="24"/>
                <w:szCs w:val="24"/>
              </w:rPr>
              <w:t>a</w:t>
            </w:r>
            <w:r>
              <w:rPr>
                <w:rFonts w:ascii="Times New Roman" w:hAnsi="Times New Roman" w:cs="Times New Roman"/>
                <w:sz w:val="24"/>
                <w:szCs w:val="24"/>
              </w:rPr>
              <w:t>lgorithm</w:t>
            </w:r>
          </w:p>
        </w:tc>
      </w:tr>
      <w:tr w14:paraId="0C11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099" w:type="dxa"/>
            <w:tcBorders>
              <w:top w:val="single" w:color="auto" w:sz="4" w:space="0"/>
              <w:bottom w:val="single" w:color="auto" w:sz="4" w:space="0"/>
            </w:tcBorders>
            <w:shd w:val="clear" w:color="auto" w:fill="auto"/>
            <w:vAlign w:val="center"/>
          </w:tcPr>
          <w:p w14:paraId="0C11A2E0">
            <w:pPr>
              <w:widowControl w:val="0"/>
              <w:spacing w:line="240" w:lineRule="auto"/>
              <w:rPr>
                <w:rFonts w:ascii="Times New Roman" w:hAnsi="Times New Roman" w:cs="Times New Roman"/>
                <w:sz w:val="24"/>
                <w:szCs w:val="24"/>
              </w:rPr>
            </w:pPr>
            <w:r>
              <w:rPr>
                <w:rFonts w:hint="eastAsia" w:ascii="Times New Roman" w:hAnsi="Times New Roman" w:cs="Times New Roman"/>
                <w:sz w:val="24"/>
                <w:szCs w:val="24"/>
                <w:lang w:val="en-US" w:eastAsia="zh-CN"/>
              </w:rPr>
              <w:t>C</w:t>
            </w:r>
            <w:r>
              <w:rPr>
                <w:rFonts w:ascii="Times New Roman" w:hAnsi="Times New Roman" w:cs="Times New Roman"/>
                <w:sz w:val="24"/>
                <w:szCs w:val="24"/>
              </w:rPr>
              <w:t>ategory</w:t>
            </w:r>
          </w:p>
        </w:tc>
        <w:tc>
          <w:tcPr>
            <w:tcW w:w="5550" w:type="dxa"/>
            <w:tcBorders>
              <w:top w:val="single" w:color="auto" w:sz="4" w:space="0"/>
              <w:bottom w:val="single" w:color="auto" w:sz="4" w:space="0"/>
            </w:tcBorders>
            <w:shd w:val="clear" w:color="auto" w:fill="auto"/>
            <w:vAlign w:val="center"/>
          </w:tcPr>
          <w:p w14:paraId="0C11A2E1">
            <w:pPr>
              <w:widowControl w:val="0"/>
              <w:spacing w:line="240" w:lineRule="auto"/>
              <w:rPr>
                <w:rFonts w:ascii="Times New Roman" w:hAnsi="Times New Roman" w:cs="Times New Roman"/>
                <w:sz w:val="24"/>
                <w:szCs w:val="24"/>
              </w:rPr>
            </w:pPr>
            <w:r>
              <w:rPr>
                <w:rFonts w:hint="eastAsia" w:ascii="Times New Roman" w:hAnsi="Times New Roman" w:cs="Times New Roman"/>
                <w:sz w:val="24"/>
                <w:szCs w:val="24"/>
                <w:lang w:val="en-US" w:eastAsia="zh-CN"/>
              </w:rPr>
              <w:t>P</w:t>
            </w:r>
            <w:r>
              <w:rPr>
                <w:rFonts w:ascii="Times New Roman" w:hAnsi="Times New Roman" w:cs="Times New Roman"/>
                <w:sz w:val="24"/>
                <w:szCs w:val="24"/>
              </w:rPr>
              <w:t>arameters</w:t>
            </w:r>
          </w:p>
        </w:tc>
      </w:tr>
      <w:tr w14:paraId="0C11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9" w:type="dxa"/>
            <w:tcBorders>
              <w:top w:val="single" w:color="auto" w:sz="4" w:space="0"/>
            </w:tcBorders>
            <w:vAlign w:val="center"/>
          </w:tcPr>
          <w:p w14:paraId="0C11A2E3">
            <w:pPr>
              <w:widowControl w:val="0"/>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Data </w:t>
            </w:r>
            <w:r>
              <w:rPr>
                <w:rFonts w:hint="eastAsia" w:ascii="Times New Roman" w:hAnsi="Times New Roman" w:cs="Times New Roman"/>
                <w:sz w:val="24"/>
                <w:szCs w:val="24"/>
                <w:lang w:val="en-US" w:eastAsia="zh-CN"/>
              </w:rPr>
              <w:t>p</w:t>
            </w:r>
            <w:r>
              <w:rPr>
                <w:rFonts w:ascii="Times New Roman" w:hAnsi="Times New Roman" w:cs="Times New Roman"/>
                <w:sz w:val="24"/>
                <w:szCs w:val="24"/>
              </w:rPr>
              <w:t>reprocessing</w:t>
            </w:r>
          </w:p>
        </w:tc>
        <w:tc>
          <w:tcPr>
            <w:tcW w:w="5550" w:type="dxa"/>
            <w:tcBorders>
              <w:top w:val="single" w:color="auto" w:sz="4" w:space="0"/>
            </w:tcBorders>
            <w:vAlign w:val="center"/>
          </w:tcPr>
          <w:p w14:paraId="0C11A2E4">
            <w:pPr>
              <w:widowControl w:val="0"/>
              <w:spacing w:line="240" w:lineRule="auto"/>
              <w:rPr>
                <w:rFonts w:ascii="Times New Roman" w:hAnsi="Times New Roman" w:cs="Times New Roman"/>
                <w:sz w:val="24"/>
                <w:szCs w:val="24"/>
              </w:rPr>
            </w:pPr>
            <w:r>
              <w:rPr>
                <w:rFonts w:ascii="Times New Roman" w:hAnsi="Times New Roman" w:cs="Times New Roman"/>
                <w:sz w:val="24"/>
                <w:szCs w:val="24"/>
              </w:rPr>
              <w:t>Fixed normalizer: mean = 50, standard deviation = 350</w:t>
            </w:r>
          </w:p>
          <w:p w14:paraId="0C11A2E5">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Balanced sampling = true</w:t>
            </w:r>
            <w:r>
              <w:rPr>
                <w:rFonts w:hint="eastAsia" w:ascii="Times New Roman" w:hAnsi="Times New Roman" w:cs="Times New Roman"/>
                <w:sz w:val="24"/>
                <w:szCs w:val="24"/>
                <w:lang w:val="en-US" w:eastAsia="zh-CN"/>
              </w:rPr>
              <w:t>;</w:t>
            </w:r>
          </w:p>
          <w:p w14:paraId="0C11A2E6">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Voxel spacing = {1.0, 1.0, 1.0}</w:t>
            </w:r>
            <w:r>
              <w:rPr>
                <w:rFonts w:hint="eastAsia" w:ascii="Times New Roman" w:hAnsi="Times New Roman" w:cs="Times New Roman"/>
                <w:sz w:val="24"/>
                <w:szCs w:val="24"/>
                <w:lang w:val="en-US" w:eastAsia="zh-CN"/>
              </w:rPr>
              <w:t>;</w:t>
            </w:r>
          </w:p>
          <w:p w14:paraId="0C11A2E7">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Cropping size = {64, 64, 64}</w:t>
            </w:r>
            <w:r>
              <w:rPr>
                <w:rFonts w:hint="eastAsia" w:ascii="Times New Roman" w:hAnsi="Times New Roman" w:cs="Times New Roman"/>
                <w:sz w:val="24"/>
                <w:szCs w:val="24"/>
                <w:lang w:val="en-US" w:eastAsia="zh-CN"/>
              </w:rPr>
              <w:t>;</w:t>
            </w:r>
          </w:p>
          <w:p w14:paraId="0C11A2E8">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Random central cropping range = {5, 5, 5}</w:t>
            </w:r>
            <w:r>
              <w:rPr>
                <w:rFonts w:hint="eastAsia" w:ascii="Times New Roman" w:hAnsi="Times New Roman" w:cs="Times New Roman"/>
                <w:sz w:val="24"/>
                <w:szCs w:val="24"/>
                <w:lang w:val="en-US" w:eastAsia="zh-CN"/>
              </w:rPr>
              <w:t>;</w:t>
            </w:r>
          </w:p>
          <w:p w14:paraId="0C11A2E9">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Data augmentation = true</w:t>
            </w:r>
            <w:r>
              <w:rPr>
                <w:rFonts w:hint="eastAsia" w:ascii="Times New Roman" w:hAnsi="Times New Roman" w:cs="Times New Roman"/>
                <w:sz w:val="24"/>
                <w:szCs w:val="24"/>
                <w:lang w:val="en-US" w:eastAsia="zh-CN"/>
              </w:rPr>
              <w:t>.</w:t>
            </w:r>
          </w:p>
        </w:tc>
      </w:tr>
      <w:tr w14:paraId="0C11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9" w:type="dxa"/>
            <w:vAlign w:val="center"/>
          </w:tcPr>
          <w:p w14:paraId="0C11A2EB">
            <w:pPr>
              <w:widowControl w:val="0"/>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Network </w:t>
            </w:r>
            <w:r>
              <w:rPr>
                <w:rFonts w:hint="eastAsia" w:ascii="Times New Roman" w:hAnsi="Times New Roman" w:cs="Times New Roman"/>
                <w:sz w:val="24"/>
                <w:szCs w:val="24"/>
                <w:lang w:val="en-US" w:eastAsia="zh-CN"/>
              </w:rPr>
              <w:t>a</w:t>
            </w:r>
            <w:r>
              <w:rPr>
                <w:rFonts w:ascii="Times New Roman" w:hAnsi="Times New Roman" w:cs="Times New Roman"/>
                <w:sz w:val="24"/>
                <w:szCs w:val="24"/>
              </w:rPr>
              <w:t xml:space="preserve">rchitecture and </w:t>
            </w:r>
            <w:r>
              <w:rPr>
                <w:rFonts w:hint="eastAsia" w:ascii="Times New Roman" w:hAnsi="Times New Roman" w:cs="Times New Roman"/>
                <w:sz w:val="24"/>
                <w:szCs w:val="24"/>
                <w:lang w:val="en-US" w:eastAsia="zh-CN"/>
              </w:rPr>
              <w:t>t</w:t>
            </w:r>
            <w:r>
              <w:rPr>
                <w:rFonts w:ascii="Times New Roman" w:hAnsi="Times New Roman" w:cs="Times New Roman"/>
                <w:sz w:val="24"/>
                <w:szCs w:val="24"/>
              </w:rPr>
              <w:t>raining</w:t>
            </w:r>
          </w:p>
        </w:tc>
        <w:tc>
          <w:tcPr>
            <w:tcW w:w="5550" w:type="dxa"/>
            <w:vAlign w:val="center"/>
          </w:tcPr>
          <w:p w14:paraId="0C11A2EC">
            <w:pPr>
              <w:widowControl w:val="0"/>
              <w:spacing w:line="240" w:lineRule="auto"/>
              <w:rPr>
                <w:rFonts w:ascii="Times New Roman" w:hAnsi="Times New Roman" w:cs="Times New Roman"/>
                <w:sz w:val="24"/>
                <w:szCs w:val="24"/>
              </w:rPr>
            </w:pPr>
            <w:r>
              <w:rPr>
                <w:rFonts w:hint="eastAsia" w:ascii="Times New Roman" w:hAnsi="Times New Roman" w:cs="Times New Roman"/>
                <w:sz w:val="24"/>
                <w:szCs w:val="24"/>
              </w:rPr>
              <w:t>T</w:t>
            </w:r>
            <w:r>
              <w:rPr>
                <w:rFonts w:ascii="Times New Roman" w:hAnsi="Times New Roman" w:cs="Times New Roman"/>
                <w:sz w:val="24"/>
                <w:szCs w:val="24"/>
              </w:rPr>
              <w:t xml:space="preserve">raining iterations = </w:t>
            </w:r>
            <w:r>
              <w:rPr>
                <w:rFonts w:hint="eastAsia" w:ascii="Times New Roman" w:hAnsi="Times New Roman" w:cs="Times New Roman"/>
                <w:sz w:val="24"/>
                <w:szCs w:val="24"/>
                <w:lang w:val="en-US" w:eastAsia="zh-CN"/>
              </w:rPr>
              <w:t>500</w:t>
            </w:r>
            <w:r>
              <w:rPr>
                <w:rFonts w:ascii="Times New Roman" w:hAnsi="Times New Roman" w:cs="Times New Roman"/>
                <w:sz w:val="24"/>
                <w:szCs w:val="24"/>
              </w:rPr>
              <w:t>;</w:t>
            </w:r>
          </w:p>
          <w:p w14:paraId="0C11A2ED">
            <w:pPr>
              <w:widowControl w:val="0"/>
              <w:spacing w:line="240" w:lineRule="auto"/>
              <w:rPr>
                <w:rFonts w:ascii="Times New Roman" w:hAnsi="Times New Roman" w:cs="Times New Roman"/>
                <w:sz w:val="24"/>
                <w:szCs w:val="24"/>
              </w:rPr>
            </w:pPr>
            <w:r>
              <w:rPr>
                <w:rFonts w:ascii="Times New Roman" w:hAnsi="Times New Roman" w:cs="Times New Roman"/>
                <w:sz w:val="24"/>
                <w:szCs w:val="24"/>
              </w:rPr>
              <w:t>Batch size = 8;</w:t>
            </w:r>
          </w:p>
          <w:p w14:paraId="0C11A2EE">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IO threads = 4</w:t>
            </w:r>
            <w:r>
              <w:rPr>
                <w:rFonts w:hint="eastAsia" w:ascii="Times New Roman" w:hAnsi="Times New Roman" w:cs="Times New Roman"/>
                <w:sz w:val="24"/>
                <w:szCs w:val="24"/>
                <w:lang w:val="en-US" w:eastAsia="zh-CN"/>
              </w:rPr>
              <w:t>;</w:t>
            </w:r>
          </w:p>
          <w:p w14:paraId="0C11A2EF">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Initial learning rate = 0.0001;</w:t>
            </w:r>
          </w:p>
          <w:p w14:paraId="0C11A2F0">
            <w:pPr>
              <w:widowControl w:val="0"/>
              <w:spacing w:line="240" w:lineRule="auto"/>
              <w:rPr>
                <w:rFonts w:ascii="Times New Roman" w:hAnsi="Times New Roman" w:cs="Times New Roman"/>
                <w:sz w:val="24"/>
                <w:szCs w:val="24"/>
              </w:rPr>
            </w:pPr>
            <w:r>
              <w:rPr>
                <w:rFonts w:ascii="Times New Roman" w:hAnsi="Times New Roman" w:cs="Times New Roman"/>
                <w:sz w:val="24"/>
                <w:szCs w:val="24"/>
              </w:rPr>
              <w:t>Loss curve update frequency = 100;</w:t>
            </w:r>
          </w:p>
          <w:p w14:paraId="0C11A2F1">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Model saving frequency = 50</w:t>
            </w:r>
            <w:r>
              <w:rPr>
                <w:rFonts w:hint="eastAsia" w:ascii="Times New Roman" w:hAnsi="Times New Roman" w:cs="Times New Roman"/>
                <w:sz w:val="24"/>
                <w:szCs w:val="24"/>
                <w:lang w:val="en-US" w:eastAsia="zh-CN"/>
              </w:rPr>
              <w:t>;</w:t>
            </w:r>
          </w:p>
          <w:p w14:paraId="0C11A2F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Learning rate update strategy: step size = </w:t>
            </w:r>
            <w:r>
              <w:rPr>
                <w:rFonts w:hint="eastAsia" w:ascii="Times New Roman" w:hAnsi="Times New Roman" w:cs="Times New Roman"/>
                <w:sz w:val="24"/>
                <w:szCs w:val="24"/>
                <w:lang w:val="en-US" w:eastAsia="zh-CN"/>
              </w:rPr>
              <w:t>100</w:t>
            </w:r>
            <w:r>
              <w:rPr>
                <w:rFonts w:ascii="Times New Roman" w:hAnsi="Times New Roman" w:cs="Times New Roman"/>
                <w:sz w:val="24"/>
                <w:szCs w:val="24"/>
              </w:rPr>
              <w:t>, gamma = 0.1;</w:t>
            </w:r>
          </w:p>
          <w:p w14:paraId="0C11A2F3">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Final cycle count = -1</w:t>
            </w:r>
            <w:r>
              <w:rPr>
                <w:rFonts w:hint="eastAsia" w:ascii="Times New Roman" w:hAnsi="Times New Roman" w:cs="Times New Roman"/>
                <w:sz w:val="24"/>
                <w:szCs w:val="24"/>
                <w:lang w:val="en-US" w:eastAsia="zh-CN"/>
              </w:rPr>
              <w:t>.</w:t>
            </w:r>
          </w:p>
        </w:tc>
      </w:tr>
      <w:tr w14:paraId="0C11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9" w:type="dxa"/>
            <w:tcBorders>
              <w:bottom w:val="single" w:color="auto" w:sz="4" w:space="0"/>
            </w:tcBorders>
            <w:vAlign w:val="center"/>
          </w:tcPr>
          <w:p w14:paraId="0C11A2F5">
            <w:pPr>
              <w:widowControl w:val="0"/>
              <w:spacing w:line="240" w:lineRule="auto"/>
              <w:jc w:val="left"/>
              <w:rPr>
                <w:rFonts w:ascii="Times New Roman" w:hAnsi="Times New Roman" w:cs="Times New Roman"/>
                <w:sz w:val="24"/>
                <w:szCs w:val="24"/>
              </w:rPr>
            </w:pPr>
            <w:r>
              <w:rPr>
                <w:rFonts w:ascii="Times New Roman" w:hAnsi="Times New Roman" w:cs="Times New Roman"/>
                <w:sz w:val="24"/>
                <w:szCs w:val="24"/>
              </w:rPr>
              <w:t xml:space="preserve">Loss </w:t>
            </w:r>
            <w:r>
              <w:rPr>
                <w:rFonts w:hint="eastAsia" w:ascii="Times New Roman" w:hAnsi="Times New Roman" w:cs="Times New Roman"/>
                <w:sz w:val="24"/>
                <w:szCs w:val="24"/>
                <w:lang w:val="en-US" w:eastAsia="zh-CN"/>
              </w:rPr>
              <w:t>f</w:t>
            </w:r>
            <w:r>
              <w:rPr>
                <w:rFonts w:ascii="Times New Roman" w:hAnsi="Times New Roman" w:cs="Times New Roman"/>
                <w:sz w:val="24"/>
                <w:szCs w:val="24"/>
              </w:rPr>
              <w:t xml:space="preserve">unction and </w:t>
            </w:r>
            <w:r>
              <w:rPr>
                <w:rFonts w:hint="eastAsia" w:ascii="Times New Roman" w:hAnsi="Times New Roman" w:cs="Times New Roman"/>
                <w:sz w:val="24"/>
                <w:szCs w:val="24"/>
                <w:lang w:val="en-US" w:eastAsia="zh-CN"/>
              </w:rPr>
              <w:t>o</w:t>
            </w:r>
            <w:r>
              <w:rPr>
                <w:rFonts w:ascii="Times New Roman" w:hAnsi="Times New Roman" w:cs="Times New Roman"/>
                <w:sz w:val="24"/>
                <w:szCs w:val="24"/>
              </w:rPr>
              <w:t>ptimizer</w:t>
            </w:r>
          </w:p>
        </w:tc>
        <w:tc>
          <w:tcPr>
            <w:tcW w:w="5550" w:type="dxa"/>
            <w:tcBorders>
              <w:bottom w:val="single" w:color="auto" w:sz="4" w:space="0"/>
            </w:tcBorders>
            <w:vAlign w:val="center"/>
          </w:tcPr>
          <w:p w14:paraId="0C11A2F6">
            <w:pPr>
              <w:widowControl w:val="0"/>
              <w:spacing w:line="240" w:lineRule="auto"/>
              <w:rPr>
                <w:rFonts w:ascii="Times New Roman" w:hAnsi="Times New Roman" w:cs="Times New Roman"/>
                <w:sz w:val="24"/>
                <w:szCs w:val="24"/>
              </w:rPr>
            </w:pPr>
            <w:r>
              <w:rPr>
                <w:rFonts w:ascii="Times New Roman" w:hAnsi="Times New Roman" w:cs="Times New Roman"/>
                <w:sz w:val="24"/>
                <w:szCs w:val="24"/>
              </w:rPr>
              <w:t>Loss function type = focal loss</w:t>
            </w:r>
            <w:r>
              <w:rPr>
                <w:rFonts w:ascii="Times New Roman" w:hAnsi="Times New Roman" w:cs="Times New Roman"/>
                <w:sz w:val="24"/>
                <w:szCs w:val="24"/>
              </w:rPr>
              <w:fldChar w:fldCharType="begin"/>
            </w:r>
            <w:r>
              <w:rPr>
                <w:rFonts w:hint="eastAsia" w:ascii="Times New Roman" w:hAnsi="Times New Roman" w:cs="Times New Roman"/>
                <w:sz w:val="24"/>
                <w:szCs w:val="24"/>
                <w:lang w:eastAsia="zh-CN"/>
              </w:rPr>
              <w:instrText xml:space="preserve"> ADDIN NE.Ref.{648552F4-5500-4E1A-86AC-37AD8080A050}</w:instrText>
            </w:r>
            <w:r>
              <w:rPr>
                <w:rFonts w:ascii="Times New Roman" w:hAnsi="Times New Roman" w:cs="Times New Roman"/>
                <w:sz w:val="24"/>
                <w:szCs w:val="24"/>
              </w:rPr>
              <w:fldChar w:fldCharType="separate"/>
            </w:r>
            <w:r>
              <w:rPr>
                <w:rFonts w:hint="default" w:ascii="Times New Roman" w:hAnsi="Times New Roman" w:eastAsia="Times New Roman"/>
                <w:color w:val="080000"/>
                <w:sz w:val="24"/>
                <w:szCs w:val="24"/>
              </w:rPr>
              <w:t>[3]</w:t>
            </w:r>
            <w:r>
              <w:rPr>
                <w:rFonts w:ascii="Times New Roman" w:hAnsi="Times New Roman" w:cs="Times New Roman"/>
                <w:sz w:val="24"/>
                <w:szCs w:val="24"/>
              </w:rPr>
              <w:fldChar w:fldCharType="end"/>
            </w:r>
            <w:r>
              <w:rPr>
                <w:rFonts w:hint="eastAsia" w:ascii="Times New Roman" w:hAnsi="Times New Roman" w:cs="Times New Roman"/>
                <w:sz w:val="24"/>
                <w:szCs w:val="24"/>
              </w:rPr>
              <w:t>;</w:t>
            </w:r>
          </w:p>
          <w:p w14:paraId="0C11A2F7">
            <w:pPr>
              <w:widowControl w:val="0"/>
              <w:spacing w:line="240" w:lineRule="auto"/>
              <w:rPr>
                <w:rFonts w:ascii="Times New Roman" w:hAnsi="Times New Roman" w:cs="Times New Roman"/>
                <w:sz w:val="24"/>
                <w:szCs w:val="24"/>
              </w:rPr>
            </w:pPr>
            <w:r>
              <w:rPr>
                <w:rFonts w:ascii="Times New Roman" w:hAnsi="Times New Roman" w:cs="Times New Roman"/>
                <w:sz w:val="24"/>
                <w:szCs w:val="24"/>
              </w:rPr>
              <w:t>Gamma = 2;</w:t>
            </w:r>
          </w:p>
          <w:p w14:paraId="0C11A2F8">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Optimizer </w:t>
            </w:r>
            <w:r>
              <w:rPr>
                <w:rFonts w:hint="eastAsia" w:ascii="Times New Roman" w:hAnsi="Times New Roman" w:cs="Times New Roman"/>
                <w:sz w:val="24"/>
                <w:szCs w:val="24"/>
              </w:rPr>
              <w:t>T</w:t>
            </w:r>
            <w:r>
              <w:rPr>
                <w:rFonts w:ascii="Times New Roman" w:hAnsi="Times New Roman" w:cs="Times New Roman"/>
                <w:sz w:val="24"/>
                <w:szCs w:val="24"/>
              </w:rPr>
              <w:t>ype = Adam;</w:t>
            </w:r>
          </w:p>
          <w:p w14:paraId="0C11A2F9">
            <w:pPr>
              <w:widowControl w:val="0"/>
              <w:spacing w:line="240" w:lineRule="auto"/>
              <w:rPr>
                <w:rFonts w:hint="eastAsia" w:ascii="Times New Roman" w:hAnsi="Times New Roman" w:cs="Times New Roman" w:eastAsiaTheme="minorEastAsia"/>
                <w:sz w:val="24"/>
                <w:szCs w:val="24"/>
                <w:lang w:val="en-US" w:eastAsia="zh-CN"/>
              </w:rPr>
            </w:pPr>
            <w:r>
              <w:rPr>
                <w:rFonts w:ascii="Times New Roman" w:hAnsi="Times New Roman" w:cs="Times New Roman"/>
                <w:sz w:val="24"/>
                <w:szCs w:val="24"/>
              </w:rPr>
              <w:t xml:space="preserve">Adam </w:t>
            </w:r>
            <w:r>
              <w:rPr>
                <w:rFonts w:hint="eastAsia" w:ascii="Times New Roman" w:hAnsi="Times New Roman" w:cs="Times New Roman"/>
                <w:sz w:val="24"/>
                <w:szCs w:val="24"/>
              </w:rPr>
              <w:t>O</w:t>
            </w:r>
            <w:r>
              <w:rPr>
                <w:rFonts w:ascii="Times New Roman" w:hAnsi="Times New Roman" w:cs="Times New Roman"/>
                <w:sz w:val="24"/>
                <w:szCs w:val="24"/>
              </w:rPr>
              <w:t>ptimizer Betas = (0.9, 0.999)</w:t>
            </w:r>
            <w:r>
              <w:rPr>
                <w:rFonts w:hint="eastAsia" w:ascii="Times New Roman" w:hAnsi="Times New Roman" w:cs="Times New Roman"/>
                <w:sz w:val="24"/>
                <w:szCs w:val="24"/>
                <w:lang w:val="en-US" w:eastAsia="zh-CN"/>
              </w:rPr>
              <w:t>.</w:t>
            </w:r>
          </w:p>
        </w:tc>
      </w:tr>
    </w:tbl>
    <w:p w14:paraId="6AE1A043">
      <w:pPr>
        <w:numPr>
          <w:ilvl w:val="0"/>
          <w:numId w:val="0"/>
        </w:numPr>
        <w:spacing w:line="480" w:lineRule="auto"/>
        <w:rPr>
          <w:rFonts w:hint="default" w:ascii="Times New Roman" w:hAnsi="Times New Roman" w:cs="Times New Roman"/>
          <w:b w:val="0"/>
          <w:bCs w:val="0"/>
          <w:sz w:val="24"/>
          <w:szCs w:val="24"/>
          <w:lang w:val="en-US" w:eastAsia="zh-CN"/>
        </w:rPr>
      </w:pPr>
    </w:p>
    <w:p w14:paraId="1A8F5C99">
      <w:pPr>
        <w:numPr>
          <w:ilvl w:val="0"/>
          <w:numId w:val="1"/>
        </w:numPr>
        <w:spacing w:line="480" w:lineRule="auto"/>
        <w:ind w:left="0" w:leftChars="0" w:firstLine="0" w:firstLineChars="0"/>
        <w:rPr>
          <w:rFonts w:hint="default" w:ascii="Times New Roman" w:hAnsi="Times New Roman" w:cs="Times New Roman" w:eastAsiaTheme="minorEastAsia"/>
          <w:b/>
          <w:bCs/>
          <w:i/>
          <w:iCs/>
          <w:kern w:val="2"/>
          <w:sz w:val="24"/>
          <w:szCs w:val="24"/>
          <w:lang w:val="en-US" w:eastAsia="zh-CN" w:bidi="ar-SA"/>
        </w:rPr>
      </w:pPr>
      <w:r>
        <w:rPr>
          <w:rFonts w:hint="eastAsia" w:ascii="Times New Roman" w:hAnsi="Times New Roman" w:cs="Times New Roman" w:eastAsiaTheme="minorEastAsia"/>
          <w:b/>
          <w:bCs/>
          <w:i/>
          <w:iCs/>
          <w:kern w:val="2"/>
          <w:sz w:val="24"/>
          <w:szCs w:val="24"/>
          <w:lang w:val="en-US" w:eastAsia="zh-CN" w:bidi="ar-SA"/>
        </w:rPr>
        <w:t>Radiomics f</w:t>
      </w:r>
      <w:r>
        <w:rPr>
          <w:rFonts w:hint="default" w:ascii="Times New Roman" w:hAnsi="Times New Roman" w:cs="Times New Roman" w:eastAsiaTheme="minorEastAsia"/>
          <w:b/>
          <w:bCs/>
          <w:i/>
          <w:iCs/>
          <w:kern w:val="2"/>
          <w:sz w:val="24"/>
          <w:szCs w:val="24"/>
          <w:lang w:val="en-US" w:eastAsia="zh-CN" w:bidi="ar-SA"/>
        </w:rPr>
        <w:t>eature</w:t>
      </w:r>
      <w:r>
        <w:rPr>
          <w:rFonts w:hint="eastAsia" w:ascii="Times New Roman" w:hAnsi="Times New Roman" w:cs="Times New Roman" w:eastAsiaTheme="minorEastAsia"/>
          <w:b/>
          <w:bCs/>
          <w:i/>
          <w:iCs/>
          <w:kern w:val="2"/>
          <w:sz w:val="24"/>
          <w:szCs w:val="24"/>
          <w:lang w:val="en-US" w:eastAsia="zh-CN" w:bidi="ar-SA"/>
        </w:rPr>
        <w:t>s</w:t>
      </w:r>
      <w:r>
        <w:rPr>
          <w:rFonts w:hint="default" w:ascii="Times New Roman" w:hAnsi="Times New Roman" w:cs="Times New Roman" w:eastAsiaTheme="minorEastAsia"/>
          <w:b/>
          <w:bCs/>
          <w:i/>
          <w:iCs/>
          <w:kern w:val="2"/>
          <w:sz w:val="24"/>
          <w:szCs w:val="24"/>
          <w:lang w:val="en-US" w:eastAsia="zh-CN" w:bidi="ar-SA"/>
        </w:rPr>
        <w:t xml:space="preserve"> </w:t>
      </w:r>
      <w:r>
        <w:rPr>
          <w:rFonts w:hint="eastAsia" w:ascii="Times New Roman" w:hAnsi="Times New Roman" w:cs="Times New Roman" w:eastAsiaTheme="minorEastAsia"/>
          <w:b/>
          <w:bCs/>
          <w:i/>
          <w:iCs/>
          <w:kern w:val="2"/>
          <w:sz w:val="24"/>
          <w:szCs w:val="24"/>
          <w:lang w:val="en-US" w:eastAsia="zh-CN" w:bidi="ar-SA"/>
        </w:rPr>
        <w:t>e</w:t>
      </w:r>
      <w:r>
        <w:rPr>
          <w:rFonts w:hint="default" w:ascii="Times New Roman" w:hAnsi="Times New Roman" w:cs="Times New Roman" w:eastAsiaTheme="minorEastAsia"/>
          <w:b/>
          <w:bCs/>
          <w:i/>
          <w:iCs/>
          <w:kern w:val="2"/>
          <w:sz w:val="24"/>
          <w:szCs w:val="24"/>
          <w:lang w:val="en-US" w:eastAsia="zh-CN" w:bidi="ar-SA"/>
        </w:rPr>
        <w:t xml:space="preserve">xtraction and </w:t>
      </w:r>
      <w:r>
        <w:rPr>
          <w:rFonts w:hint="eastAsia" w:ascii="Times New Roman" w:hAnsi="Times New Roman" w:cs="Times New Roman" w:eastAsiaTheme="minorEastAsia"/>
          <w:b/>
          <w:bCs/>
          <w:i/>
          <w:iCs/>
          <w:kern w:val="2"/>
          <w:sz w:val="24"/>
          <w:szCs w:val="24"/>
          <w:lang w:val="en-US" w:eastAsia="zh-CN" w:bidi="ar-SA"/>
        </w:rPr>
        <w:t>f</w:t>
      </w:r>
      <w:r>
        <w:rPr>
          <w:rFonts w:hint="default" w:ascii="Times New Roman" w:hAnsi="Times New Roman" w:cs="Times New Roman" w:eastAsiaTheme="minorEastAsia"/>
          <w:b/>
          <w:bCs/>
          <w:i/>
          <w:iCs/>
          <w:kern w:val="2"/>
          <w:sz w:val="24"/>
          <w:szCs w:val="24"/>
          <w:lang w:val="en-US" w:eastAsia="zh-CN" w:bidi="ar-SA"/>
        </w:rPr>
        <w:t xml:space="preserve">iltering </w:t>
      </w:r>
      <w:r>
        <w:rPr>
          <w:rFonts w:hint="eastAsia" w:ascii="Times New Roman" w:hAnsi="Times New Roman" w:cs="Times New Roman" w:eastAsiaTheme="minorEastAsia"/>
          <w:b/>
          <w:bCs/>
          <w:i/>
          <w:iCs/>
          <w:kern w:val="2"/>
          <w:sz w:val="24"/>
          <w:szCs w:val="24"/>
          <w:lang w:val="en-US" w:eastAsia="zh-CN" w:bidi="ar-SA"/>
        </w:rPr>
        <w:t>r</w:t>
      </w:r>
      <w:r>
        <w:rPr>
          <w:rFonts w:hint="default" w:ascii="Times New Roman" w:hAnsi="Times New Roman" w:cs="Times New Roman" w:eastAsiaTheme="minorEastAsia"/>
          <w:b/>
          <w:bCs/>
          <w:i/>
          <w:iCs/>
          <w:kern w:val="2"/>
          <w:sz w:val="24"/>
          <w:szCs w:val="24"/>
          <w:lang w:val="en-US" w:eastAsia="zh-CN" w:bidi="ar-SA"/>
        </w:rPr>
        <w:t>esults</w:t>
      </w:r>
    </w:p>
    <w:tbl>
      <w:tblPr>
        <w:tblStyle w:val="5"/>
        <w:tblW w:w="865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2"/>
        <w:gridCol w:w="2108"/>
        <w:gridCol w:w="1327"/>
        <w:gridCol w:w="1613"/>
        <w:gridCol w:w="1740"/>
      </w:tblGrid>
      <w:tr w14:paraId="0C11A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650" w:type="dxa"/>
            <w:gridSpan w:val="5"/>
            <w:tcBorders>
              <w:bottom w:val="single" w:color="000000" w:sz="4" w:space="0"/>
            </w:tcBorders>
            <w:shd w:val="clear" w:color="auto" w:fill="auto"/>
            <w:vAlign w:val="center"/>
          </w:tcPr>
          <w:p w14:paraId="0C11A2FE">
            <w:pPr>
              <w:widowControl w:val="0"/>
              <w:spacing w:line="240" w:lineRule="auto"/>
              <w:rPr>
                <w:rFonts w:ascii="Times New Roman" w:hAnsi="Times New Roman" w:cs="Times New Roman"/>
                <w:sz w:val="24"/>
                <w:szCs w:val="24"/>
              </w:rPr>
            </w:pPr>
            <w:r>
              <w:rPr>
                <w:rFonts w:hint="eastAsia" w:ascii="Times New Roman" w:hAnsi="Times New Roman" w:cs="Times New Roman"/>
                <w:b/>
                <w:bCs/>
                <w:sz w:val="24"/>
                <w:szCs w:val="24"/>
              </w:rPr>
              <w:t>Suppl Table</w:t>
            </w:r>
            <w:r>
              <w:rPr>
                <w:rFonts w:hint="eastAsia" w:ascii="Times New Roman" w:hAnsi="Times New Roman" w:cs="Times New Roman"/>
                <w:b/>
                <w:bCs/>
                <w:sz w:val="24"/>
                <w:szCs w:val="24"/>
                <w:lang w:val="en-US" w:eastAsia="zh-CN"/>
              </w:rPr>
              <w:t xml:space="preserve"> 2</w:t>
            </w:r>
            <w:r>
              <w:rPr>
                <w:rFonts w:ascii="Times New Roman" w:hAnsi="Times New Roman" w:cs="Times New Roman"/>
                <w:sz w:val="24"/>
                <w:szCs w:val="24"/>
              </w:rPr>
              <w:t xml:space="preserve"> Categories and </w:t>
            </w:r>
            <w:r>
              <w:rPr>
                <w:rFonts w:hint="eastAsia" w:ascii="Times New Roman" w:hAnsi="Times New Roman" w:cs="Times New Roman"/>
                <w:sz w:val="24"/>
                <w:szCs w:val="24"/>
              </w:rPr>
              <w:t>q</w:t>
            </w:r>
            <w:r>
              <w:rPr>
                <w:rFonts w:ascii="Times New Roman" w:hAnsi="Times New Roman" w:cs="Times New Roman"/>
                <w:sz w:val="24"/>
                <w:szCs w:val="24"/>
              </w:rPr>
              <w:t>uantity of radiomic</w:t>
            </w:r>
            <w:r>
              <w:rPr>
                <w:rFonts w:hint="eastAsia" w:ascii="Times New Roman" w:hAnsi="Times New Roman" w:cs="Times New Roman"/>
                <w:sz w:val="24"/>
                <w:szCs w:val="24"/>
                <w:lang w:val="en-US" w:eastAsia="zh-CN"/>
              </w:rPr>
              <w:t>s</w:t>
            </w:r>
            <w:r>
              <w:rPr>
                <w:rFonts w:ascii="Times New Roman" w:hAnsi="Times New Roman" w:cs="Times New Roman"/>
                <w:sz w:val="24"/>
                <w:szCs w:val="24"/>
              </w:rPr>
              <w:t xml:space="preserve"> </w:t>
            </w:r>
            <w:r>
              <w:rPr>
                <w:rFonts w:hint="eastAsia" w:ascii="Times New Roman" w:hAnsi="Times New Roman" w:cs="Times New Roman"/>
                <w:sz w:val="24"/>
                <w:szCs w:val="24"/>
              </w:rPr>
              <w:t>f</w:t>
            </w:r>
            <w:r>
              <w:rPr>
                <w:rFonts w:ascii="Times New Roman" w:hAnsi="Times New Roman" w:cs="Times New Roman"/>
                <w:sz w:val="24"/>
                <w:szCs w:val="24"/>
              </w:rPr>
              <w:t>eatures</w:t>
            </w:r>
          </w:p>
        </w:tc>
      </w:tr>
      <w:tr w14:paraId="0C11A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862" w:type="dxa"/>
            <w:tcBorders>
              <w:top w:val="single" w:color="000000" w:sz="4" w:space="0"/>
              <w:bottom w:val="single" w:color="000000" w:sz="4" w:space="0"/>
            </w:tcBorders>
            <w:vAlign w:val="center"/>
          </w:tcPr>
          <w:p w14:paraId="0C11A300">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Feature </w:t>
            </w:r>
            <w:r>
              <w:rPr>
                <w:rFonts w:hint="eastAsia" w:ascii="Times New Roman" w:hAnsi="Times New Roman" w:cs="Times New Roman"/>
                <w:sz w:val="24"/>
                <w:szCs w:val="24"/>
                <w:lang w:val="en-US" w:eastAsia="zh-CN"/>
              </w:rPr>
              <w:t>c</w:t>
            </w:r>
            <w:r>
              <w:rPr>
                <w:rFonts w:hint="eastAsia" w:ascii="Times New Roman" w:hAnsi="Times New Roman" w:cs="Times New Roman"/>
                <w:sz w:val="24"/>
                <w:szCs w:val="24"/>
              </w:rPr>
              <w:t>ategory</w:t>
            </w:r>
          </w:p>
        </w:tc>
        <w:tc>
          <w:tcPr>
            <w:tcW w:w="2108" w:type="dxa"/>
            <w:tcBorders>
              <w:top w:val="single" w:color="000000" w:sz="4" w:space="0"/>
              <w:bottom w:val="single" w:color="000000" w:sz="4" w:space="0"/>
            </w:tcBorders>
            <w:vAlign w:val="center"/>
          </w:tcPr>
          <w:p w14:paraId="0C11A301">
            <w:pPr>
              <w:widowControl w:val="0"/>
              <w:spacing w:line="240" w:lineRule="auto"/>
              <w:rPr>
                <w:rFonts w:ascii="Times New Roman" w:hAnsi="Times New Roman" w:cs="Times New Roman"/>
                <w:sz w:val="24"/>
                <w:szCs w:val="24"/>
              </w:rPr>
            </w:pPr>
            <w:r>
              <w:rPr>
                <w:rFonts w:ascii="Times New Roman" w:hAnsi="Times New Roman" w:cs="Times New Roman"/>
                <w:sz w:val="24"/>
                <w:szCs w:val="24"/>
              </w:rPr>
              <w:t>Phase</w:t>
            </w:r>
          </w:p>
        </w:tc>
        <w:tc>
          <w:tcPr>
            <w:tcW w:w="1327" w:type="dxa"/>
            <w:tcBorders>
              <w:top w:val="single" w:color="000000" w:sz="4" w:space="0"/>
              <w:bottom w:val="single" w:color="000000" w:sz="4" w:space="0"/>
            </w:tcBorders>
            <w:vAlign w:val="center"/>
          </w:tcPr>
          <w:p w14:paraId="0C11A302">
            <w:pPr>
              <w:widowControl w:val="0"/>
              <w:spacing w:line="240" w:lineRule="auto"/>
              <w:rPr>
                <w:rFonts w:ascii="Times New Roman" w:hAnsi="Times New Roman" w:cs="Times New Roman"/>
                <w:sz w:val="24"/>
                <w:szCs w:val="24"/>
              </w:rPr>
            </w:pPr>
            <w:r>
              <w:rPr>
                <w:rFonts w:ascii="Times New Roman" w:hAnsi="Times New Roman" w:cs="Times New Roman"/>
                <w:sz w:val="24"/>
                <w:szCs w:val="24"/>
              </w:rPr>
              <w:t>Filter</w:t>
            </w:r>
          </w:p>
        </w:tc>
        <w:tc>
          <w:tcPr>
            <w:tcW w:w="1613" w:type="dxa"/>
            <w:tcBorders>
              <w:top w:val="single" w:color="000000" w:sz="4" w:space="0"/>
              <w:bottom w:val="single" w:color="000000" w:sz="4" w:space="0"/>
            </w:tcBorders>
            <w:vAlign w:val="center"/>
          </w:tcPr>
          <w:p w14:paraId="0C11A303">
            <w:pPr>
              <w:widowControl w:val="0"/>
              <w:spacing w:line="240" w:lineRule="auto"/>
              <w:rPr>
                <w:rFonts w:ascii="Times New Roman" w:hAnsi="Times New Roman" w:cs="Times New Roman"/>
                <w:sz w:val="24"/>
                <w:szCs w:val="24"/>
              </w:rPr>
            </w:pPr>
            <w:r>
              <w:rPr>
                <w:rFonts w:ascii="Times New Roman" w:hAnsi="Times New Roman" w:cs="Times New Roman"/>
                <w:sz w:val="24"/>
                <w:szCs w:val="24"/>
              </w:rPr>
              <w:t>Total features</w:t>
            </w:r>
          </w:p>
        </w:tc>
        <w:tc>
          <w:tcPr>
            <w:tcW w:w="1740" w:type="dxa"/>
            <w:tcBorders>
              <w:top w:val="single" w:color="000000" w:sz="4" w:space="0"/>
              <w:bottom w:val="single" w:color="000000" w:sz="4" w:space="0"/>
            </w:tcBorders>
            <w:vAlign w:val="center"/>
          </w:tcPr>
          <w:p w14:paraId="0C11A304">
            <w:pPr>
              <w:widowControl w:val="0"/>
              <w:spacing w:line="240" w:lineRule="auto"/>
              <w:jc w:val="left"/>
              <w:rPr>
                <w:rFonts w:ascii="Times New Roman" w:hAnsi="Times New Roman" w:cs="Times New Roman"/>
                <w:sz w:val="24"/>
                <w:szCs w:val="24"/>
              </w:rPr>
            </w:pPr>
            <w:r>
              <w:rPr>
                <w:rFonts w:ascii="Times New Roman" w:hAnsi="Times New Roman" w:cs="Times New Roman"/>
                <w:sz w:val="24"/>
                <w:szCs w:val="24"/>
              </w:rPr>
              <w:t>Features with ICC</w:t>
            </w:r>
            <w:r>
              <w:rPr>
                <w:rFonts w:hint="eastAsia" w:ascii="Times New Roman" w:hAnsi="Times New Roman" w:cs="Times New Roman"/>
                <w:sz w:val="24"/>
                <w:szCs w:val="24"/>
                <w:lang w:val="en-US" w:eastAsia="zh-CN"/>
              </w:rPr>
              <w:t>s</w:t>
            </w:r>
            <w:r>
              <w:rPr>
                <w:rFonts w:ascii="Times New Roman" w:hAnsi="Times New Roman" w:cs="Times New Roman"/>
                <w:sz w:val="24"/>
                <w:szCs w:val="24"/>
              </w:rPr>
              <w:t xml:space="preserve"> &gt; 0.75</w:t>
            </w:r>
          </w:p>
        </w:tc>
      </w:tr>
      <w:tr w14:paraId="0C11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62" w:type="dxa"/>
            <w:vMerge w:val="restart"/>
            <w:tcBorders>
              <w:top w:val="single" w:color="000000" w:sz="4" w:space="0"/>
            </w:tcBorders>
            <w:vAlign w:val="center"/>
          </w:tcPr>
          <w:p w14:paraId="0C11A306">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First </w:t>
            </w:r>
            <w:r>
              <w:rPr>
                <w:rFonts w:hint="eastAsia" w:ascii="Times New Roman" w:hAnsi="Times New Roman" w:cs="Times New Roman"/>
                <w:sz w:val="24"/>
                <w:szCs w:val="24"/>
                <w:lang w:val="en-US" w:eastAsia="zh-CN"/>
              </w:rPr>
              <w:t>o</w:t>
            </w:r>
            <w:r>
              <w:rPr>
                <w:rFonts w:ascii="Times New Roman" w:hAnsi="Times New Roman" w:cs="Times New Roman"/>
                <w:sz w:val="24"/>
                <w:szCs w:val="24"/>
              </w:rPr>
              <w:t>rder</w:t>
            </w:r>
          </w:p>
          <w:p w14:paraId="0C11A307">
            <w:pPr>
              <w:widowControl w:val="0"/>
              <w:spacing w:line="240" w:lineRule="auto"/>
              <w:rPr>
                <w:rFonts w:ascii="Times New Roman" w:hAnsi="Times New Roman" w:cs="Times New Roman"/>
                <w:sz w:val="24"/>
                <w:szCs w:val="24"/>
              </w:rPr>
            </w:pPr>
            <w:r>
              <w:rPr>
                <w:rFonts w:ascii="Times New Roman" w:hAnsi="Times New Roman" w:cs="Times New Roman"/>
                <w:sz w:val="24"/>
                <w:szCs w:val="24"/>
              </w:rPr>
              <w:t>GLCM</w:t>
            </w:r>
          </w:p>
          <w:p w14:paraId="0C11A308">
            <w:pPr>
              <w:widowControl w:val="0"/>
              <w:spacing w:line="240" w:lineRule="auto"/>
              <w:rPr>
                <w:rFonts w:ascii="Times New Roman" w:hAnsi="Times New Roman" w:cs="Times New Roman"/>
                <w:sz w:val="24"/>
                <w:szCs w:val="24"/>
              </w:rPr>
            </w:pPr>
            <w:r>
              <w:rPr>
                <w:rFonts w:ascii="Times New Roman" w:hAnsi="Times New Roman" w:cs="Times New Roman"/>
                <w:sz w:val="24"/>
                <w:szCs w:val="24"/>
              </w:rPr>
              <w:t>GLDM</w:t>
            </w:r>
          </w:p>
          <w:p w14:paraId="0C11A309">
            <w:pPr>
              <w:widowControl w:val="0"/>
              <w:spacing w:line="240" w:lineRule="auto"/>
              <w:rPr>
                <w:rFonts w:ascii="Times New Roman" w:hAnsi="Times New Roman" w:cs="Times New Roman"/>
                <w:sz w:val="24"/>
                <w:szCs w:val="24"/>
              </w:rPr>
            </w:pPr>
            <w:r>
              <w:rPr>
                <w:rFonts w:ascii="Times New Roman" w:hAnsi="Times New Roman" w:cs="Times New Roman"/>
                <w:sz w:val="24"/>
                <w:szCs w:val="24"/>
              </w:rPr>
              <w:t>GLRLM</w:t>
            </w:r>
          </w:p>
          <w:p w14:paraId="0C11A30A">
            <w:pPr>
              <w:widowControl w:val="0"/>
              <w:spacing w:line="240" w:lineRule="auto"/>
              <w:rPr>
                <w:rFonts w:ascii="Times New Roman" w:hAnsi="Times New Roman" w:cs="Times New Roman"/>
                <w:sz w:val="24"/>
                <w:szCs w:val="24"/>
              </w:rPr>
            </w:pPr>
            <w:r>
              <w:rPr>
                <w:rFonts w:ascii="Times New Roman" w:hAnsi="Times New Roman" w:cs="Times New Roman"/>
                <w:sz w:val="24"/>
                <w:szCs w:val="24"/>
              </w:rPr>
              <w:t>GLSZM</w:t>
            </w:r>
          </w:p>
          <w:p w14:paraId="0C11A30B">
            <w:pPr>
              <w:widowControl w:val="0"/>
              <w:spacing w:line="240" w:lineRule="auto"/>
              <w:rPr>
                <w:rFonts w:ascii="Times New Roman" w:hAnsi="Times New Roman" w:cs="Times New Roman"/>
                <w:sz w:val="24"/>
                <w:szCs w:val="24"/>
              </w:rPr>
            </w:pPr>
            <w:r>
              <w:rPr>
                <w:rFonts w:ascii="Times New Roman" w:hAnsi="Times New Roman" w:cs="Times New Roman"/>
                <w:sz w:val="24"/>
                <w:szCs w:val="24"/>
              </w:rPr>
              <w:t>NGTDM</w:t>
            </w:r>
          </w:p>
          <w:p w14:paraId="0C11A30C">
            <w:pPr>
              <w:widowControl w:val="0"/>
              <w:spacing w:line="240" w:lineRule="auto"/>
              <w:rPr>
                <w:rFonts w:ascii="Times New Roman" w:hAnsi="Times New Roman" w:cs="Times New Roman"/>
                <w:sz w:val="24"/>
                <w:szCs w:val="24"/>
              </w:rPr>
            </w:pPr>
            <w:r>
              <w:rPr>
                <w:rFonts w:ascii="Times New Roman" w:hAnsi="Times New Roman" w:cs="Times New Roman"/>
                <w:sz w:val="24"/>
                <w:szCs w:val="24"/>
              </w:rPr>
              <w:t>Shape</w:t>
            </w:r>
          </w:p>
        </w:tc>
        <w:tc>
          <w:tcPr>
            <w:tcW w:w="2108" w:type="dxa"/>
            <w:vMerge w:val="restart"/>
            <w:tcBorders>
              <w:top w:val="single" w:color="000000" w:sz="4" w:space="0"/>
            </w:tcBorders>
            <w:vAlign w:val="center"/>
          </w:tcPr>
          <w:p w14:paraId="0C11A30E">
            <w:pPr>
              <w:widowControl w:val="0"/>
              <w:spacing w:line="240" w:lineRule="auto"/>
              <w:rPr>
                <w:rFonts w:ascii="Times New Roman" w:hAnsi="Times New Roman" w:cs="Times New Roman"/>
                <w:sz w:val="24"/>
                <w:szCs w:val="24"/>
              </w:rPr>
            </w:pPr>
            <w:r>
              <w:rPr>
                <w:rFonts w:ascii="Times New Roman" w:hAnsi="Times New Roman" w:cs="Times New Roman"/>
                <w:sz w:val="24"/>
                <w:szCs w:val="24"/>
              </w:rPr>
              <w:t>Arterial</w:t>
            </w:r>
            <w:r>
              <w:rPr>
                <w:rFonts w:hint="eastAsia" w:ascii="Times New Roman" w:hAnsi="Times New Roman" w:cs="Times New Roman"/>
                <w:sz w:val="24"/>
                <w:szCs w:val="24"/>
                <w:lang w:val="en-US" w:eastAsia="zh-CN"/>
              </w:rPr>
              <w:t xml:space="preserve"> p</w:t>
            </w:r>
            <w:r>
              <w:rPr>
                <w:rFonts w:ascii="Times New Roman" w:hAnsi="Times New Roman" w:cs="Times New Roman"/>
                <w:sz w:val="24"/>
                <w:szCs w:val="24"/>
              </w:rPr>
              <w:t>hase</w:t>
            </w:r>
          </w:p>
        </w:tc>
        <w:tc>
          <w:tcPr>
            <w:tcW w:w="1327" w:type="dxa"/>
            <w:tcBorders>
              <w:top w:val="single" w:color="000000" w:sz="4" w:space="0"/>
            </w:tcBorders>
            <w:vAlign w:val="center"/>
          </w:tcPr>
          <w:p w14:paraId="0C11A30F">
            <w:pPr>
              <w:widowControl w:val="0"/>
              <w:spacing w:line="240" w:lineRule="auto"/>
              <w:rPr>
                <w:rFonts w:ascii="Times New Roman" w:hAnsi="Times New Roman" w:cs="Times New Roman"/>
                <w:sz w:val="24"/>
                <w:szCs w:val="24"/>
              </w:rPr>
            </w:pPr>
            <w:r>
              <w:rPr>
                <w:rFonts w:ascii="Times New Roman" w:hAnsi="Times New Roman" w:cs="Times New Roman"/>
                <w:sz w:val="24"/>
                <w:szCs w:val="24"/>
              </w:rPr>
              <w:t>LoG</w:t>
            </w:r>
          </w:p>
        </w:tc>
        <w:tc>
          <w:tcPr>
            <w:tcW w:w="1613" w:type="dxa"/>
            <w:tcBorders>
              <w:top w:val="single" w:color="000000" w:sz="4" w:space="0"/>
            </w:tcBorders>
            <w:vAlign w:val="center"/>
          </w:tcPr>
          <w:p w14:paraId="0C11A310">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360</w:t>
            </w:r>
          </w:p>
        </w:tc>
        <w:tc>
          <w:tcPr>
            <w:tcW w:w="1740" w:type="dxa"/>
            <w:tcBorders>
              <w:top w:val="single" w:color="000000" w:sz="4" w:space="0"/>
            </w:tcBorders>
            <w:vAlign w:val="center"/>
          </w:tcPr>
          <w:p w14:paraId="0C11A311">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179</w:t>
            </w:r>
          </w:p>
        </w:tc>
      </w:tr>
      <w:tr w14:paraId="0C11A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62" w:type="dxa"/>
            <w:vMerge w:val="continue"/>
            <w:vAlign w:val="center"/>
          </w:tcPr>
          <w:p w14:paraId="0C11A313">
            <w:pPr>
              <w:widowControl w:val="0"/>
              <w:spacing w:line="240" w:lineRule="auto"/>
              <w:rPr>
                <w:rFonts w:ascii="Times New Roman" w:hAnsi="Times New Roman" w:cs="Times New Roman"/>
                <w:sz w:val="24"/>
                <w:szCs w:val="24"/>
              </w:rPr>
            </w:pPr>
          </w:p>
        </w:tc>
        <w:tc>
          <w:tcPr>
            <w:tcW w:w="2108" w:type="dxa"/>
            <w:vMerge w:val="continue"/>
            <w:vAlign w:val="center"/>
          </w:tcPr>
          <w:p w14:paraId="0C11A314">
            <w:pPr>
              <w:widowControl w:val="0"/>
              <w:spacing w:line="240" w:lineRule="auto"/>
              <w:rPr>
                <w:rFonts w:ascii="Times New Roman" w:hAnsi="Times New Roman" w:cs="Times New Roman"/>
                <w:sz w:val="24"/>
                <w:szCs w:val="24"/>
              </w:rPr>
            </w:pPr>
          </w:p>
        </w:tc>
        <w:tc>
          <w:tcPr>
            <w:tcW w:w="1327" w:type="dxa"/>
            <w:vAlign w:val="center"/>
          </w:tcPr>
          <w:p w14:paraId="0C11A315">
            <w:pPr>
              <w:widowControl w:val="0"/>
              <w:spacing w:line="240" w:lineRule="auto"/>
              <w:rPr>
                <w:rFonts w:ascii="Times New Roman" w:hAnsi="Times New Roman" w:cs="Times New Roman"/>
                <w:sz w:val="24"/>
                <w:szCs w:val="24"/>
              </w:rPr>
            </w:pPr>
            <w:r>
              <w:rPr>
                <w:rFonts w:ascii="Times New Roman" w:hAnsi="Times New Roman" w:cs="Times New Roman"/>
                <w:sz w:val="24"/>
                <w:szCs w:val="24"/>
              </w:rPr>
              <w:t>Wavelet</w:t>
            </w:r>
          </w:p>
        </w:tc>
        <w:tc>
          <w:tcPr>
            <w:tcW w:w="1613" w:type="dxa"/>
            <w:vAlign w:val="center"/>
          </w:tcPr>
          <w:p w14:paraId="0C11A316">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720</w:t>
            </w:r>
          </w:p>
        </w:tc>
        <w:tc>
          <w:tcPr>
            <w:tcW w:w="1740" w:type="dxa"/>
            <w:vAlign w:val="center"/>
          </w:tcPr>
          <w:p w14:paraId="0C11A317">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358</w:t>
            </w:r>
          </w:p>
        </w:tc>
      </w:tr>
      <w:tr w14:paraId="0C11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62" w:type="dxa"/>
            <w:vMerge w:val="continue"/>
            <w:vAlign w:val="center"/>
          </w:tcPr>
          <w:p w14:paraId="0C11A319">
            <w:pPr>
              <w:widowControl w:val="0"/>
              <w:spacing w:line="240" w:lineRule="auto"/>
              <w:rPr>
                <w:rFonts w:ascii="Times New Roman" w:hAnsi="Times New Roman" w:cs="Times New Roman"/>
                <w:sz w:val="24"/>
                <w:szCs w:val="24"/>
              </w:rPr>
            </w:pPr>
          </w:p>
        </w:tc>
        <w:tc>
          <w:tcPr>
            <w:tcW w:w="2108" w:type="dxa"/>
            <w:vMerge w:val="continue"/>
            <w:vAlign w:val="center"/>
          </w:tcPr>
          <w:p w14:paraId="0C11A31A">
            <w:pPr>
              <w:widowControl w:val="0"/>
              <w:spacing w:line="240" w:lineRule="auto"/>
              <w:rPr>
                <w:rFonts w:ascii="Times New Roman" w:hAnsi="Times New Roman" w:cs="Times New Roman"/>
                <w:sz w:val="24"/>
                <w:szCs w:val="24"/>
              </w:rPr>
            </w:pPr>
          </w:p>
        </w:tc>
        <w:tc>
          <w:tcPr>
            <w:tcW w:w="1327" w:type="dxa"/>
            <w:vAlign w:val="center"/>
          </w:tcPr>
          <w:p w14:paraId="0C11A31B">
            <w:pPr>
              <w:widowControl w:val="0"/>
              <w:spacing w:line="240" w:lineRule="auto"/>
              <w:rPr>
                <w:rFonts w:ascii="Times New Roman" w:hAnsi="Times New Roman" w:cs="Times New Roman"/>
                <w:sz w:val="24"/>
                <w:szCs w:val="24"/>
              </w:rPr>
            </w:pPr>
            <w:r>
              <w:rPr>
                <w:rFonts w:ascii="Times New Roman" w:hAnsi="Times New Roman" w:cs="Times New Roman"/>
                <w:sz w:val="24"/>
                <w:szCs w:val="24"/>
              </w:rPr>
              <w:t>Mean</w:t>
            </w:r>
          </w:p>
        </w:tc>
        <w:tc>
          <w:tcPr>
            <w:tcW w:w="1613" w:type="dxa"/>
            <w:vAlign w:val="center"/>
          </w:tcPr>
          <w:p w14:paraId="0C11A31C">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90</w:t>
            </w:r>
          </w:p>
        </w:tc>
        <w:tc>
          <w:tcPr>
            <w:tcW w:w="1740" w:type="dxa"/>
            <w:vAlign w:val="center"/>
          </w:tcPr>
          <w:p w14:paraId="0C11A31D">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50</w:t>
            </w:r>
          </w:p>
        </w:tc>
      </w:tr>
      <w:tr w14:paraId="0C11A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62" w:type="dxa"/>
            <w:vMerge w:val="continue"/>
            <w:vAlign w:val="center"/>
          </w:tcPr>
          <w:p w14:paraId="0C11A31F">
            <w:pPr>
              <w:widowControl w:val="0"/>
              <w:spacing w:line="240" w:lineRule="auto"/>
              <w:rPr>
                <w:rFonts w:ascii="Times New Roman" w:hAnsi="Times New Roman" w:cs="Times New Roman"/>
                <w:sz w:val="24"/>
                <w:szCs w:val="24"/>
              </w:rPr>
            </w:pPr>
          </w:p>
        </w:tc>
        <w:tc>
          <w:tcPr>
            <w:tcW w:w="2108" w:type="dxa"/>
            <w:vMerge w:val="restart"/>
            <w:vAlign w:val="center"/>
          </w:tcPr>
          <w:p w14:paraId="0C11A321">
            <w:pPr>
              <w:widowControl w:val="0"/>
              <w:spacing w:line="240" w:lineRule="auto"/>
              <w:jc w:val="left"/>
              <w:rPr>
                <w:rFonts w:ascii="Times New Roman" w:hAnsi="Times New Roman" w:cs="Times New Roman"/>
                <w:sz w:val="24"/>
                <w:szCs w:val="24"/>
              </w:rPr>
            </w:pPr>
            <w:r>
              <w:rPr>
                <w:rFonts w:hint="eastAsia" w:ascii="Times New Roman" w:hAnsi="Times New Roman" w:cs="Times New Roman"/>
                <w:sz w:val="24"/>
                <w:szCs w:val="24"/>
                <w:lang w:val="en-US" w:eastAsia="zh-CN"/>
              </w:rPr>
              <w:t>Portal v</w:t>
            </w:r>
            <w:r>
              <w:rPr>
                <w:rFonts w:hint="eastAsia" w:ascii="Times New Roman" w:hAnsi="Times New Roman" w:cs="Times New Roman"/>
                <w:sz w:val="24"/>
                <w:szCs w:val="24"/>
              </w:rPr>
              <w:t>enous</w:t>
            </w:r>
            <w:r>
              <w:rPr>
                <w:rFonts w:hint="eastAsia" w:ascii="Times New Roman" w:hAnsi="Times New Roman" w:cs="Times New Roman"/>
                <w:sz w:val="24"/>
                <w:szCs w:val="24"/>
                <w:lang w:val="en-US" w:eastAsia="zh-CN"/>
              </w:rPr>
              <w:t xml:space="preserve"> p</w:t>
            </w:r>
            <w:r>
              <w:rPr>
                <w:rFonts w:hint="eastAsia" w:ascii="Times New Roman" w:hAnsi="Times New Roman" w:cs="Times New Roman"/>
                <w:sz w:val="24"/>
                <w:szCs w:val="24"/>
              </w:rPr>
              <w:t>hase</w:t>
            </w:r>
          </w:p>
        </w:tc>
        <w:tc>
          <w:tcPr>
            <w:tcW w:w="1327" w:type="dxa"/>
            <w:vAlign w:val="center"/>
          </w:tcPr>
          <w:p w14:paraId="0C11A322">
            <w:pPr>
              <w:widowControl w:val="0"/>
              <w:spacing w:line="240" w:lineRule="auto"/>
              <w:rPr>
                <w:rFonts w:ascii="Times New Roman" w:hAnsi="Times New Roman" w:cs="Times New Roman"/>
                <w:sz w:val="24"/>
                <w:szCs w:val="24"/>
              </w:rPr>
            </w:pPr>
            <w:r>
              <w:rPr>
                <w:rFonts w:ascii="Times New Roman" w:hAnsi="Times New Roman" w:cs="Times New Roman"/>
                <w:sz w:val="24"/>
                <w:szCs w:val="24"/>
              </w:rPr>
              <w:t>LoG</w:t>
            </w:r>
          </w:p>
        </w:tc>
        <w:tc>
          <w:tcPr>
            <w:tcW w:w="1613" w:type="dxa"/>
            <w:vAlign w:val="center"/>
          </w:tcPr>
          <w:p w14:paraId="0C11A323">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360</w:t>
            </w:r>
          </w:p>
        </w:tc>
        <w:tc>
          <w:tcPr>
            <w:tcW w:w="1740" w:type="dxa"/>
            <w:vAlign w:val="center"/>
          </w:tcPr>
          <w:p w14:paraId="0C11A324">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193</w:t>
            </w:r>
          </w:p>
        </w:tc>
      </w:tr>
      <w:tr w14:paraId="0C11A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862" w:type="dxa"/>
            <w:vMerge w:val="continue"/>
            <w:vAlign w:val="center"/>
          </w:tcPr>
          <w:p w14:paraId="0C11A326">
            <w:pPr>
              <w:widowControl w:val="0"/>
              <w:spacing w:line="240" w:lineRule="auto"/>
              <w:rPr>
                <w:rFonts w:ascii="Times New Roman" w:hAnsi="Times New Roman" w:cs="Times New Roman"/>
                <w:sz w:val="24"/>
                <w:szCs w:val="24"/>
              </w:rPr>
            </w:pPr>
          </w:p>
        </w:tc>
        <w:tc>
          <w:tcPr>
            <w:tcW w:w="2108" w:type="dxa"/>
            <w:vMerge w:val="continue"/>
            <w:vAlign w:val="center"/>
          </w:tcPr>
          <w:p w14:paraId="0C11A327">
            <w:pPr>
              <w:widowControl w:val="0"/>
              <w:spacing w:line="240" w:lineRule="auto"/>
              <w:rPr>
                <w:rFonts w:ascii="Times New Roman" w:hAnsi="Times New Roman" w:cs="Times New Roman"/>
                <w:sz w:val="24"/>
                <w:szCs w:val="24"/>
              </w:rPr>
            </w:pPr>
          </w:p>
        </w:tc>
        <w:tc>
          <w:tcPr>
            <w:tcW w:w="1327" w:type="dxa"/>
            <w:vAlign w:val="center"/>
          </w:tcPr>
          <w:p w14:paraId="0C11A328">
            <w:pPr>
              <w:widowControl w:val="0"/>
              <w:spacing w:line="240" w:lineRule="auto"/>
              <w:rPr>
                <w:rFonts w:ascii="Times New Roman" w:hAnsi="Times New Roman" w:cs="Times New Roman"/>
                <w:sz w:val="24"/>
                <w:szCs w:val="24"/>
              </w:rPr>
            </w:pPr>
            <w:r>
              <w:rPr>
                <w:rFonts w:ascii="Times New Roman" w:hAnsi="Times New Roman" w:cs="Times New Roman"/>
                <w:sz w:val="24"/>
                <w:szCs w:val="24"/>
              </w:rPr>
              <w:t>Wavelet</w:t>
            </w:r>
          </w:p>
        </w:tc>
        <w:tc>
          <w:tcPr>
            <w:tcW w:w="1613" w:type="dxa"/>
            <w:vAlign w:val="center"/>
          </w:tcPr>
          <w:p w14:paraId="0C11A329">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720</w:t>
            </w:r>
          </w:p>
        </w:tc>
        <w:tc>
          <w:tcPr>
            <w:tcW w:w="1740" w:type="dxa"/>
            <w:vAlign w:val="center"/>
          </w:tcPr>
          <w:p w14:paraId="0C11A32A">
            <w:pPr>
              <w:keepLines w:val="0"/>
              <w:pageBreakBefore w:val="0"/>
              <w:widowControl w:val="0"/>
              <w:kinsoku/>
              <w:wordWrap/>
              <w:overflowPunct/>
              <w:topLinePunct w:val="0"/>
              <w:autoSpaceDE/>
              <w:autoSpaceDN/>
              <w:bidi w:val="0"/>
              <w:adjustRightInd/>
              <w:spacing w:line="240" w:lineRule="auto"/>
              <w:jc w:val="both"/>
              <w:rPr>
                <w:rFonts w:hint="default" w:ascii="Times New Roman" w:hAnsi="Times New Roman" w:cs="Times New Roman" w:eastAsiaTheme="minorEastAsia"/>
                <w:sz w:val="24"/>
                <w:szCs w:val="24"/>
                <w:lang w:val="en-US" w:eastAsia="zh-CN"/>
              </w:rPr>
            </w:pPr>
            <w:r>
              <w:rPr>
                <w:rFonts w:hint="eastAsia" w:ascii="Times New Roman" w:hAnsi="Times New Roman" w:cs="Times New Roman"/>
                <w:b w:val="0"/>
                <w:bCs w:val="0"/>
                <w:sz w:val="24"/>
                <w:szCs w:val="24"/>
                <w:lang w:val="en-US" w:eastAsia="zh-CN"/>
              </w:rPr>
              <w:t>339</w:t>
            </w:r>
          </w:p>
        </w:tc>
      </w:tr>
      <w:tr w14:paraId="0C11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62" w:type="dxa"/>
            <w:vMerge w:val="continue"/>
            <w:tcBorders>
              <w:bottom w:val="single" w:color="000000" w:sz="4" w:space="0"/>
            </w:tcBorders>
            <w:vAlign w:val="center"/>
          </w:tcPr>
          <w:p w14:paraId="0C11A32C">
            <w:pPr>
              <w:widowControl w:val="0"/>
              <w:spacing w:line="240" w:lineRule="auto"/>
              <w:rPr>
                <w:rFonts w:ascii="Times New Roman" w:hAnsi="Times New Roman" w:cs="Times New Roman"/>
                <w:sz w:val="24"/>
                <w:szCs w:val="24"/>
              </w:rPr>
            </w:pPr>
          </w:p>
        </w:tc>
        <w:tc>
          <w:tcPr>
            <w:tcW w:w="2108" w:type="dxa"/>
            <w:vMerge w:val="continue"/>
            <w:tcBorders>
              <w:bottom w:val="single" w:color="000000" w:sz="4" w:space="0"/>
            </w:tcBorders>
            <w:vAlign w:val="center"/>
          </w:tcPr>
          <w:p w14:paraId="0C11A32D">
            <w:pPr>
              <w:widowControl w:val="0"/>
              <w:spacing w:line="240" w:lineRule="auto"/>
              <w:rPr>
                <w:rFonts w:ascii="Times New Roman" w:hAnsi="Times New Roman" w:cs="Times New Roman"/>
                <w:sz w:val="24"/>
                <w:szCs w:val="24"/>
              </w:rPr>
            </w:pPr>
          </w:p>
        </w:tc>
        <w:tc>
          <w:tcPr>
            <w:tcW w:w="1327" w:type="dxa"/>
            <w:tcBorders>
              <w:bottom w:val="single" w:color="000000" w:sz="4" w:space="0"/>
            </w:tcBorders>
            <w:vAlign w:val="center"/>
          </w:tcPr>
          <w:p w14:paraId="0C11A32E">
            <w:pPr>
              <w:widowControl w:val="0"/>
              <w:spacing w:line="240" w:lineRule="auto"/>
              <w:rPr>
                <w:rFonts w:ascii="Times New Roman" w:hAnsi="Times New Roman" w:cs="Times New Roman"/>
                <w:sz w:val="24"/>
                <w:szCs w:val="24"/>
              </w:rPr>
            </w:pPr>
            <w:r>
              <w:rPr>
                <w:rFonts w:ascii="Times New Roman" w:hAnsi="Times New Roman" w:cs="Times New Roman"/>
                <w:sz w:val="24"/>
                <w:szCs w:val="24"/>
              </w:rPr>
              <w:t>Mean</w:t>
            </w:r>
          </w:p>
        </w:tc>
        <w:tc>
          <w:tcPr>
            <w:tcW w:w="1613" w:type="dxa"/>
            <w:tcBorders>
              <w:bottom w:val="single" w:color="000000" w:sz="4" w:space="0"/>
            </w:tcBorders>
            <w:vAlign w:val="center"/>
          </w:tcPr>
          <w:p w14:paraId="0C11A32F">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90</w:t>
            </w:r>
          </w:p>
        </w:tc>
        <w:tc>
          <w:tcPr>
            <w:tcW w:w="1740" w:type="dxa"/>
            <w:tcBorders>
              <w:bottom w:val="single" w:color="000000" w:sz="4" w:space="0"/>
            </w:tcBorders>
            <w:vAlign w:val="center"/>
          </w:tcPr>
          <w:p w14:paraId="0C11A330">
            <w:pPr>
              <w:keepLines w:val="0"/>
              <w:pageBreakBefore w:val="0"/>
              <w:widowControl w:val="0"/>
              <w:kinsoku/>
              <w:wordWrap/>
              <w:overflowPunct/>
              <w:topLinePunct w:val="0"/>
              <w:autoSpaceDE/>
              <w:autoSpaceDN/>
              <w:bidi w:val="0"/>
              <w:adjustRightInd/>
              <w:spacing w:line="240" w:lineRule="auto"/>
              <w:jc w:val="both"/>
              <w:rPr>
                <w:rFonts w:ascii="Times New Roman" w:hAnsi="Times New Roman" w:cs="Times New Roman"/>
                <w:sz w:val="24"/>
                <w:szCs w:val="24"/>
              </w:rPr>
            </w:pPr>
            <w:r>
              <w:rPr>
                <w:rFonts w:hint="default" w:ascii="Times New Roman" w:hAnsi="Times New Roman" w:cs="Times New Roman" w:eastAsiaTheme="minorEastAsia"/>
                <w:b w:val="0"/>
                <w:bCs w:val="0"/>
                <w:sz w:val="24"/>
                <w:szCs w:val="24"/>
              </w:rPr>
              <w:t>48</w:t>
            </w:r>
          </w:p>
        </w:tc>
      </w:tr>
      <w:tr w14:paraId="358DB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650" w:type="dxa"/>
            <w:gridSpan w:val="5"/>
            <w:tcBorders>
              <w:top w:val="single" w:color="000000" w:sz="4" w:space="0"/>
              <w:bottom w:val="nil"/>
            </w:tcBorders>
            <w:vAlign w:val="center"/>
          </w:tcPr>
          <w:p w14:paraId="4CF58F73">
            <w:pPr>
              <w:keepLines w:val="0"/>
              <w:pageBreakBefore w:val="0"/>
              <w:widowControl w:val="0"/>
              <w:kinsoku/>
              <w:wordWrap/>
              <w:overflowPunct/>
              <w:topLinePunct w:val="0"/>
              <w:autoSpaceDE/>
              <w:autoSpaceDN/>
              <w:bidi w:val="0"/>
              <w:adjustRightInd/>
              <w:spacing w:line="240" w:lineRule="auto"/>
              <w:jc w:val="both"/>
              <w:rPr>
                <w:rFonts w:hint="default" w:ascii="Times New Roman" w:hAnsi="Times New Roman" w:cs="Times New Roman" w:eastAsiaTheme="minorEastAsia"/>
                <w:b w:val="0"/>
                <w:bCs w:val="0"/>
                <w:sz w:val="24"/>
                <w:szCs w:val="24"/>
              </w:rPr>
            </w:pPr>
            <w:r>
              <w:rPr>
                <w:rFonts w:hint="default" w:ascii="Times New Roman" w:hAnsi="Times New Roman" w:cs="Times New Roman"/>
                <w:sz w:val="24"/>
                <w:szCs w:val="24"/>
              </w:rPr>
              <w:t>GLCM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gray level co-occurrence matrix</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GLDM, </w:t>
            </w:r>
            <w:r>
              <w:rPr>
                <w:rFonts w:hint="default" w:ascii="Times New Roman" w:hAnsi="Times New Roman" w:cs="Times New Roman"/>
                <w:sz w:val="24"/>
                <w:szCs w:val="24"/>
              </w:rPr>
              <w:t>gray level dependence matrix</w:t>
            </w:r>
            <w:r>
              <w:rPr>
                <w:rFonts w:hint="eastAsia" w:ascii="Times New Roman" w:hAnsi="Times New Roman" w:cs="Times New Roman"/>
                <w:sz w:val="24"/>
                <w:szCs w:val="24"/>
                <w:lang w:val="en-US" w:eastAsia="zh-CN"/>
              </w:rPr>
              <w:t>; GLRLM,</w:t>
            </w:r>
            <w:r>
              <w:rPr>
                <w:rFonts w:hint="default" w:ascii="Times New Roman" w:hAnsi="Times New Roman" w:cs="Times New Roman"/>
                <w:sz w:val="24"/>
                <w:szCs w:val="24"/>
              </w:rPr>
              <w:t xml:space="preserve"> gray level run length matrix</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GLSZM,</w:t>
            </w:r>
            <w:r>
              <w:rPr>
                <w:rFonts w:hint="default" w:ascii="Times New Roman" w:hAnsi="Times New Roman" w:cs="Times New Roman"/>
                <w:sz w:val="24"/>
                <w:szCs w:val="24"/>
              </w:rPr>
              <w:t xml:space="preserve"> gray level size zone matrix</w:t>
            </w:r>
            <w:r>
              <w:rPr>
                <w:rFonts w:hint="eastAsia" w:ascii="Times New Roman" w:hAnsi="Times New Roman" w:cs="Times New Roman"/>
                <w:sz w:val="24"/>
                <w:szCs w:val="24"/>
                <w:lang w:val="en-US" w:eastAsia="zh-CN"/>
              </w:rPr>
              <w:t>; NGTDM,</w:t>
            </w:r>
            <w:r>
              <w:rPr>
                <w:rFonts w:hint="default" w:ascii="Times New Roman" w:hAnsi="Times New Roman" w:cs="Times New Roman"/>
                <w:sz w:val="24"/>
                <w:szCs w:val="24"/>
              </w:rPr>
              <w:t xml:space="preserve"> neighboring gray tone difference matrix</w:t>
            </w:r>
            <w:r>
              <w:rPr>
                <w:rFonts w:hint="eastAsia" w:ascii="Times New Roman" w:hAnsi="Times New Roman" w:cs="Times New Roman"/>
                <w:sz w:val="24"/>
                <w:szCs w:val="24"/>
                <w:lang w:val="en-US" w:eastAsia="zh-CN"/>
              </w:rPr>
              <w:t>.</w:t>
            </w:r>
          </w:p>
        </w:tc>
      </w:tr>
    </w:tbl>
    <w:p w14:paraId="62858CB6">
      <w:pPr>
        <w:numPr>
          <w:ilvl w:val="0"/>
          <w:numId w:val="0"/>
        </w:numPr>
        <w:spacing w:line="480" w:lineRule="auto"/>
        <w:ind w:firstLine="420" w:firstLineChars="0"/>
        <w:rPr>
          <w:rFonts w:hint="default" w:ascii="Times New Roman" w:hAnsi="Times New Roman" w:cs="Times New Roman"/>
          <w:b w:val="0"/>
          <w:bCs w:val="0"/>
          <w:sz w:val="24"/>
          <w:szCs w:val="24"/>
          <w:lang w:val="en-US" w:eastAsia="zh-CN"/>
        </w:rPr>
      </w:pPr>
      <w:bookmarkStart w:id="0" w:name="_GoBack"/>
      <w:bookmarkEnd w:id="0"/>
    </w:p>
    <w:p w14:paraId="4CD869DE">
      <w:pPr>
        <w:numPr>
          <w:ilvl w:val="0"/>
          <w:numId w:val="1"/>
        </w:numPr>
        <w:spacing w:line="480" w:lineRule="auto"/>
        <w:ind w:left="0" w:leftChars="0" w:firstLine="0"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bCs/>
          <w:i/>
          <w:iCs/>
          <w:sz w:val="24"/>
          <w:szCs w:val="24"/>
          <w:lang w:val="en-US" w:eastAsia="zh-CN"/>
        </w:rPr>
        <w:t xml:space="preserve">The training convergence curve of the </w:t>
      </w:r>
      <w:r>
        <w:rPr>
          <w:rFonts w:hint="eastAsia" w:ascii="Times New Roman" w:hAnsi="Times New Roman" w:cs="Times New Roman"/>
          <w:b/>
          <w:bCs/>
          <w:i/>
          <w:iCs/>
          <w:sz w:val="24"/>
          <w:szCs w:val="24"/>
          <w:lang w:val="en-US" w:eastAsia="zh-CN"/>
        </w:rPr>
        <w:t xml:space="preserve">3D Resnet-18 </w:t>
      </w:r>
    </w:p>
    <w:p w14:paraId="0C11A2D9">
      <w:pPr>
        <w:spacing w:line="480" w:lineRule="auto"/>
        <w:jc w:val="left"/>
        <w:rPr>
          <w:rFonts w:ascii="Times New Roman" w:hAnsi="Times New Roman" w:cs="Times New Roman"/>
          <w:sz w:val="24"/>
          <w:szCs w:val="24"/>
        </w:rPr>
      </w:pPr>
      <w:r>
        <w:rPr>
          <w:rFonts w:hint="default" w:ascii="Times New Roman" w:hAnsi="Times New Roman" w:cs="Times New Roman"/>
          <w:b w:val="0"/>
          <w:bCs w:val="0"/>
          <w:kern w:val="2"/>
          <w:sz w:val="24"/>
          <w:szCs w:val="24"/>
          <w:lang w:val="en-US" w:eastAsia="zh-CN" w:bidi="ar-SA"/>
        </w:rPr>
        <w:drawing>
          <wp:inline distT="0" distB="0" distL="114300" distR="114300">
            <wp:extent cx="4969510" cy="2796540"/>
            <wp:effectExtent l="0" t="0" r="2540" b="3810"/>
            <wp:docPr id="13" name="图片 13" descr="Figure 3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3 loss"/>
                    <pic:cNvPicPr>
                      <a:picLocks noChangeAspect="1"/>
                    </pic:cNvPicPr>
                  </pic:nvPicPr>
                  <pic:blipFill>
                    <a:blip r:embed="rId4"/>
                    <a:stretch>
                      <a:fillRect/>
                    </a:stretch>
                  </pic:blipFill>
                  <pic:spPr>
                    <a:xfrm>
                      <a:off x="0" y="0"/>
                      <a:ext cx="4969510" cy="2796540"/>
                    </a:xfrm>
                    <a:prstGeom prst="rect">
                      <a:avLst/>
                    </a:prstGeom>
                  </pic:spPr>
                </pic:pic>
              </a:graphicData>
            </a:graphic>
          </wp:inline>
        </w:drawing>
      </w:r>
    </w:p>
    <w:p w14:paraId="287EDDA4">
      <w:pPr>
        <w:numPr>
          <w:ilvl w:val="0"/>
          <w:numId w:val="0"/>
        </w:numPr>
        <w:spacing w:line="480" w:lineRule="auto"/>
        <w:ind w:leftChars="0"/>
        <w:rPr>
          <w:rFonts w:hint="default" w:ascii="Times New Roman" w:hAnsi="Times New Roman" w:cs="Times New Roman"/>
          <w:sz w:val="24"/>
          <w:szCs w:val="24"/>
          <w:lang w:val="en-US" w:eastAsia="zh-CN"/>
        </w:rPr>
      </w:pPr>
      <w:r>
        <w:rPr>
          <w:rFonts w:hint="eastAsia" w:ascii="Times New Roman" w:hAnsi="Times New Roman" w:cs="Times New Roman"/>
          <w:b/>
          <w:bCs/>
          <w:sz w:val="24"/>
          <w:szCs w:val="24"/>
        </w:rPr>
        <w:t>Suppl Fig</w:t>
      </w:r>
      <w:r>
        <w:rPr>
          <w:rFonts w:hint="eastAsia" w:ascii="Times New Roman" w:hAnsi="Times New Roman" w:cs="Times New Roman"/>
          <w:b/>
          <w:bCs/>
          <w:sz w:val="24"/>
          <w:szCs w:val="24"/>
          <w:lang w:val="en-US" w:eastAsia="zh-CN"/>
        </w:rPr>
        <w:t xml:space="preserve">ure </w:t>
      </w:r>
      <w:r>
        <w:rPr>
          <w:rFonts w:hint="eastAsia" w:ascii="Times New Roman" w:hAnsi="Times New Roman" w:cs="Times New Roman"/>
          <w:b/>
          <w:bCs/>
          <w:sz w:val="24"/>
          <w:szCs w:val="24"/>
        </w:rPr>
        <w:t>1</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Training convergence curve of the 3D ResNet-18, with epochs on the x-axis and loss on the y-axis. </w:t>
      </w:r>
      <w:r>
        <w:rPr>
          <w:rFonts w:hint="default" w:ascii="Times New Roman" w:hAnsi="Times New Roman" w:cs="Times New Roman"/>
          <w:sz w:val="24"/>
          <w:szCs w:val="24"/>
          <w:lang w:val="en-US" w:eastAsia="zh-CN"/>
        </w:rPr>
        <w:t>The curve shows that the loss decreased rapidly during the early stage of training, and gradually converged and stabilized after approximately 100 epochs.</w:t>
      </w:r>
    </w:p>
    <w:p w14:paraId="4EF52EDC">
      <w:pPr>
        <w:numPr>
          <w:ilvl w:val="0"/>
          <w:numId w:val="0"/>
        </w:numPr>
        <w:spacing w:line="480" w:lineRule="auto"/>
        <w:ind w:leftChars="0"/>
        <w:rPr>
          <w:rFonts w:hint="default" w:ascii="Times New Roman" w:hAnsi="Times New Roman" w:cs="Times New Roman"/>
          <w:sz w:val="24"/>
          <w:szCs w:val="24"/>
          <w:lang w:val="en-US" w:eastAsia="zh-CN"/>
        </w:rPr>
      </w:pPr>
    </w:p>
    <w:p w14:paraId="564EC523">
      <w:pPr>
        <w:spacing w:beforeLines="0" w:afterLines="0"/>
        <w:jc w:val="left"/>
        <w:rPr>
          <w:rFonts w:hint="default" w:ascii="Times New Roman" w:hAnsi="Times New Roman" w:cs="Times New Roman"/>
          <w:b w:val="0"/>
          <w:bCs w:val="0"/>
          <w:sz w:val="24"/>
          <w:szCs w:val="24"/>
          <w:lang w:val="en-US" w:eastAsia="zh-CN"/>
        </w:rPr>
      </w:pPr>
    </w:p>
    <w:p w14:paraId="2CF9CD12">
      <w:pPr>
        <w:spacing w:beforeLines="0" w:afterLines="0"/>
        <w:jc w:val="left"/>
        <w:rPr>
          <w:rFonts w:hint="default" w:ascii="Times New Roman" w:hAnsi="Times New Roman" w:cs="Times New Roman"/>
          <w:b w:val="0"/>
          <w:bCs w:val="0"/>
          <w:sz w:val="24"/>
          <w:szCs w:val="24"/>
          <w:lang w:val="en-US" w:eastAsia="zh-CN"/>
        </w:rPr>
      </w:pPr>
    </w:p>
    <w:p w14:paraId="68B7FC57">
      <w:pPr>
        <w:spacing w:beforeLines="0" w:afterLines="0" w:line="480" w:lineRule="auto"/>
        <w:jc w:val="left"/>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References:</w:t>
      </w:r>
    </w:p>
    <w:p w14:paraId="13BB90A6">
      <w:pPr>
        <w:numPr>
          <w:ilvl w:val="0"/>
          <w:numId w:val="0"/>
        </w:numPr>
        <w:spacing w:beforeLines="0" w:afterLines="0" w:line="480" w:lineRule="auto"/>
        <w:jc w:val="left"/>
        <w:rPr>
          <w:rFonts w:hint="default" w:ascii="Times New Roman" w:hAnsi="Times New Roman" w:cs="Times New Roman"/>
          <w:b w:val="0"/>
          <w:bCs w:val="0"/>
          <w:sz w:val="24"/>
          <w:szCs w:val="24"/>
          <w:lang w:val="en-US" w:eastAsia="zh-CN"/>
        </w:rPr>
      </w:pPr>
      <w:r>
        <w:rPr>
          <w:rFonts w:hint="default" w:ascii="Times New Roman" w:hAnsi="Times New Roman" w:cs="Times New Roman" w:eastAsiaTheme="minorEastAsia"/>
          <w:b w:val="0"/>
          <w:bCs w:val="0"/>
          <w:kern w:val="2"/>
          <w:sz w:val="24"/>
          <w:szCs w:val="24"/>
          <w:lang w:val="en-US" w:eastAsia="zh-CN" w:bidi="ar-SA"/>
        </w:rPr>
        <w:t>1.</w:t>
      </w:r>
      <w:r>
        <w:rPr>
          <w:rFonts w:hint="default" w:ascii="Times New Roman" w:hAnsi="Times New Roman" w:cs="Times New Roman"/>
          <w:b w:val="0"/>
          <w:bCs w:val="0"/>
          <w:sz w:val="24"/>
          <w:szCs w:val="24"/>
          <w:lang w:val="en-US" w:eastAsia="zh-CN"/>
        </w:rPr>
        <w:t>Vithayathil M, Koku D, Campani C et al. Machine learning based radiomic models outperform clinical biomarkers in predicting outcomes after immunotherapy for hepatocellular carcinoma. J Hepatol. 2025</w:t>
      </w:r>
      <w:r>
        <w:rPr>
          <w:rFonts w:hint="eastAsia" w:ascii="Times New Roman" w:hAnsi="Times New Roman" w:cs="Times New Roman"/>
          <w:b w:val="0"/>
          <w:bCs w:val="0"/>
          <w:sz w:val="24"/>
          <w:szCs w:val="24"/>
          <w:lang w:val="en-US" w:eastAsia="zh-CN"/>
        </w:rPr>
        <w:t>.</w:t>
      </w:r>
    </w:p>
    <w:p w14:paraId="4DB22F57">
      <w:pPr>
        <w:numPr>
          <w:ilvl w:val="0"/>
          <w:numId w:val="0"/>
        </w:numPr>
        <w:spacing w:beforeLines="0" w:afterLines="0" w:line="480" w:lineRule="auto"/>
        <w:ind w:left="0" w:leftChars="0" w:firstLine="0" w:firstLine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eastAsiaTheme="minorEastAsia"/>
          <w:b w:val="0"/>
          <w:bCs w:val="0"/>
          <w:kern w:val="2"/>
          <w:sz w:val="24"/>
          <w:szCs w:val="24"/>
          <w:lang w:val="en-US" w:eastAsia="zh-CN" w:bidi="ar-SA"/>
        </w:rPr>
        <w:t>2.</w:t>
      </w:r>
      <w:r>
        <w:rPr>
          <w:rFonts w:hint="default" w:ascii="Times New Roman" w:hAnsi="Times New Roman" w:cs="Times New Roman"/>
          <w:b w:val="0"/>
          <w:bCs w:val="0"/>
          <w:sz w:val="24"/>
          <w:szCs w:val="24"/>
          <w:lang w:val="en-US" w:eastAsia="zh-CN"/>
        </w:rPr>
        <w:t>Hindocha S, Charlton TG, Linton-Reid K et al. Gross tumour volume radiomics for prognostication of recurrence &amp; death following radical radiotherapy for NSCLC. NPJ Precis Oncol. 2022;6(1):77.</w:t>
      </w:r>
    </w:p>
    <w:p w14:paraId="6CED796E">
      <w:pPr>
        <w:numPr>
          <w:ilvl w:val="0"/>
          <w:numId w:val="0"/>
        </w:numPr>
        <w:spacing w:line="480" w:lineRule="auto"/>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3. </w:t>
      </w:r>
      <w:r>
        <w:rPr>
          <w:rFonts w:hint="default" w:ascii="Times New Roman" w:hAnsi="Times New Roman" w:cs="Times New Roman"/>
          <w:b w:val="0"/>
          <w:bCs w:val="0"/>
          <w:sz w:val="24"/>
          <w:szCs w:val="24"/>
          <w:lang w:val="en-US" w:eastAsia="zh-CN"/>
        </w:rPr>
        <w:t xml:space="preserve">Lin T, Goyal P, Girshick R et al. Focal Loss for Dense Object Detection. IEEE Trans Pattern Anal </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3F8D77"/>
    <w:multiLevelType w:val="singleLevel"/>
    <w:tmpl w:val="EB3F8D77"/>
    <w:lvl w:ilvl="0" w:tentative="0">
      <w:start w:val="2"/>
      <w:numFmt w:val="decimal"/>
      <w:suff w:val="space"/>
      <w:lvlText w:val="%1."/>
      <w:lvlJc w:val="left"/>
      <w:rPr>
        <w:rFonts w:hint="default"/>
        <w:b/>
        <w:bCs/>
        <w:i/>
        <w:i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4E9B0761-463B-4037-8BB8-C50DEBE595D9}" w:val=" ADDIN NE.Ref.{4E9B0761-463B-4037-8BB8-C50DEBE595D9}&lt;Citation&gt;&lt;Group&gt;&lt;References&gt;&lt;Item&gt;&lt;ID&gt;284&lt;/ID&gt;&lt;UID&gt;{A629848E-6349-448D-97B4-588B83A24B81}&lt;/UID&gt;&lt;Title&gt;Machine learning based radiomic models outperform clinical biomarkers in predicting outcomes after immunotherapy for hepatocellular carcinoma&lt;/Title&gt;&lt;Template&gt;Journal Article&lt;/Template&gt;&lt;Star&gt;0&lt;/Star&gt;&lt;Tag&gt;0&lt;/Tag&gt;&lt;Author&gt;Vithayathil, Mathew; Koku, Deniz; Campani, Claudia; Nault, Jean-Charles; Sutter, Olivier; Ganne-Carrié, Nathalie; Aboagye, Eric O; Sharma, Rohini&lt;/Author&gt;&lt;Year&gt;2025&lt;/Year&gt;&lt;Details&gt;&lt;_accessed&gt;66131811&lt;/_accessed&gt;&lt;_accession_num&gt;40246150&lt;/_accession_num&gt;&lt;_author_adr&gt;Department of Surgery &amp;amp; Cancer, Imperial College London, London, UK.; Department of Surgery &amp;amp; Cancer, Imperial College London, London, UK.; Cordeliers Research Center, Sorbonne University, Inserm, Paris Cite University,  &amp;quot;Functional Genomics of Solid Tumours&amp;quot; Team, Ligue Nationale Contre le Cancer  Accredited Team, Labex OncoImmunology, Paris, France; Department of Experimental  and Clinical Medicine, Internal Medicine and Hepatology Unit, University of  Firenze, Florence, Italy.; Cordeliers Research Center, Sorbonne University, Inserm, Paris Cite University,  &amp;quot;Functional Genomics of Solid Tumours&amp;quot; Team, Ligue Nationale Contre le Cancer  Accredited Team, Labex OncoImmunology, Paris, France; Liver Unit, Avicenne  Hospital, Paris-Seine-Saint-Denis Universitary Hospitas, AP-HP, Bobigny, France.; Diagnostic and Interventional Imaging Department, Avicenne Hospital, AP-HP,  France; University of Bordeaux, IMB, UMR CNRS 5251, INRIA Project Team Monc,  Talence, France.; Cordeliers Research Center, Sorbonne University, Inserm, Paris Cite University,  &amp;quot;Functional Genomics of Solid Tumours&amp;quot; Team, Ligue Nationale Contre le Cancer  Accredited Team, Labex OncoImmunology, Paris, France; Liver Unit, Avicenne  Hospital, Paris-Seine-Saint-Denis Universitary Hospitas, AP-HP, Bobigny, France.; Department of Surgery &amp;amp; Cancer, Imperial College London, London, UK.; Department of Surgery &amp;amp; Cancer, Imperial College London, London, UK. Electronic  address: r.sharma@imperial.ac.uk.&lt;/_author_adr&gt;&lt;_collection_scope&gt;SCIE&lt;/_collection_scope&gt;&lt;_created&gt;66010817&lt;/_created&gt;&lt;_date&gt;65744640&lt;/_date&gt;&lt;_date_display&gt;2025&lt;/_date_display&gt;&lt;_db_updated&gt;PKU Search&lt;/_db_updated&gt;&lt;_doi&gt;10.1016/j.jhep.2025.04.017&lt;/_doi&gt;&lt;_impact_factor&gt;  33.000&lt;/_impact_factor&gt;&lt;_isbn&gt;0168-8278;1600-0641;&lt;/_isbn&gt;&lt;_journal&gt;Journal of hepatology&lt;/_journal&gt;&lt;_keywords&gt;atezolizumab; bevacizumab; hepatocellular carcinoma; immunotherapy; machine learning; radiomics&lt;/_keywords&gt;&lt;_language&gt;eng&lt;/_language&gt;&lt;_modified&gt;66353087&lt;/_modified&gt;&lt;_number&gt;1&lt;/_number&gt;&lt;_ori_publication&gt;Elsevier B.V&lt;/_ori_publication&gt;&lt;_place_published&gt;Netherlands&lt;/_place_published&gt;&lt;_social_category&gt;胃肠肝病学(1)&lt;/_social_category&gt;&lt;_tertiary_title&gt;Journal of hepatology&lt;/_tertiary_title&gt;&lt;_type_work&gt;Journal Article&lt;/_type_work&gt;&lt;_url&gt;https://go.exlibris.link/k7mMt1Vd&lt;/_url&gt;&lt;/Details&gt;&lt;Extra&gt;&lt;DBUID&gt;{76D57544-65F6-417D-8258-2E615FD03E68}&lt;/DBUID&gt;&lt;/Extra&gt;&lt;/Item&gt;&lt;/References&gt;&lt;/Group&gt;&lt;Group&gt;&lt;References&gt;&lt;Item&gt;&lt;ID&gt;304&lt;/ID&gt;&lt;UID&gt;{16AFE7A1-43AF-419E-8199-1012C3FE17A4}&lt;/UID&gt;&lt;Title&gt;Gross tumour volume radiomics for prognostication of recurrence &amp;amp; death following radical radiotherapy for NSCLC&lt;/Title&gt;&lt;Template&gt;Journal Article&lt;/Template&gt;&lt;Star&gt;0&lt;/Star&gt;&lt;Tag&gt;0&lt;/Tag&gt;&lt;Author&gt;Hindocha, Sumeet; Charlton, Thomas G; Linton-Reid, Kristofer; Hunter, Benjamin; Chan, Charleen; Ahmed, Merina; Greenlay, Emily J; Orton, Matthew; Bunce, Catey; Lunn, Jason; Doran, Simon J; Ahmad, Shahreen; McDonald, Fiona; Locke, Imogen; Power, Danielle; Blackledge, Matthew; Lee, Richard W; Aboagye, Eric O&lt;/Author&gt;&lt;Year&gt;2022&lt;/Year&gt;&lt;Details&gt;&lt;_accession_num&gt;36302938&lt;/_accession_num&gt;&lt;_author_adr&gt;Lung Unit, The Royal Marsden NHS Foundation Trust, London, UK.; AI for Healthcare Centre for Doctoral Training, Imperial College London, London,  UK.; Institute of Cancer Research NIHR Biomedical Research Centre, London, UK.; Cancer Imaging Centre, Department of Surgery &amp;amp; Cancer, Imperial College London,  London, UK.; Guy&amp;apos;s Cancer Centre, Guy&amp;apos;s and St Thomas&amp;apos; NHS Foundation Trust, London, UK.; Cancer Imaging Centre, Department of Surgery &amp;amp; Cancer, Imperial College London,  London, UK.; Lung Unit, The Royal Marsden NHS Foundation Trust, London, UK.; Institute of Cancer Research NIHR Biomedical Research Centre, London, UK.; Cancer Imaging Centre, Department of Surgery &amp;amp; Cancer, Imperial College London,  London, UK.; Institute of Cancer Research NIHR Biomedical Research Centre, London, UK.; Lung Unit, The Royal Marsden NHS Foundation Trust, Sutton, UK.; Clinical Trials Unit, Royal Marsden NHS Foundation Trust, Sutton, UK.; Artificial Intelligence Imaging Hub, Royal Marsden NHS Foundation Trust, Sutton,  UK.; Clinical Trials Unit, Royal Marsden NHS Foundation Trust, Sutton, UK.; Institute of Cancer Research NIHR Biomedical Research Centre, London, UK.; Institute of Cancer Research NIHR Biomedical Research Centre, London, UK.; Guy&amp;apos;s Cancer Centre, Guy&amp;apos;s and St Thomas&amp;apos; NHS Foundation Trust, London, UK.; Lung Unit, The Royal Marsden NHS Foundation Trust, London, UK.; Institute of Cancer Research NIHR Biomedical Research Centre, London, UK.; Lung Unit, The Royal Marsden NHS Foundation Trust, Sutton, UK.; Department of Clinical Oncology, Charing Cross Hospital, London, UK.; Radiotherapy and Imaging, Institute of Cancer Research, London, UK.; Lung Unit, The Royal Marsden NHS Foundation Trust, London, UK.; Early Diagnosis and Detection Team, Institute of Cancer Research, London, UK.; Cancer Imaging Centre, Department of Surgery &amp;amp; Cancer, Imperial College London,  London, UK. eric.aboagye@imperial.ac.uk.&lt;/_author_adr&gt;&lt;_collection_scope&gt;SCIE&lt;/_collection_scope&gt;&lt;_created&gt;66102776&lt;/_created&gt;&lt;_date&gt;2022-10-27&lt;/_date&gt;&lt;_date_display&gt;2022 Oct 27&lt;/_date_display&gt;&lt;_db_updated&gt;PubMed&lt;/_db_updated&gt;&lt;_doi&gt;10.1038/s41698-022-00322-3&lt;/_doi&gt;&lt;_impact_factor&gt;   6.800&lt;/_impact_factor&gt;&lt;_isbn&gt;2397-768X (Print); 2397-768X (Electronic); 2397-768X (Linking)&lt;/_isbn&gt;&lt;_issue&gt;1&lt;/_issue&gt;&lt;_journal&gt;NPJ Precis Oncol&lt;/_journal&gt;&lt;_language&gt;eng&lt;/_language&gt;&lt;_modified&gt;66353092&lt;/_modified&gt;&lt;_ori_publication&gt;(c) 2022. The Author(s).&lt;/_ori_publication&gt;&lt;_pages&gt;77&lt;/_pages&gt;&lt;_social_category&gt;肿瘤学(2)&lt;/_social_category&gt;&lt;_tertiary_title&gt;NPJ precision oncology&lt;/_tertiary_title&gt;&lt;_type_work&gt;Journal Article&lt;/_type_work&gt;&lt;_url&gt;http://www.ncbi.nlm.nih.gov/entrez/query.fcgi?cmd=Retrieve&amp;amp;db=pubmed&amp;amp;dopt=Abstract&amp;amp;list_uids=36302938&amp;amp;query_hl=1&lt;/_url&gt;&lt;_volume&gt;6&lt;/_volume&gt;&lt;/Details&gt;&lt;Extra&gt;&lt;DBUID&gt;{76D57544-65F6-417D-8258-2E615FD03E68}&lt;/DBUID&gt;&lt;/Extra&gt;&lt;/Item&gt;&lt;/References&gt;&lt;/Group&gt;&lt;/Citation&gt;_x000a_"/>
    <w:docVar w:name="NE.Ref{648552F4-5500-4E1A-86AC-37AD8080A050}" w:val=" ADDIN NE.Ref.{648552F4-5500-4E1A-86AC-37AD8080A050}&lt;Citation&gt;&lt;Group&gt;&lt;References&gt;&lt;Item&gt;&lt;ID&gt;1352&lt;/ID&gt;&lt;UID&gt;{D72F8CAD-14EC-4983-8E03-EFCF1831D093}&lt;/UID&gt;&lt;Title&gt;Focal Loss for Dense Object Detection&lt;/Title&gt;&lt;Template&gt;Journal Article&lt;/Template&gt;&lt;Star&gt;0&lt;/Star&gt;&lt;Tag&gt;0&lt;/Tag&gt;&lt;Author&gt;Lin, Tsung-Yi; Goyal, Priya; Girshick, Ross; He, Kaiming; Dollar, Piotr&lt;/Author&gt;&lt;Year&gt;2020&lt;/Year&gt;&lt;Details&gt;&lt;_accession_num&gt;30040631&lt;/_accession_num&gt;&lt;_collection_scope&gt;SCIE;EI&lt;/_collection_scope&gt;&lt;_created&gt;66117052&lt;/_created&gt;&lt;_date&gt;2020-02-01&lt;/_date&gt;&lt;_date_display&gt;2020 Feb&lt;/_date_display&gt;&lt;_db_updated&gt;PubMed&lt;/_db_updated&gt;&lt;_doi&gt;10.1109/TPAMI.2018.2858826&lt;/_doi&gt;&lt;_impact_factor&gt;   5.600&lt;/_impact_factor&gt;&lt;_isbn&gt;1939-3539 (Electronic); 0098-5589 (Linking)&lt;/_isbn&gt;&lt;_issue&gt;2&lt;/_issue&gt;&lt;_journal&gt;IEEE Trans Pattern Anal Mach Intell&lt;/_journal&gt;&lt;_language&gt;eng&lt;/_language&gt;&lt;_modified&gt;66117052&lt;/_modified&gt;&lt;_pages&gt;318-327&lt;/_pages&gt;&lt;_social_category&gt;计算机：人工智能(1) &amp;amp; 工程：电子与电气(1)&lt;/_social_category&gt;&lt;_tertiary_title&gt;IEEE transactions on pattern analysis and machine intelligence&lt;/_tertiary_title&gt;&lt;_type_work&gt;Journal Article&lt;/_type_work&gt;&lt;_url&gt;http://www.ncbi.nlm.nih.gov/entrez/query.fcgi?cmd=Retrieve&amp;amp;db=pubmed&amp;amp;dopt=Abstract&amp;amp;list_uids=30040631&amp;amp;query_hl=1&lt;/_url&gt;&lt;_volume&gt;42&lt;/_volume&gt;&lt;/Details&gt;&lt;Extra&gt;&lt;DBUID&gt;{03752FAB-B361-4F66-989B-C711D9502F78}&lt;/DBUID&gt;&lt;/Extra&gt;&lt;/Item&gt;&lt;/References&gt;&lt;/Group&gt;&lt;/Citation&gt;_x000a_"/>
    <w:docVar w:name="ne_stylename" w:val="SpringerVancouverNumber New"/>
  </w:docVars>
  <w:rsids>
    <w:rsidRoot w:val="00172A27"/>
    <w:rsid w:val="11376D5D"/>
    <w:rsid w:val="189B3AC2"/>
    <w:rsid w:val="2EBC05C2"/>
    <w:rsid w:val="4E31693A"/>
    <w:rsid w:val="54CA13DC"/>
    <w:rsid w:val="5CEF6AC7"/>
    <w:rsid w:val="60C154F8"/>
    <w:rsid w:val="64B85DBB"/>
    <w:rsid w:val="773D5C32"/>
    <w:rsid w:val="7EED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标题 1 Char"/>
    <w:link w:val="2"/>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696</Words>
  <Characters>3696</Characters>
  <Lines>0</Lines>
  <Paragraphs>0</Paragraphs>
  <TotalTime>31</TotalTime>
  <ScaleCrop>false</ScaleCrop>
  <LinksUpToDate>false</LinksUpToDate>
  <CharactersWithSpaces>4317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2026-03-25T04:51:00Z</dcterms:created>
  <dc:creator>author</dc:creator>
  <cp:lastModifiedBy>author</cp:lastModifiedBy>
  <dcterms:modified xsi:type="dcterms:W3CDTF">2026-06-12T14:13:23Z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C321B2612A4F49E7BCF0286760667F15_11</vt:lpwstr>
  </property>
  <property fmtid="{D5CDD505-2E9C-101B-9397-08002B2CF9AE}" pid="4" name="KSOTemplateDocerSaveRecord">
    <vt:lpwstr>eyJoZGlkIjoiMzEwNTM5NzYwMDRjMzkwZTVkZjY2ODkwMGIxNGU0OTUiLCJ1c2VySWQiOiIxNTU4NDYyMjU4In0=</vt:lpwstr>
  </property>
</Properties>
</file>