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8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1063"/>
        <w:gridCol w:w="1885"/>
        <w:gridCol w:w="1026"/>
        <w:gridCol w:w="1111"/>
        <w:gridCol w:w="222"/>
        <w:gridCol w:w="2006"/>
        <w:gridCol w:w="222"/>
        <w:gridCol w:w="1485"/>
        <w:gridCol w:w="1425"/>
        <w:gridCol w:w="1425"/>
        <w:gridCol w:w="6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8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Table 2 Case-control studies bias assessment using the Newcastle-Ottawa Scale (NOS)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Study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SELECTION</w:t>
            </w:r>
          </w:p>
        </w:tc>
        <w:tc>
          <w:tcPr>
            <w:tcW w:w="1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COMPARABILITY</w:t>
            </w:r>
          </w:p>
        </w:tc>
        <w:tc>
          <w:tcPr>
            <w:tcW w:w="1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Total score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218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8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Is the case definition adequate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Representativeness of the cases</w:t>
            </w:r>
          </w:p>
        </w:tc>
        <w:tc>
          <w:tcPr>
            <w:tcW w:w="948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Selection of controls</w:t>
            </w:r>
          </w:p>
        </w:tc>
        <w:tc>
          <w:tcPr>
            <w:tcW w:w="984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Definition of controls</w:t>
            </w:r>
          </w:p>
        </w:tc>
        <w:tc>
          <w:tcPr>
            <w:tcW w:w="1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Comparability of cases and controls of design or analysis</w:t>
            </w:r>
          </w:p>
        </w:tc>
        <w:tc>
          <w:tcPr>
            <w:tcW w:w="1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Ascertainment of exposure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Same method of ascertainment for cases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Non-response rate</w:t>
            </w: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18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Maceda 2018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[24]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1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Arnedo-Pena 2011</w:t>
            </w:r>
            <w:bookmarkStart w:id="0" w:name="_GoBack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[25]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10BC3"/>
    <w:rsid w:val="134A763A"/>
    <w:rsid w:val="19B1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2021-09-27T08:30:00Z</dcterms:created>
  <dc:creator>谢铭</dc:creator>
  <cp:lastModifiedBy>谢铭</cp:lastModifiedBy>
  <dcterms:modified xsi:type="dcterms:W3CDTF">2021-09-27T08:49:21Z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4776ECD079B44CC0AAC7B58A60944E4A</vt:lpwstr>
  </property>
</Properties>
</file>