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384E" w14:textId="77777777" w:rsidR="003F40CA" w:rsidRDefault="003F40CA" w:rsidP="003F40CA">
      <w:pPr>
        <w:pStyle w:val="Heading2"/>
      </w:pPr>
      <w:r>
        <w:rPr>
          <w:rFonts w:ascii="Times New Roman" w:hAnsi="Times New Roman"/>
          <w:sz w:val="24"/>
        </w:rPr>
        <w:t>Fig. S1 Donor/sample sensitivity of the strict-core fibroblast activation-like continuum</w:t>
      </w:r>
    </w:p>
    <w:p w14:paraId="3E53F402" w14:textId="77777777" w:rsidR="003F40CA" w:rsidRDefault="003F40CA" w:rsidP="003F40CA">
      <w:pPr>
        <w:jc w:val="center"/>
      </w:pPr>
      <w:r>
        <w:rPr>
          <w:noProof/>
        </w:rPr>
        <w:drawing>
          <wp:inline distT="0" distB="0" distL="0" distR="0" wp14:anchorId="26C99993" wp14:editId="1F15543A">
            <wp:extent cx="54864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sample_sensitivity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4CB3E" w14:textId="77777777" w:rsidR="003F40CA" w:rsidRDefault="003F40CA" w:rsidP="003F40CA">
      <w:pPr>
        <w:jc w:val="center"/>
      </w:pPr>
    </w:p>
    <w:p w14:paraId="59B5CD2F" w14:textId="77777777" w:rsidR="003F40CA" w:rsidRDefault="003F40CA" w:rsidP="003F40CA">
      <w:r>
        <w:t>Fig. S1 summarizes the strict-core sample sensitivity analysis in GSE183904. Panel A compares the activation-index cluster order at baseline, after leaving out sample8, after leaving out sample34, and after leaving out both samples, testing whether the order cluster 2 &lt; cluster 1 &lt; cluster 3 is preserved. Panel B summarizes representative Tier1 activation-related genes (TAGLN, ACTG2, MYL9, IGFBP7, MMP1, CSRP1, PDPN, F2R) across the same sensitivity scenarios. The analysis tested whether the strict-core activation axis and Tier1 activation signal were driven solely by the sample8 or sample34 donor imbalance; six of the eight representative genes retained the expected signal in all scenarios; APOD and LSP1 lost signal in the sample34-absent scenarios, and APOD is part of the final seven-gene signature, indicating partial donor sensitivity.</w:t>
      </w:r>
    </w:p>
    <w:p w14:paraId="2E8D5EBD" w14:textId="77777777" w:rsidR="003F40CA" w:rsidRDefault="003F40CA" w:rsidP="003F40CA">
      <w:pPr>
        <w:pStyle w:val="Heading2"/>
      </w:pPr>
      <w:r>
        <w:rPr>
          <w:rFonts w:ascii="Times New Roman" w:hAnsi="Times New Roman"/>
          <w:sz w:val="24"/>
        </w:rPr>
        <w:lastRenderedPageBreak/>
        <w:t>Fig. S2 Frozen-score bootstrap sensitivity analysis of TCGA internal performance</w:t>
      </w:r>
    </w:p>
    <w:p w14:paraId="00784A43" w14:textId="77777777" w:rsidR="003F40CA" w:rsidRDefault="003F40CA" w:rsidP="003F40CA">
      <w:pPr>
        <w:jc w:val="center"/>
      </w:pPr>
      <w:r>
        <w:rPr>
          <w:noProof/>
        </w:rPr>
        <w:drawing>
          <wp:inline distT="0" distB="0" distL="0" distR="0" wp14:anchorId="104CF4EA" wp14:editId="735C5F31">
            <wp:extent cx="5486400" cy="38404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_frozen_score_bootstrap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9866" w14:textId="77777777" w:rsidR="003F40CA" w:rsidRDefault="003F40CA" w:rsidP="003F40CA">
      <w:pPr>
        <w:jc w:val="center"/>
      </w:pPr>
    </w:p>
    <w:p w14:paraId="34745367" w14:textId="77777777" w:rsidR="003F40CA" w:rsidRDefault="003F40CA" w:rsidP="003F40CA">
      <w:r>
        <w:t>Fig. S2 compares apparent and optimism-corrected C-index and time-dependent AUC using frozen-score bootstrap resampling (1,000 resamples). This analysis uses the fixed final seven-gene risk score without gene reselection, LASSO refitting, coefficient updating, or cutoff updating. Maximum observed optimism was 0.002, indicating negligible fixed-score overfitting beyond the original model-development pipeline.</w:t>
      </w:r>
    </w:p>
    <w:p w14:paraId="6DB06D4B" w14:textId="77777777" w:rsidR="003F40CA" w:rsidRDefault="003F40CA" w:rsidP="003F40CA">
      <w:pPr>
        <w:pStyle w:val="Heading2"/>
      </w:pPr>
      <w:r>
        <w:rPr>
          <w:rFonts w:ascii="Times New Roman" w:hAnsi="Times New Roman"/>
          <w:sz w:val="24"/>
        </w:rPr>
        <w:lastRenderedPageBreak/>
        <w:t>Fig. S3 Full-pipeline bootstrap optimism correction and gene-selection stability</w:t>
      </w:r>
    </w:p>
    <w:p w14:paraId="245DDAC2" w14:textId="77777777" w:rsidR="003F40CA" w:rsidRDefault="003F40CA" w:rsidP="003F40CA">
      <w:pPr>
        <w:jc w:val="center"/>
      </w:pPr>
      <w:r>
        <w:rPr>
          <w:noProof/>
        </w:rPr>
        <w:drawing>
          <wp:inline distT="0" distB="0" distL="0" distR="0" wp14:anchorId="39BCBEC1" wp14:editId="18EED7F2">
            <wp:extent cx="5486400" cy="609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_full_pipeline_bootstra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E1420" w14:textId="77777777" w:rsidR="003F40CA" w:rsidRDefault="003F40CA" w:rsidP="003F40CA">
      <w:pPr>
        <w:jc w:val="center"/>
      </w:pPr>
    </w:p>
    <w:p w14:paraId="2E76ECB0" w14:textId="77777777" w:rsidR="003F40CA" w:rsidRDefault="003F40CA" w:rsidP="003F40CA">
      <w:r>
        <w:t xml:space="preserve">Fig. S3 summarizes the full-pipeline bootstrap analysis (500 resamples) in which univariable Cox screening, LASSO-Cox </w:t>
      </w:r>
      <w:proofErr w:type="spellStart"/>
      <w:r>
        <w:t>lambda.min</w:t>
      </w:r>
      <w:proofErr w:type="spellEnd"/>
      <w:r>
        <w:t xml:space="preserve"> fitting, coefficient estimation, and bootstrap-median cutoff derivation were repeated in each resample. Panel A compares original apparent and optimism-corrected C-index and time-dependent AUC; the corrected C-index was 0.576, with mean optimism of 0.059. Panel B shows gene selection frequency across the 500 </w:t>
      </w:r>
      <w:proofErr w:type="gramStart"/>
      <w:r>
        <w:t>resamples</w:t>
      </w:r>
      <w:proofErr w:type="gramEnd"/>
      <w:r>
        <w:t xml:space="preserve"> for the 25 most frequently selected genes, with the final seven signature genes highlighted. This figure assesses model-development optimism and gene-selection stability from the broader </w:t>
      </w:r>
      <w:r>
        <w:lastRenderedPageBreak/>
        <w:t>105-gene mapped Tier1 pool and should not be interpreted as a replacement model for the final fixed seven-gene signature.</w:t>
      </w:r>
    </w:p>
    <w:p w14:paraId="2362E658" w14:textId="77777777" w:rsidR="003F40CA" w:rsidRDefault="003F40CA" w:rsidP="003F40CA">
      <w:pPr>
        <w:pStyle w:val="Heading2"/>
      </w:pPr>
      <w:r>
        <w:rPr>
          <w:rFonts w:ascii="Times New Roman" w:hAnsi="Times New Roman"/>
          <w:sz w:val="24"/>
        </w:rPr>
        <w:t xml:space="preserve">Fig. S4 Risk score compared with </w:t>
      </w:r>
      <w:proofErr w:type="spellStart"/>
      <w:r>
        <w:rPr>
          <w:rFonts w:ascii="Times New Roman" w:hAnsi="Times New Roman"/>
          <w:sz w:val="24"/>
        </w:rPr>
        <w:t>StromalScore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ESTIMATEScore</w:t>
      </w:r>
      <w:proofErr w:type="spellEnd"/>
      <w:r>
        <w:rPr>
          <w:rFonts w:ascii="Times New Roman" w:hAnsi="Times New Roman"/>
          <w:sz w:val="24"/>
        </w:rPr>
        <w:t xml:space="preserve"> in TCGA</w:t>
      </w:r>
    </w:p>
    <w:p w14:paraId="242B7F9C" w14:textId="77777777" w:rsidR="003F40CA" w:rsidRDefault="003F40CA" w:rsidP="003F40CA">
      <w:pPr>
        <w:jc w:val="center"/>
      </w:pPr>
      <w:r>
        <w:rPr>
          <w:noProof/>
        </w:rPr>
        <w:drawing>
          <wp:inline distT="0" distB="0" distL="0" distR="0" wp14:anchorId="1DDF0C9F" wp14:editId="10F401F6">
            <wp:extent cx="5486400" cy="331075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_stromal_score_compariso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3BA5" w14:textId="77777777" w:rsidR="003F40CA" w:rsidRDefault="003F40CA" w:rsidP="003F40CA">
      <w:pPr>
        <w:jc w:val="center"/>
      </w:pPr>
    </w:p>
    <w:p w14:paraId="16BBF6B8" w14:textId="77777777" w:rsidR="003F40CA" w:rsidRDefault="003F40CA" w:rsidP="003F40CA">
      <w:r>
        <w:t xml:space="preserve">Fig. S4 compares the prognostic association of risk score, </w:t>
      </w:r>
      <w:proofErr w:type="spellStart"/>
      <w:r>
        <w:t>StromalScore</w:t>
      </w:r>
      <w:proofErr w:type="spellEnd"/>
      <w:r>
        <w:t xml:space="preserve">, and </w:t>
      </w:r>
      <w:proofErr w:type="spellStart"/>
      <w:r>
        <w:t>ESTIMATEScore</w:t>
      </w:r>
      <w:proofErr w:type="spellEnd"/>
      <w:r>
        <w:t xml:space="preserve"> in the fixed 388-sample TCGA evaluation set. The risk score C-index (0.636) exceeded </w:t>
      </w:r>
      <w:proofErr w:type="spellStart"/>
      <w:r>
        <w:t>StromalScore</w:t>
      </w:r>
      <w:proofErr w:type="spellEnd"/>
      <w:r>
        <w:t xml:space="preserve"> (0.565) and </w:t>
      </w:r>
      <w:proofErr w:type="spellStart"/>
      <w:r>
        <w:t>ESTIMATEScore</w:t>
      </w:r>
      <w:proofErr w:type="spellEnd"/>
      <w:r>
        <w:t xml:space="preserve"> (0.552), as did 1- and 3-year AUCs; at 5 years, </w:t>
      </w:r>
      <w:proofErr w:type="spellStart"/>
      <w:r>
        <w:t>StromalScore</w:t>
      </w:r>
      <w:proofErr w:type="spellEnd"/>
      <w:r>
        <w:t xml:space="preserve"> AUC (0.656) was </w:t>
      </w:r>
      <w:proofErr w:type="gramStart"/>
      <w:r>
        <w:t>similar to</w:t>
      </w:r>
      <w:proofErr w:type="gramEnd"/>
      <w:r>
        <w:t xml:space="preserve"> and slightly higher than risk score AUC (0.648). The figure supports the focused Cox analyses testing whether the seven-gene score remains associated with overall survival beyond generic stromal or ESTIMATE abundance.</w:t>
      </w:r>
    </w:p>
    <w:p w14:paraId="43F4B926" w14:textId="77777777" w:rsidR="003F40CA" w:rsidRDefault="003F40CA" w:rsidP="003F40CA">
      <w:pPr>
        <w:pStyle w:val="Heading2"/>
      </w:pPr>
      <w:r>
        <w:lastRenderedPageBreak/>
        <w:t>Fig. S5 Donor-aware activation consistency and incremental prognostic information</w:t>
      </w:r>
    </w:p>
    <w:p w14:paraId="1E6FCB83" w14:textId="77777777" w:rsidR="003F40CA" w:rsidRDefault="003F40CA" w:rsidP="003F40CA">
      <w:pPr>
        <w:jc w:val="center"/>
      </w:pPr>
      <w:r>
        <w:rPr>
          <w:noProof/>
        </w:rPr>
        <w:drawing>
          <wp:inline distT="0" distB="0" distL="0" distR="0" wp14:anchorId="7BFBF7CE" wp14:editId="0C5E97F2">
            <wp:extent cx="5486400" cy="5638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5_assembl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F18DC" w14:textId="77777777" w:rsidR="003F40CA" w:rsidRDefault="003F40CA" w:rsidP="003F40CA">
      <w:r>
        <w:t xml:space="preserve">Fig. S5 summarizes donor-aware single-cell consistency and prespecified score comparisons. Panel A shows donor-level median activation index across the C2 resident-like, C1 intermediate, and C3 activated-like clusters for the 16 donors with at least five cells in each cluster; black diamonds indicate medians. Panel B shows the fraction of these donors with a positive expression slope for each fixed signature gene. Panel C compares score-only Harrell C-indices for the frozen weighted score, unweighted seven-gene mean, Tier1 module </w:t>
      </w:r>
      <w:proofErr w:type="gramStart"/>
      <w:r>
        <w:t>mean</w:t>
      </w:r>
      <w:proofErr w:type="gramEnd"/>
      <w:r>
        <w:t xml:space="preserve">, and TCGA </w:t>
      </w:r>
      <w:proofErr w:type="spellStart"/>
      <w:r>
        <w:t>StromalScore</w:t>
      </w:r>
      <w:proofErr w:type="spellEnd"/>
      <w:r>
        <w:t xml:space="preserve">. Panel D shows the apparent change in C-index after adding each score to cohort-specific clinical models, with 300-resample bootstrap intervals after excluding </w:t>
      </w:r>
      <w:r>
        <w:lastRenderedPageBreak/>
        <w:t>replicates with Cox warnings or errors. Clinical coefficients were fitted within each cohort; the increment analysis does not define a transportable combined clinical model.</w:t>
      </w:r>
    </w:p>
    <w:p w14:paraId="4D1D9879" w14:textId="77777777" w:rsidR="00C6465A" w:rsidRDefault="00C6465A"/>
    <w:sectPr w:rsidR="00C6465A" w:rsidSect="003F40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CA"/>
    <w:rsid w:val="000905F0"/>
    <w:rsid w:val="00112C91"/>
    <w:rsid w:val="00242B4F"/>
    <w:rsid w:val="00302F9E"/>
    <w:rsid w:val="003F40CA"/>
    <w:rsid w:val="004733E3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F147"/>
  <w15:chartTrackingRefBased/>
  <w15:docId w15:val="{20DEA34C-F9BA-478B-84FA-884DFEB3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0CA"/>
    <w:pPr>
      <w:spacing w:after="0" w:line="360" w:lineRule="auto"/>
      <w:jc w:val="both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0C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0C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0C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0C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0C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0C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0C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0C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0C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4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0C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4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0C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4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0C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4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0C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4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520</Words>
  <Characters>3339</Characters>
  <Application>Microsoft Office Word</Application>
  <DocSecurity>0</DocSecurity>
  <Lines>66</Lines>
  <Paragraphs>35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2026-08-03T09:43:00Z</dcterms:created>
  <dcterms:modified xsi:type="dcterms:W3CDTF">2026-08-03T09:44:00Z</dcterms:modified>
</cp:coreProperties>
</file>