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6165" w14:textId="77777777" w:rsidR="004D3488" w:rsidRDefault="004D3488" w:rsidP="004D3488">
      <w:pPr>
        <w:jc w:val="both"/>
      </w:pPr>
      <w:r>
        <w:rPr>
          <w:b/>
        </w:rPr>
        <w:t>Table 3</w:t>
      </w:r>
    </w:p>
    <w:p w14:paraId="06582527" w14:textId="77777777" w:rsidR="004D3488" w:rsidRDefault="004D3488" w:rsidP="004D3488">
      <w:pPr>
        <w:jc w:val="both"/>
      </w:pPr>
      <w:r>
        <w:rPr>
          <w:i/>
        </w:rPr>
        <w:t xml:space="preserve">Measurement invariance in the 2 correlated factor model (software package </w:t>
      </w:r>
      <w:proofErr w:type="spellStart"/>
      <w:r>
        <w:rPr>
          <w:i/>
        </w:rPr>
        <w:t>lavaan</w:t>
      </w:r>
      <w:proofErr w:type="spellEnd"/>
      <w:r>
        <w:rPr>
          <w:i/>
        </w:rPr>
        <w:t>)</w:t>
      </w:r>
    </w:p>
    <w:tbl>
      <w:tblPr>
        <w:tblW w:w="938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607"/>
        <w:gridCol w:w="1365"/>
        <w:gridCol w:w="992"/>
        <w:gridCol w:w="709"/>
        <w:gridCol w:w="851"/>
        <w:gridCol w:w="850"/>
        <w:gridCol w:w="851"/>
        <w:gridCol w:w="1134"/>
        <w:gridCol w:w="1022"/>
      </w:tblGrid>
      <w:tr w:rsidR="004D3488" w:rsidRPr="00132FB5" w14:paraId="1DE0A1E5" w14:textId="77777777" w:rsidTr="005F1C01">
        <w:trPr>
          <w:trHeight w:val="679"/>
          <w:tblHeader/>
          <w:jc w:val="center"/>
        </w:trPr>
        <w:tc>
          <w:tcPr>
            <w:tcW w:w="16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960B40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9E65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Invariance Level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B642E" w14:textId="77777777" w:rsidR="004D3488" w:rsidRPr="00B05B47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X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0A3B" w14:textId="77777777" w:rsidR="004D3488" w:rsidRPr="00B05B47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6B40" w14:textId="77777777" w:rsidR="004D3488" w:rsidRPr="00B05B47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4CCA" w14:textId="77777777" w:rsidR="004D3488" w:rsidRPr="00B05B47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CFI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D9B7" w14:textId="77777777" w:rsidR="004D3488" w:rsidRPr="00B05B47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TLI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36E5" w14:textId="77777777" w:rsidR="004D3488" w:rsidRPr="00B05B47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RMSEA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BAF1" w14:textId="77777777" w:rsidR="004D3488" w:rsidRPr="00B05B47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</w:rPr>
              <w:t>SRMR</w:t>
            </w:r>
          </w:p>
        </w:tc>
      </w:tr>
      <w:tr w:rsidR="004D3488" w:rsidRPr="00132FB5" w14:paraId="29D3DAD0" w14:textId="77777777" w:rsidTr="005F1C01">
        <w:trPr>
          <w:trHeight w:val="1189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4DAF88DC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Type of sample (</w:t>
            </w:r>
            <w:r>
              <w:rPr>
                <w:rFonts w:cs="Times New Roman"/>
                <w:b/>
                <w:sz w:val="20"/>
                <w:szCs w:val="20"/>
              </w:rPr>
              <w:t>non-clinical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n=220 /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clínical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 xml:space="preserve"> n=195)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4260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 Configural Invariance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50A3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410.896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6F69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BBBA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3AB54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B0C6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6E0D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C58F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0.072</w:t>
            </w:r>
          </w:p>
        </w:tc>
      </w:tr>
      <w:tr w:rsidR="004D3488" w:rsidRPr="00132FB5" w14:paraId="49EFC0BF" w14:textId="77777777" w:rsidTr="005F1C01">
        <w:trPr>
          <w:trHeight w:val="679"/>
          <w:jc w:val="center"/>
        </w:trPr>
        <w:tc>
          <w:tcPr>
            <w:tcW w:w="1607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3F7E2B90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1085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2. Metric Invariance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8BD06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480.147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4894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0E7C" w14:textId="77777777" w:rsidR="004D3488" w:rsidRPr="00954DF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9824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E88E6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C814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9005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0.082</w:t>
            </w:r>
          </w:p>
        </w:tc>
      </w:tr>
      <w:tr w:rsidR="004D3488" w:rsidRPr="00132FB5" w14:paraId="193A43B3" w14:textId="77777777" w:rsidTr="005F1C01">
        <w:trPr>
          <w:trHeight w:val="679"/>
          <w:jc w:val="center"/>
        </w:trPr>
        <w:tc>
          <w:tcPr>
            <w:tcW w:w="160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C22A52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317A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3. Scalar Invariance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FD2C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679.019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5189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B25D" w14:textId="77777777" w:rsidR="004D3488" w:rsidRPr="00954DF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5919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0.969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0095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0835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95F3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0.083</w:t>
            </w:r>
          </w:p>
        </w:tc>
      </w:tr>
      <w:tr w:rsidR="004D3488" w:rsidRPr="00132FB5" w14:paraId="27F3932B" w14:textId="77777777" w:rsidTr="005F1C01">
        <w:trPr>
          <w:trHeight w:val="929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6B43FB40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Gender</w:t>
            </w:r>
          </w:p>
          <w:p w14:paraId="2A0AA7B2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(boys n=206 / girls n= 209)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2703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1. Configural Invariance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85A4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447.855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4BF9E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DE79" w14:textId="77777777" w:rsidR="004D3488" w:rsidRPr="00954DF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AC23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0.985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8EF0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0.983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46F6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0091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0.075</w:t>
            </w:r>
          </w:p>
        </w:tc>
      </w:tr>
      <w:tr w:rsidR="004D3488" w:rsidRPr="00132FB5" w14:paraId="3E483EDE" w14:textId="77777777" w:rsidTr="005F1C01">
        <w:trPr>
          <w:trHeight w:val="679"/>
          <w:jc w:val="center"/>
        </w:trPr>
        <w:tc>
          <w:tcPr>
            <w:tcW w:w="1607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46619FF4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2A7C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2. Metric Invariance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9E87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479.543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85D1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AEE5" w14:textId="77777777" w:rsidR="004D3488" w:rsidRPr="00954DF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465C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0.982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EF9E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6313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D892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0.082</w:t>
            </w:r>
          </w:p>
        </w:tc>
      </w:tr>
      <w:tr w:rsidR="004D3488" w:rsidRPr="00132FB5" w14:paraId="4803093D" w14:textId="77777777" w:rsidTr="005F1C01">
        <w:trPr>
          <w:trHeight w:val="679"/>
          <w:jc w:val="center"/>
        </w:trPr>
        <w:tc>
          <w:tcPr>
            <w:tcW w:w="160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A09ECA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AAE9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3. Scalar Invariance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8C7A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646.209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0A60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C7A2" w14:textId="77777777" w:rsidR="004D3488" w:rsidRPr="00954DF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8BFC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0.972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1F3D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0.976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0EBA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A572" w14:textId="77777777" w:rsidR="004D3488" w:rsidRPr="00820048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0.080</w:t>
            </w:r>
          </w:p>
        </w:tc>
      </w:tr>
      <w:tr w:rsidR="004D3488" w:rsidRPr="00132FB5" w14:paraId="7F8C324D" w14:textId="77777777" w:rsidTr="005F1C01">
        <w:trPr>
          <w:trHeight w:val="929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78648B2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Age</w:t>
            </w:r>
          </w:p>
          <w:p w14:paraId="359F9ED8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(&lt;12 years old n=147 </w:t>
            </w:r>
            <w:proofErr w:type="gramStart"/>
            <w:r>
              <w:rPr>
                <w:rFonts w:cs="Times New Roman"/>
                <w:b/>
                <w:bCs/>
                <w:sz w:val="20"/>
                <w:szCs w:val="20"/>
              </w:rPr>
              <w:t>/  ≥</w:t>
            </w:r>
            <w:proofErr w:type="gramEnd"/>
            <w:r>
              <w:rPr>
                <w:rFonts w:cs="Times New Roman"/>
                <w:b/>
                <w:bCs/>
                <w:sz w:val="20"/>
                <w:szCs w:val="20"/>
              </w:rPr>
              <w:t>12 years old n=268)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9790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1. Configural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5A04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469.897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F1BE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D8E4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9EFD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0290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2010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BFCF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0.077</w:t>
            </w:r>
          </w:p>
        </w:tc>
      </w:tr>
      <w:tr w:rsidR="004D3488" w:rsidRPr="00132FB5" w14:paraId="06F72BDB" w14:textId="77777777" w:rsidTr="005F1C01">
        <w:trPr>
          <w:trHeight w:val="679"/>
          <w:jc w:val="center"/>
        </w:trPr>
        <w:tc>
          <w:tcPr>
            <w:tcW w:w="1607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4072A677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EBB1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2. Metric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8B38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509.810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935F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8DE8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FAC9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0.981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D474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0.980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1B0B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319D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0.080</w:t>
            </w:r>
          </w:p>
        </w:tc>
      </w:tr>
      <w:tr w:rsidR="004D3488" w:rsidRPr="00132FB5" w14:paraId="1326588C" w14:textId="77777777" w:rsidTr="005F1C01">
        <w:trPr>
          <w:trHeight w:val="679"/>
          <w:jc w:val="center"/>
        </w:trPr>
        <w:tc>
          <w:tcPr>
            <w:tcW w:w="1607" w:type="dxa"/>
            <w:vMerge/>
            <w:shd w:val="clear" w:color="auto" w:fill="FFFFFF"/>
            <w:vAlign w:val="center"/>
          </w:tcPr>
          <w:p w14:paraId="535A1F8A" w14:textId="77777777" w:rsidR="004D3488" w:rsidRPr="00132FB5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C6B3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3. Scalar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AB81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659.798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2B9C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DEE8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3EF4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D3DC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0.977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61C2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0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2A37" w14:textId="77777777" w:rsidR="004D3488" w:rsidRPr="006611E9" w:rsidRDefault="004D3488" w:rsidP="005F1C0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Style w:val="cl-b051e3c4"/>
                <w:rFonts w:cs="Times New Roman"/>
                <w:color w:val="000000"/>
                <w:sz w:val="20"/>
                <w:szCs w:val="20"/>
              </w:rPr>
              <w:t>0.07</w:t>
            </w:r>
          </w:p>
        </w:tc>
      </w:tr>
    </w:tbl>
    <w:p w14:paraId="411FC129" w14:textId="77777777" w:rsidR="004D3488" w:rsidRDefault="004D3488" w:rsidP="004D3488">
      <w:pPr>
        <w:jc w:val="both"/>
      </w:pPr>
    </w:p>
    <w:p w14:paraId="7A42149D" w14:textId="77777777" w:rsidR="004D3488" w:rsidRDefault="004D3488" w:rsidP="004D3488">
      <w:pPr>
        <w:jc w:val="both"/>
      </w:pPr>
      <w:r>
        <w:rPr>
          <w:sz w:val="20"/>
        </w:rPr>
        <w:t xml:space="preserve">Note: </w:t>
      </w:r>
      <w:proofErr w:type="spellStart"/>
      <w:r>
        <w:rPr>
          <w:sz w:val="20"/>
        </w:rPr>
        <w:t>df</w:t>
      </w:r>
      <w:proofErr w:type="spellEnd"/>
      <w:r>
        <w:rPr>
          <w:sz w:val="20"/>
        </w:rPr>
        <w:t>=degrees of freedom.</w:t>
      </w:r>
    </w:p>
    <w:p w14:paraId="7078F41B" w14:textId="77777777" w:rsidR="00C6465A" w:rsidRDefault="00C6465A"/>
    <w:sectPr w:rsidR="00C6465A" w:rsidSect="004D3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88"/>
    <w:rsid w:val="000905F0"/>
    <w:rsid w:val="00112C91"/>
    <w:rsid w:val="00242B4F"/>
    <w:rsid w:val="00302F9E"/>
    <w:rsid w:val="004D3488"/>
    <w:rsid w:val="004E23CF"/>
    <w:rsid w:val="006D5216"/>
    <w:rsid w:val="00A80498"/>
    <w:rsid w:val="00AF7735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3333"/>
  <w15:chartTrackingRefBased/>
  <w15:docId w15:val="{2085CC81-4006-4C59-AACF-843EDEDE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88"/>
    <w:pPr>
      <w:spacing w:after="0" w:line="480" w:lineRule="auto"/>
    </w:pPr>
    <w:rPr>
      <w:rFonts w:ascii="Times New Roman" w:eastAsiaTheme="minorEastAsia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4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88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88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88"/>
    <w:rPr>
      <w:b/>
      <w:bCs/>
      <w:smallCaps/>
      <w:color w:val="0F4761" w:themeColor="accent1" w:themeShade="BF"/>
      <w:spacing w:val="5"/>
    </w:rPr>
  </w:style>
  <w:style w:type="character" w:customStyle="1" w:styleId="cl-b051e3c4">
    <w:name w:val="cl-b051e3c4"/>
    <w:basedOn w:val="DefaultParagraphFont"/>
    <w:rsid w:val="004D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744</Characters>
  <Application>Microsoft Office Word</Application>
  <DocSecurity>0</DocSecurity>
  <Lines>16</Lines>
  <Paragraphs>8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2026-07-06T19:23:00Z</dcterms:created>
  <dcterms:modified xsi:type="dcterms:W3CDTF">2026-07-06T19:24:00Z</dcterms:modified>
</cp:coreProperties>
</file>