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6785" w14:textId="77777777" w:rsidR="001C48F8" w:rsidRPr="001C48F8" w:rsidRDefault="001C48F8" w:rsidP="001C48F8">
      <w:pPr>
        <w:pStyle w:val="a0"/>
        <w:rPr>
          <w:rFonts w:ascii="Times New Roman" w:hAnsi="Times New Roman" w:cs="Times New Roman"/>
          <w:color w:val="000000" w:themeColor="text1"/>
        </w:rPr>
      </w:pPr>
      <w:bookmarkStart w:id="0" w:name="halp-score"/>
      <w:r w:rsidRPr="001C48F8">
        <w:rPr>
          <w:rFonts w:ascii="Times New Roman" w:hAnsi="Times New Roman" w:cs="Times New Roman"/>
          <w:color w:val="000000" w:themeColor="text1"/>
        </w:rPr>
        <w:t>Supplementary Material</w:t>
      </w:r>
    </w:p>
    <w:p w14:paraId="1A792FB6"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Operational Definitions of CKM Syndrome Stages Used in the Present Study</w:t>
      </w:r>
    </w:p>
    <w:p w14:paraId="36281D27"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Cardiovascular–Kidney–Metabolic (CKM) syndrome stages were classified according to the American Heart Association CKM framework, adapted for the variables available in the National Health and Nutrition Examination Survey (NHANES). Participants were assigned to the highest applicable CKM stage.</w:t>
      </w:r>
    </w:p>
    <w:p w14:paraId="3BF3384F"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CKM Stage 0 (No CKM Risk Factors)</w:t>
      </w:r>
    </w:p>
    <w:p w14:paraId="7CC4120D"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were classified as CKM stage 0 if all of the following criteria were met:</w:t>
      </w:r>
    </w:p>
    <w:p w14:paraId="08F57762"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Body mass index (BMI) &lt; 25 kg/m²</w:t>
      </w:r>
    </w:p>
    <w:p w14:paraId="4BF1AB6A"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Fasting plasma glucose &lt; 100 mg/dL</w:t>
      </w:r>
    </w:p>
    <w:p w14:paraId="1149DFEC"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self-reported diabetes</w:t>
      </w:r>
    </w:p>
    <w:p w14:paraId="5A200F1D"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use of glucose-lowering medications</w:t>
      </w:r>
    </w:p>
    <w:p w14:paraId="1AF0B616"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Systolic blood pressure &lt; 120 mmHg and diastolic blood pressure &lt; 80 mmHg</w:t>
      </w:r>
    </w:p>
    <w:p w14:paraId="1F8628B6"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self-reported hypertension</w:t>
      </w:r>
    </w:p>
    <w:p w14:paraId="78D482DD"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use of antihypertensive medications</w:t>
      </w:r>
    </w:p>
    <w:p w14:paraId="0BAD53B2"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use of lipid-lowering medications</w:t>
      </w:r>
    </w:p>
    <w:p w14:paraId="13708D70"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Estimated glomerular filtration rate (eGFR) ≥ 60 mL/min/1.73 m²</w:t>
      </w:r>
    </w:p>
    <w:p w14:paraId="5FEEB6E3"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Urine albumin-to-creatinine ratio (UACR) &lt; 30 mg/g</w:t>
      </w:r>
    </w:p>
    <w:p w14:paraId="63EAFAF4" w14:textId="77777777" w:rsidR="001C48F8" w:rsidRPr="001C48F8" w:rsidRDefault="001C48F8" w:rsidP="001C48F8">
      <w:pPr>
        <w:pStyle w:val="a0"/>
        <w:numPr>
          <w:ilvl w:val="0"/>
          <w:numId w:val="15"/>
        </w:numPr>
        <w:rPr>
          <w:rFonts w:ascii="Times New Roman" w:hAnsi="Times New Roman" w:cs="Times New Roman"/>
          <w:color w:val="000000" w:themeColor="text1"/>
        </w:rPr>
      </w:pPr>
      <w:r w:rsidRPr="001C48F8">
        <w:rPr>
          <w:rFonts w:ascii="Times New Roman" w:hAnsi="Times New Roman" w:cs="Times New Roman"/>
          <w:color w:val="000000" w:themeColor="text1"/>
        </w:rPr>
        <w:t>No history of cardiovascular disease (coronary heart disease, myocardial infarction, heart failure, or stroke)</w:t>
      </w:r>
    </w:p>
    <w:p w14:paraId="48AA5056"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CKM Stage 1 (Excess and/or Dysfunctional Adiposity)</w:t>
      </w:r>
    </w:p>
    <w:p w14:paraId="48D8CA15"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were classified as CKM stage 1 if they had excess adiposity but did not meet criteria for CKM stage 2 or higher.</w:t>
      </w:r>
    </w:p>
    <w:p w14:paraId="3FCD7579"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Criteria included:</w:t>
      </w:r>
    </w:p>
    <w:p w14:paraId="482087BC" w14:textId="77777777" w:rsidR="001C48F8" w:rsidRPr="001C48F8" w:rsidRDefault="001C48F8" w:rsidP="001C48F8">
      <w:pPr>
        <w:pStyle w:val="a0"/>
        <w:numPr>
          <w:ilvl w:val="0"/>
          <w:numId w:val="16"/>
        </w:numPr>
        <w:rPr>
          <w:rFonts w:ascii="Times New Roman" w:hAnsi="Times New Roman" w:cs="Times New Roman"/>
          <w:color w:val="000000" w:themeColor="text1"/>
        </w:rPr>
      </w:pPr>
      <w:r w:rsidRPr="001C48F8">
        <w:rPr>
          <w:rFonts w:ascii="Times New Roman" w:hAnsi="Times New Roman" w:cs="Times New Roman"/>
          <w:color w:val="000000" w:themeColor="text1"/>
        </w:rPr>
        <w:t>BMI ≥ 25 kg/m² and/or</w:t>
      </w:r>
    </w:p>
    <w:p w14:paraId="23041CE7" w14:textId="77777777" w:rsidR="001C48F8" w:rsidRPr="001C48F8" w:rsidRDefault="001C48F8" w:rsidP="001C48F8">
      <w:pPr>
        <w:pStyle w:val="a0"/>
        <w:numPr>
          <w:ilvl w:val="0"/>
          <w:numId w:val="16"/>
        </w:numPr>
        <w:rPr>
          <w:rFonts w:ascii="Times New Roman" w:hAnsi="Times New Roman" w:cs="Times New Roman"/>
          <w:color w:val="000000" w:themeColor="text1"/>
        </w:rPr>
      </w:pPr>
      <w:r w:rsidRPr="001C48F8">
        <w:rPr>
          <w:rFonts w:ascii="Times New Roman" w:hAnsi="Times New Roman" w:cs="Times New Roman"/>
          <w:color w:val="000000" w:themeColor="text1"/>
        </w:rPr>
        <w:t>Elevated waist circumference (≥102 cm in men or ≥88 cm in women)</w:t>
      </w:r>
    </w:p>
    <w:p w14:paraId="6FD58914"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In addition, participants were required to have:</w:t>
      </w:r>
    </w:p>
    <w:p w14:paraId="6DF8C930"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Fasting plasma glucose &lt; 100 mg/dL</w:t>
      </w:r>
    </w:p>
    <w:p w14:paraId="7C4B1944"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No diabetes</w:t>
      </w:r>
    </w:p>
    <w:p w14:paraId="68153605"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Blood pressure &lt;120/80 mmHg</w:t>
      </w:r>
    </w:p>
    <w:p w14:paraId="10C64273"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lastRenderedPageBreak/>
        <w:t>No hypertension</w:t>
      </w:r>
    </w:p>
    <w:p w14:paraId="20EFE715"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eGFR ≥60 mL/min/1.73 m²</w:t>
      </w:r>
    </w:p>
    <w:p w14:paraId="2E80D809"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UACR &lt;30 mg/g</w:t>
      </w:r>
    </w:p>
    <w:p w14:paraId="1FECAF15" w14:textId="77777777" w:rsidR="001C48F8" w:rsidRPr="001C48F8" w:rsidRDefault="001C48F8" w:rsidP="001C48F8">
      <w:pPr>
        <w:pStyle w:val="a0"/>
        <w:numPr>
          <w:ilvl w:val="0"/>
          <w:numId w:val="17"/>
        </w:numPr>
        <w:rPr>
          <w:rFonts w:ascii="Times New Roman" w:hAnsi="Times New Roman" w:cs="Times New Roman"/>
          <w:color w:val="000000" w:themeColor="text1"/>
        </w:rPr>
      </w:pPr>
      <w:r w:rsidRPr="001C48F8">
        <w:rPr>
          <w:rFonts w:ascii="Times New Roman" w:hAnsi="Times New Roman" w:cs="Times New Roman"/>
          <w:color w:val="000000" w:themeColor="text1"/>
        </w:rPr>
        <w:t>No history of cardiovascular disease</w:t>
      </w:r>
    </w:p>
    <w:p w14:paraId="56057BFD"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 xml:space="preserve">CKM Stage 2 (Metabolic Risk Factors and/or </w:t>
      </w:r>
      <w:proofErr w:type="gramStart"/>
      <w:r w:rsidRPr="001C48F8">
        <w:rPr>
          <w:rFonts w:ascii="Times New Roman" w:hAnsi="Times New Roman" w:cs="Times New Roman"/>
          <w:b/>
          <w:bCs/>
          <w:color w:val="000000" w:themeColor="text1"/>
        </w:rPr>
        <w:t>Chronic Kidney Disease</w:t>
      </w:r>
      <w:proofErr w:type="gramEnd"/>
      <w:r w:rsidRPr="001C48F8">
        <w:rPr>
          <w:rFonts w:ascii="Times New Roman" w:hAnsi="Times New Roman" w:cs="Times New Roman"/>
          <w:b/>
          <w:bCs/>
          <w:color w:val="000000" w:themeColor="text1"/>
        </w:rPr>
        <w:t>)</w:t>
      </w:r>
    </w:p>
    <w:p w14:paraId="2B727E11"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were classified as CKM stage 2 if they met one or more of the following criteria and had no clinical cardiovascular disease:</w:t>
      </w:r>
    </w:p>
    <w:p w14:paraId="625B0DE4" w14:textId="77777777" w:rsidR="001C48F8" w:rsidRPr="001C48F8" w:rsidRDefault="001C48F8" w:rsidP="001C48F8">
      <w:pPr>
        <w:pStyle w:val="a0"/>
        <w:rPr>
          <w:rFonts w:ascii="Times New Roman" w:hAnsi="Times New Roman" w:cs="Times New Roman"/>
          <w:b/>
          <w:bCs/>
          <w:color w:val="000000" w:themeColor="text1"/>
        </w:rPr>
      </w:pPr>
      <w:proofErr w:type="spellStart"/>
      <w:r w:rsidRPr="001C48F8">
        <w:rPr>
          <w:rFonts w:ascii="Times New Roman" w:hAnsi="Times New Roman" w:cs="Times New Roman"/>
          <w:b/>
          <w:bCs/>
          <w:color w:val="000000" w:themeColor="text1"/>
        </w:rPr>
        <w:t>Dysglycemia</w:t>
      </w:r>
      <w:proofErr w:type="spellEnd"/>
      <w:r w:rsidRPr="001C48F8">
        <w:rPr>
          <w:rFonts w:ascii="Times New Roman" w:hAnsi="Times New Roman" w:cs="Times New Roman"/>
          <w:b/>
          <w:bCs/>
          <w:color w:val="000000" w:themeColor="text1"/>
        </w:rPr>
        <w:t xml:space="preserve"> or Diabetes</w:t>
      </w:r>
    </w:p>
    <w:p w14:paraId="5A30DB1D"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Fasting plasma glucose 100–125 mg/dL, or</w:t>
      </w:r>
    </w:p>
    <w:p w14:paraId="1F52C7F8"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Self-reported prediabetes, or</w:t>
      </w:r>
    </w:p>
    <w:p w14:paraId="45CE462B"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HbA1c 5.7–6.4%, or</w:t>
      </w:r>
    </w:p>
    <w:p w14:paraId="1566A7A1"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Fasting plasma glucose ≥126 mg/dL, or</w:t>
      </w:r>
    </w:p>
    <w:p w14:paraId="1E399452"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Self-reported diabetes, or</w:t>
      </w:r>
    </w:p>
    <w:p w14:paraId="21FBD68C"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HbA1c ≥6.5%, or</w:t>
      </w:r>
    </w:p>
    <w:p w14:paraId="55627AA5" w14:textId="77777777" w:rsidR="001C48F8" w:rsidRPr="001C48F8" w:rsidRDefault="001C48F8" w:rsidP="001C48F8">
      <w:pPr>
        <w:pStyle w:val="a0"/>
        <w:numPr>
          <w:ilvl w:val="0"/>
          <w:numId w:val="18"/>
        </w:numPr>
        <w:rPr>
          <w:rFonts w:ascii="Times New Roman" w:hAnsi="Times New Roman" w:cs="Times New Roman"/>
          <w:color w:val="000000" w:themeColor="text1"/>
        </w:rPr>
      </w:pPr>
      <w:r w:rsidRPr="001C48F8">
        <w:rPr>
          <w:rFonts w:ascii="Times New Roman" w:hAnsi="Times New Roman" w:cs="Times New Roman"/>
          <w:color w:val="000000" w:themeColor="text1"/>
        </w:rPr>
        <w:t>Use of glucose-lowering medications</w:t>
      </w:r>
    </w:p>
    <w:p w14:paraId="3E07F837"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Elevated Blood Pressure or Hypertension</w:t>
      </w:r>
    </w:p>
    <w:p w14:paraId="52CA1B83" w14:textId="77777777" w:rsidR="001C48F8" w:rsidRPr="001C48F8" w:rsidRDefault="001C48F8" w:rsidP="001C48F8">
      <w:pPr>
        <w:pStyle w:val="a0"/>
        <w:numPr>
          <w:ilvl w:val="0"/>
          <w:numId w:val="19"/>
        </w:numPr>
        <w:rPr>
          <w:rFonts w:ascii="Times New Roman" w:hAnsi="Times New Roman" w:cs="Times New Roman"/>
          <w:color w:val="000000" w:themeColor="text1"/>
        </w:rPr>
      </w:pPr>
      <w:r w:rsidRPr="001C48F8">
        <w:rPr>
          <w:rFonts w:ascii="Times New Roman" w:hAnsi="Times New Roman" w:cs="Times New Roman"/>
          <w:color w:val="000000" w:themeColor="text1"/>
        </w:rPr>
        <w:t>Systolic blood pressure ≥120 mmHg, or</w:t>
      </w:r>
    </w:p>
    <w:p w14:paraId="2E8E6002" w14:textId="77777777" w:rsidR="001C48F8" w:rsidRPr="001C48F8" w:rsidRDefault="001C48F8" w:rsidP="001C48F8">
      <w:pPr>
        <w:pStyle w:val="a0"/>
        <w:numPr>
          <w:ilvl w:val="0"/>
          <w:numId w:val="19"/>
        </w:numPr>
        <w:rPr>
          <w:rFonts w:ascii="Times New Roman" w:hAnsi="Times New Roman" w:cs="Times New Roman"/>
          <w:color w:val="000000" w:themeColor="text1"/>
        </w:rPr>
      </w:pPr>
      <w:r w:rsidRPr="001C48F8">
        <w:rPr>
          <w:rFonts w:ascii="Times New Roman" w:hAnsi="Times New Roman" w:cs="Times New Roman"/>
          <w:color w:val="000000" w:themeColor="text1"/>
        </w:rPr>
        <w:t>Diastolic blood pressure ≥80 mmHg, or</w:t>
      </w:r>
    </w:p>
    <w:p w14:paraId="27060A64" w14:textId="77777777" w:rsidR="001C48F8" w:rsidRPr="001C48F8" w:rsidRDefault="001C48F8" w:rsidP="001C48F8">
      <w:pPr>
        <w:pStyle w:val="a0"/>
        <w:numPr>
          <w:ilvl w:val="0"/>
          <w:numId w:val="19"/>
        </w:numPr>
        <w:rPr>
          <w:rFonts w:ascii="Times New Roman" w:hAnsi="Times New Roman" w:cs="Times New Roman"/>
          <w:color w:val="000000" w:themeColor="text1"/>
        </w:rPr>
      </w:pPr>
      <w:r w:rsidRPr="001C48F8">
        <w:rPr>
          <w:rFonts w:ascii="Times New Roman" w:hAnsi="Times New Roman" w:cs="Times New Roman"/>
          <w:color w:val="000000" w:themeColor="text1"/>
        </w:rPr>
        <w:t>Self-reported hypertension, or</w:t>
      </w:r>
    </w:p>
    <w:p w14:paraId="2DC953C1" w14:textId="77777777" w:rsidR="001C48F8" w:rsidRPr="001C48F8" w:rsidRDefault="001C48F8" w:rsidP="001C48F8">
      <w:pPr>
        <w:pStyle w:val="a0"/>
        <w:numPr>
          <w:ilvl w:val="0"/>
          <w:numId w:val="19"/>
        </w:numPr>
        <w:rPr>
          <w:rFonts w:ascii="Times New Roman" w:hAnsi="Times New Roman" w:cs="Times New Roman"/>
          <w:color w:val="000000" w:themeColor="text1"/>
        </w:rPr>
      </w:pPr>
      <w:r w:rsidRPr="001C48F8">
        <w:rPr>
          <w:rFonts w:ascii="Times New Roman" w:hAnsi="Times New Roman" w:cs="Times New Roman"/>
          <w:color w:val="000000" w:themeColor="text1"/>
        </w:rPr>
        <w:t>Use of antihypertensive medications</w:t>
      </w:r>
    </w:p>
    <w:p w14:paraId="1F9EDA26"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Dyslipidemia</w:t>
      </w:r>
    </w:p>
    <w:p w14:paraId="2C239EC6" w14:textId="77777777" w:rsidR="001C48F8" w:rsidRPr="001C48F8" w:rsidRDefault="001C48F8" w:rsidP="001C48F8">
      <w:pPr>
        <w:pStyle w:val="a0"/>
        <w:numPr>
          <w:ilvl w:val="0"/>
          <w:numId w:val="20"/>
        </w:numPr>
        <w:rPr>
          <w:rFonts w:ascii="Times New Roman" w:hAnsi="Times New Roman" w:cs="Times New Roman"/>
          <w:color w:val="000000" w:themeColor="text1"/>
        </w:rPr>
      </w:pPr>
      <w:r w:rsidRPr="001C48F8">
        <w:rPr>
          <w:rFonts w:ascii="Times New Roman" w:hAnsi="Times New Roman" w:cs="Times New Roman"/>
          <w:color w:val="000000" w:themeColor="text1"/>
        </w:rPr>
        <w:t>LDL cholesterol ≥130 mg/dL, or</w:t>
      </w:r>
    </w:p>
    <w:p w14:paraId="6D8EE9E5" w14:textId="77777777" w:rsidR="001C48F8" w:rsidRPr="001C48F8" w:rsidRDefault="001C48F8" w:rsidP="001C48F8">
      <w:pPr>
        <w:pStyle w:val="a0"/>
        <w:numPr>
          <w:ilvl w:val="0"/>
          <w:numId w:val="20"/>
        </w:numPr>
        <w:rPr>
          <w:rFonts w:ascii="Times New Roman" w:hAnsi="Times New Roman" w:cs="Times New Roman"/>
          <w:color w:val="000000" w:themeColor="text1"/>
        </w:rPr>
      </w:pPr>
      <w:r w:rsidRPr="001C48F8">
        <w:rPr>
          <w:rFonts w:ascii="Times New Roman" w:hAnsi="Times New Roman" w:cs="Times New Roman"/>
          <w:color w:val="000000" w:themeColor="text1"/>
        </w:rPr>
        <w:t>Triglycerides ≥150 mg/dL, or</w:t>
      </w:r>
    </w:p>
    <w:p w14:paraId="1EAFD979" w14:textId="77777777" w:rsidR="001C48F8" w:rsidRPr="001C48F8" w:rsidRDefault="001C48F8" w:rsidP="001C48F8">
      <w:pPr>
        <w:pStyle w:val="a0"/>
        <w:numPr>
          <w:ilvl w:val="0"/>
          <w:numId w:val="20"/>
        </w:numPr>
        <w:rPr>
          <w:rFonts w:ascii="Times New Roman" w:hAnsi="Times New Roman" w:cs="Times New Roman"/>
          <w:color w:val="000000" w:themeColor="text1"/>
        </w:rPr>
      </w:pPr>
      <w:r w:rsidRPr="001C48F8">
        <w:rPr>
          <w:rFonts w:ascii="Times New Roman" w:hAnsi="Times New Roman" w:cs="Times New Roman"/>
          <w:color w:val="000000" w:themeColor="text1"/>
        </w:rPr>
        <w:t>Use of lipid-lowering medications</w:t>
      </w:r>
    </w:p>
    <w:p w14:paraId="5B36C45B"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Chronic Kidney Disease</w:t>
      </w:r>
    </w:p>
    <w:p w14:paraId="5F17C93F" w14:textId="77777777" w:rsidR="001C48F8" w:rsidRPr="001C48F8" w:rsidRDefault="001C48F8" w:rsidP="001C48F8">
      <w:pPr>
        <w:pStyle w:val="a0"/>
        <w:numPr>
          <w:ilvl w:val="0"/>
          <w:numId w:val="21"/>
        </w:numPr>
        <w:rPr>
          <w:rFonts w:ascii="Times New Roman" w:hAnsi="Times New Roman" w:cs="Times New Roman"/>
          <w:color w:val="000000" w:themeColor="text1"/>
        </w:rPr>
      </w:pPr>
      <w:r w:rsidRPr="001C48F8">
        <w:rPr>
          <w:rFonts w:ascii="Times New Roman" w:hAnsi="Times New Roman" w:cs="Times New Roman"/>
          <w:color w:val="000000" w:themeColor="text1"/>
        </w:rPr>
        <w:t>eGFR 30–59 mL/min/1.73 m², and/or</w:t>
      </w:r>
    </w:p>
    <w:p w14:paraId="2E906F32" w14:textId="77777777" w:rsidR="001C48F8" w:rsidRPr="001C48F8" w:rsidRDefault="001C48F8" w:rsidP="001C48F8">
      <w:pPr>
        <w:pStyle w:val="a0"/>
        <w:numPr>
          <w:ilvl w:val="0"/>
          <w:numId w:val="21"/>
        </w:numPr>
        <w:rPr>
          <w:rFonts w:ascii="Times New Roman" w:hAnsi="Times New Roman" w:cs="Times New Roman"/>
          <w:color w:val="000000" w:themeColor="text1"/>
        </w:rPr>
      </w:pPr>
      <w:r w:rsidRPr="001C48F8">
        <w:rPr>
          <w:rFonts w:ascii="Times New Roman" w:hAnsi="Times New Roman" w:cs="Times New Roman"/>
          <w:color w:val="000000" w:themeColor="text1"/>
        </w:rPr>
        <w:t>UACR 30–300 mg/g</w:t>
      </w:r>
    </w:p>
    <w:p w14:paraId="7606ADEC"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Advanced Kidney Disease</w:t>
      </w:r>
    </w:p>
    <w:p w14:paraId="794B31FD" w14:textId="77777777" w:rsidR="001C48F8" w:rsidRPr="001C48F8" w:rsidRDefault="001C48F8" w:rsidP="001C48F8">
      <w:pPr>
        <w:pStyle w:val="a0"/>
        <w:numPr>
          <w:ilvl w:val="0"/>
          <w:numId w:val="22"/>
        </w:numPr>
        <w:rPr>
          <w:rFonts w:ascii="Times New Roman" w:hAnsi="Times New Roman" w:cs="Times New Roman"/>
          <w:color w:val="000000" w:themeColor="text1"/>
        </w:rPr>
      </w:pPr>
      <w:r w:rsidRPr="001C48F8">
        <w:rPr>
          <w:rFonts w:ascii="Times New Roman" w:hAnsi="Times New Roman" w:cs="Times New Roman"/>
          <w:color w:val="000000" w:themeColor="text1"/>
        </w:rPr>
        <w:t>eGFR 15–29 mL/min/1.73 m², and/or</w:t>
      </w:r>
    </w:p>
    <w:p w14:paraId="54C9AF78" w14:textId="77777777" w:rsidR="001C48F8" w:rsidRPr="001C48F8" w:rsidRDefault="001C48F8" w:rsidP="001C48F8">
      <w:pPr>
        <w:pStyle w:val="a0"/>
        <w:numPr>
          <w:ilvl w:val="0"/>
          <w:numId w:val="22"/>
        </w:numPr>
        <w:rPr>
          <w:rFonts w:ascii="Times New Roman" w:hAnsi="Times New Roman" w:cs="Times New Roman"/>
          <w:color w:val="000000" w:themeColor="text1"/>
        </w:rPr>
      </w:pPr>
      <w:r w:rsidRPr="001C48F8">
        <w:rPr>
          <w:rFonts w:ascii="Times New Roman" w:hAnsi="Times New Roman" w:cs="Times New Roman"/>
          <w:color w:val="000000" w:themeColor="text1"/>
        </w:rPr>
        <w:lastRenderedPageBreak/>
        <w:t>UACR &gt;300 mg/g</w:t>
      </w:r>
    </w:p>
    <w:p w14:paraId="585D7279"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with clinical cardiovascular disease were not classified as stage 2.</w:t>
      </w:r>
    </w:p>
    <w:p w14:paraId="13FD6AAB"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CKM Stage 3 (Subclinical Cardiovascular Risk)</w:t>
      </w:r>
    </w:p>
    <w:p w14:paraId="7BF1EC5F"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Because imaging-based measures of subclinical atherosclerotic cardiovascular disease were not consistently available across NHANES survey cycles, CKM stage 3 was defined using an adapted NHANES-based CKM classification approach.</w:t>
      </w:r>
    </w:p>
    <w:p w14:paraId="0B05F8F1"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were classified as stage 3 if they met either of the following criteria:</w:t>
      </w:r>
    </w:p>
    <w:p w14:paraId="7F2BF5E9" w14:textId="77777777" w:rsidR="001C48F8" w:rsidRPr="001C48F8" w:rsidRDefault="001C48F8" w:rsidP="001C48F8">
      <w:pPr>
        <w:pStyle w:val="a0"/>
        <w:numPr>
          <w:ilvl w:val="0"/>
          <w:numId w:val="23"/>
        </w:numPr>
        <w:rPr>
          <w:rFonts w:ascii="Times New Roman" w:hAnsi="Times New Roman" w:cs="Times New Roman"/>
          <w:color w:val="000000" w:themeColor="text1"/>
        </w:rPr>
      </w:pPr>
      <w:r w:rsidRPr="001C48F8">
        <w:rPr>
          <w:rFonts w:ascii="Times New Roman" w:hAnsi="Times New Roman" w:cs="Times New Roman"/>
          <w:color w:val="000000" w:themeColor="text1"/>
        </w:rPr>
        <w:t>UACR ≥30 mg/g with preserved kidney function (eGFR ≥60 mL/min/1.73 m²), or</w:t>
      </w:r>
    </w:p>
    <w:p w14:paraId="5485ECF8" w14:textId="77777777" w:rsidR="001C48F8" w:rsidRPr="001C48F8" w:rsidRDefault="001C48F8" w:rsidP="001C48F8">
      <w:pPr>
        <w:pStyle w:val="a0"/>
        <w:numPr>
          <w:ilvl w:val="0"/>
          <w:numId w:val="23"/>
        </w:numPr>
        <w:rPr>
          <w:rFonts w:ascii="Times New Roman" w:hAnsi="Times New Roman" w:cs="Times New Roman"/>
          <w:color w:val="000000" w:themeColor="text1"/>
        </w:rPr>
      </w:pPr>
      <w:r w:rsidRPr="001C48F8">
        <w:rPr>
          <w:rFonts w:ascii="Times New Roman" w:hAnsi="Times New Roman" w:cs="Times New Roman"/>
          <w:color w:val="000000" w:themeColor="text1"/>
        </w:rPr>
        <w:t>High predicted cardiovascular risk based on the adapted CKM framework, including the presence of multiple major CKM risk factors and elevated age-related cardiovascular risk.</w:t>
      </w:r>
    </w:p>
    <w:p w14:paraId="30E0D3B7"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CKM Stage 4 (Clinical Cardiovascular Disease)</w:t>
      </w:r>
    </w:p>
    <w:p w14:paraId="3C26E35B"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Participants were classified as CKM stage 4 if they had established cardiovascular disease, including:</w:t>
      </w:r>
    </w:p>
    <w:p w14:paraId="3AECE5A9" w14:textId="77777777" w:rsidR="001C48F8" w:rsidRPr="001C48F8" w:rsidRDefault="001C48F8" w:rsidP="001C48F8">
      <w:pPr>
        <w:pStyle w:val="a0"/>
        <w:numPr>
          <w:ilvl w:val="0"/>
          <w:numId w:val="24"/>
        </w:numPr>
        <w:rPr>
          <w:rFonts w:ascii="Times New Roman" w:hAnsi="Times New Roman" w:cs="Times New Roman"/>
          <w:color w:val="000000" w:themeColor="text1"/>
        </w:rPr>
      </w:pPr>
      <w:r w:rsidRPr="001C48F8">
        <w:rPr>
          <w:rFonts w:ascii="Times New Roman" w:hAnsi="Times New Roman" w:cs="Times New Roman"/>
          <w:color w:val="000000" w:themeColor="text1"/>
        </w:rPr>
        <w:t>Coronary heart disease</w:t>
      </w:r>
    </w:p>
    <w:p w14:paraId="2D3368CD" w14:textId="77777777" w:rsidR="001C48F8" w:rsidRPr="001C48F8" w:rsidRDefault="001C48F8" w:rsidP="001C48F8">
      <w:pPr>
        <w:pStyle w:val="a0"/>
        <w:numPr>
          <w:ilvl w:val="0"/>
          <w:numId w:val="24"/>
        </w:numPr>
        <w:rPr>
          <w:rFonts w:ascii="Times New Roman" w:hAnsi="Times New Roman" w:cs="Times New Roman"/>
          <w:color w:val="000000" w:themeColor="text1"/>
        </w:rPr>
      </w:pPr>
      <w:r w:rsidRPr="001C48F8">
        <w:rPr>
          <w:rFonts w:ascii="Times New Roman" w:hAnsi="Times New Roman" w:cs="Times New Roman"/>
          <w:color w:val="000000" w:themeColor="text1"/>
        </w:rPr>
        <w:t>Myocardial infarction</w:t>
      </w:r>
    </w:p>
    <w:p w14:paraId="2848433C" w14:textId="77777777" w:rsidR="001C48F8" w:rsidRPr="001C48F8" w:rsidRDefault="001C48F8" w:rsidP="001C48F8">
      <w:pPr>
        <w:pStyle w:val="a0"/>
        <w:numPr>
          <w:ilvl w:val="0"/>
          <w:numId w:val="24"/>
        </w:numPr>
        <w:rPr>
          <w:rFonts w:ascii="Times New Roman" w:hAnsi="Times New Roman" w:cs="Times New Roman"/>
          <w:color w:val="000000" w:themeColor="text1"/>
        </w:rPr>
      </w:pPr>
      <w:r w:rsidRPr="001C48F8">
        <w:rPr>
          <w:rFonts w:ascii="Times New Roman" w:hAnsi="Times New Roman" w:cs="Times New Roman"/>
          <w:color w:val="000000" w:themeColor="text1"/>
        </w:rPr>
        <w:t>Stroke</w:t>
      </w:r>
    </w:p>
    <w:p w14:paraId="77482890" w14:textId="77777777" w:rsidR="001C48F8" w:rsidRPr="001C48F8" w:rsidRDefault="001C48F8" w:rsidP="001C48F8">
      <w:pPr>
        <w:pStyle w:val="a0"/>
        <w:numPr>
          <w:ilvl w:val="0"/>
          <w:numId w:val="24"/>
        </w:numPr>
        <w:rPr>
          <w:rFonts w:ascii="Times New Roman" w:hAnsi="Times New Roman" w:cs="Times New Roman"/>
          <w:color w:val="000000" w:themeColor="text1"/>
        </w:rPr>
      </w:pPr>
      <w:r w:rsidRPr="001C48F8">
        <w:rPr>
          <w:rFonts w:ascii="Times New Roman" w:hAnsi="Times New Roman" w:cs="Times New Roman"/>
          <w:color w:val="000000" w:themeColor="text1"/>
        </w:rPr>
        <w:t>Heart failure</w:t>
      </w:r>
    </w:p>
    <w:p w14:paraId="26491F5D"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For the present study, participants with CKM stage 4 were excluded because the analysis focused on the association between HALP and mortality among individuals with early-stage CKM syndrome (stages 0–3).</w:t>
      </w:r>
    </w:p>
    <w:p w14:paraId="5E4500C9"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Definitions of Specific Variables</w:t>
      </w:r>
    </w:p>
    <w:p w14:paraId="183BFC3C"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Body Mass Index (BMI)</w:t>
      </w:r>
    </w:p>
    <w:p w14:paraId="50483BC6"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BMI was calculated as weight (kg) divided by height squared (m²) using measurements obtained during the NHANES mobile examination center (MEC) visit.</w:t>
      </w:r>
    </w:p>
    <w:p w14:paraId="7E29FAAF"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Blood Pressure</w:t>
      </w:r>
    </w:p>
    <w:p w14:paraId="2B831106"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Blood pressure was measured by trained personnel using standardized NHANES procedures. The average of available systolic and diastolic blood pressure measurements was used.</w:t>
      </w:r>
    </w:p>
    <w:p w14:paraId="5E30D9FC"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For CKM staging, elevated blood pressure was defined as systolic blood pressure ≥120 mmHg or diastolic blood pressure ≥80 mmHg.</w:t>
      </w:r>
    </w:p>
    <w:p w14:paraId="13278B57"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Estimated Glomerular Filtration Rate (eGFR)</w:t>
      </w:r>
    </w:p>
    <w:p w14:paraId="6F194692"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lastRenderedPageBreak/>
        <w:t>eGFR was calculated using the 2021 Chronic Kidney Disease Epidemiology Collaboration (CKD-EPI) creatinine equation.</w:t>
      </w:r>
    </w:p>
    <w:p w14:paraId="37B53132"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Urine Albumin-to-Creatinine Ratio (UACR)</w:t>
      </w:r>
    </w:p>
    <w:p w14:paraId="3D2D2335"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UACR was calculated from spot urine albumin and urine creatinine measurements and expressed as mg/g.</w:t>
      </w:r>
    </w:p>
    <w:p w14:paraId="07AC6C25"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Diabetes</w:t>
      </w:r>
    </w:p>
    <w:p w14:paraId="7CBD6A48"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Diabetes was defined as any of the following:</w:t>
      </w:r>
    </w:p>
    <w:p w14:paraId="09A337C2" w14:textId="77777777" w:rsidR="001C48F8" w:rsidRPr="001C48F8" w:rsidRDefault="001C48F8" w:rsidP="001C48F8">
      <w:pPr>
        <w:pStyle w:val="a0"/>
        <w:numPr>
          <w:ilvl w:val="0"/>
          <w:numId w:val="25"/>
        </w:numPr>
        <w:rPr>
          <w:rFonts w:ascii="Times New Roman" w:hAnsi="Times New Roman" w:cs="Times New Roman"/>
          <w:color w:val="000000" w:themeColor="text1"/>
        </w:rPr>
      </w:pPr>
      <w:r w:rsidRPr="001C48F8">
        <w:rPr>
          <w:rFonts w:ascii="Times New Roman" w:hAnsi="Times New Roman" w:cs="Times New Roman"/>
          <w:color w:val="000000" w:themeColor="text1"/>
        </w:rPr>
        <w:t>Self-reported physician diagnosis of diabetes</w:t>
      </w:r>
    </w:p>
    <w:p w14:paraId="559EBAA8" w14:textId="77777777" w:rsidR="001C48F8" w:rsidRPr="001C48F8" w:rsidRDefault="001C48F8" w:rsidP="001C48F8">
      <w:pPr>
        <w:pStyle w:val="a0"/>
        <w:numPr>
          <w:ilvl w:val="0"/>
          <w:numId w:val="25"/>
        </w:numPr>
        <w:rPr>
          <w:rFonts w:ascii="Times New Roman" w:hAnsi="Times New Roman" w:cs="Times New Roman"/>
          <w:color w:val="000000" w:themeColor="text1"/>
        </w:rPr>
      </w:pPr>
      <w:r w:rsidRPr="001C48F8">
        <w:rPr>
          <w:rFonts w:ascii="Times New Roman" w:hAnsi="Times New Roman" w:cs="Times New Roman"/>
          <w:color w:val="000000" w:themeColor="text1"/>
        </w:rPr>
        <w:t>Use of insulin or oral hypoglycemic medications</w:t>
      </w:r>
    </w:p>
    <w:p w14:paraId="456BAD2D" w14:textId="77777777" w:rsidR="001C48F8" w:rsidRPr="001C48F8" w:rsidRDefault="001C48F8" w:rsidP="001C48F8">
      <w:pPr>
        <w:pStyle w:val="a0"/>
        <w:numPr>
          <w:ilvl w:val="0"/>
          <w:numId w:val="25"/>
        </w:numPr>
        <w:rPr>
          <w:rFonts w:ascii="Times New Roman" w:hAnsi="Times New Roman" w:cs="Times New Roman"/>
          <w:color w:val="000000" w:themeColor="text1"/>
        </w:rPr>
      </w:pPr>
      <w:r w:rsidRPr="001C48F8">
        <w:rPr>
          <w:rFonts w:ascii="Times New Roman" w:hAnsi="Times New Roman" w:cs="Times New Roman"/>
          <w:color w:val="000000" w:themeColor="text1"/>
        </w:rPr>
        <w:t>Fasting plasma glucose ≥126 mg/dL</w:t>
      </w:r>
    </w:p>
    <w:p w14:paraId="4EDF71A3" w14:textId="77777777" w:rsidR="001C48F8" w:rsidRPr="001C48F8" w:rsidRDefault="001C48F8" w:rsidP="001C48F8">
      <w:pPr>
        <w:pStyle w:val="a0"/>
        <w:numPr>
          <w:ilvl w:val="0"/>
          <w:numId w:val="25"/>
        </w:numPr>
        <w:rPr>
          <w:rFonts w:ascii="Times New Roman" w:hAnsi="Times New Roman" w:cs="Times New Roman"/>
          <w:color w:val="000000" w:themeColor="text1"/>
        </w:rPr>
      </w:pPr>
      <w:r w:rsidRPr="001C48F8">
        <w:rPr>
          <w:rFonts w:ascii="Times New Roman" w:hAnsi="Times New Roman" w:cs="Times New Roman"/>
          <w:color w:val="000000" w:themeColor="text1"/>
        </w:rPr>
        <w:t>HbA1c ≥6.5%</w:t>
      </w:r>
    </w:p>
    <w:p w14:paraId="6D174F55"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Hypertension</w:t>
      </w:r>
    </w:p>
    <w:p w14:paraId="324B56E8"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For covariate adjustment, hypertension was defined as:</w:t>
      </w:r>
    </w:p>
    <w:p w14:paraId="0F51D2D5" w14:textId="77777777" w:rsidR="001C48F8" w:rsidRPr="001C48F8" w:rsidRDefault="001C48F8" w:rsidP="001C48F8">
      <w:pPr>
        <w:pStyle w:val="a0"/>
        <w:numPr>
          <w:ilvl w:val="0"/>
          <w:numId w:val="26"/>
        </w:numPr>
        <w:rPr>
          <w:rFonts w:ascii="Times New Roman" w:hAnsi="Times New Roman" w:cs="Times New Roman"/>
          <w:color w:val="000000" w:themeColor="text1"/>
        </w:rPr>
      </w:pPr>
      <w:r w:rsidRPr="001C48F8">
        <w:rPr>
          <w:rFonts w:ascii="Times New Roman" w:hAnsi="Times New Roman" w:cs="Times New Roman"/>
          <w:color w:val="000000" w:themeColor="text1"/>
        </w:rPr>
        <w:t>Self-reported physician diagnosis of hypertension, or</w:t>
      </w:r>
    </w:p>
    <w:p w14:paraId="5111F2F8" w14:textId="77777777" w:rsidR="001C48F8" w:rsidRPr="001C48F8" w:rsidRDefault="001C48F8" w:rsidP="001C48F8">
      <w:pPr>
        <w:pStyle w:val="a0"/>
        <w:numPr>
          <w:ilvl w:val="0"/>
          <w:numId w:val="26"/>
        </w:numPr>
        <w:rPr>
          <w:rFonts w:ascii="Times New Roman" w:hAnsi="Times New Roman" w:cs="Times New Roman"/>
          <w:color w:val="000000" w:themeColor="text1"/>
        </w:rPr>
      </w:pPr>
      <w:r w:rsidRPr="001C48F8">
        <w:rPr>
          <w:rFonts w:ascii="Times New Roman" w:hAnsi="Times New Roman" w:cs="Times New Roman"/>
          <w:color w:val="000000" w:themeColor="text1"/>
        </w:rPr>
        <w:t>Use of antihypertensive medications, or</w:t>
      </w:r>
    </w:p>
    <w:p w14:paraId="38A2F9C6" w14:textId="77777777" w:rsidR="001C48F8" w:rsidRPr="001C48F8" w:rsidRDefault="001C48F8" w:rsidP="001C48F8">
      <w:pPr>
        <w:pStyle w:val="a0"/>
        <w:numPr>
          <w:ilvl w:val="0"/>
          <w:numId w:val="26"/>
        </w:numPr>
        <w:rPr>
          <w:rFonts w:ascii="Times New Roman" w:hAnsi="Times New Roman" w:cs="Times New Roman"/>
          <w:color w:val="000000" w:themeColor="text1"/>
        </w:rPr>
      </w:pPr>
      <w:r w:rsidRPr="001C48F8">
        <w:rPr>
          <w:rFonts w:ascii="Times New Roman" w:hAnsi="Times New Roman" w:cs="Times New Roman"/>
          <w:color w:val="000000" w:themeColor="text1"/>
        </w:rPr>
        <w:t>Systolic blood pressure ≥130 mmHg, or</w:t>
      </w:r>
    </w:p>
    <w:p w14:paraId="5F54E710" w14:textId="77777777" w:rsidR="001C48F8" w:rsidRPr="001C48F8" w:rsidRDefault="001C48F8" w:rsidP="001C48F8">
      <w:pPr>
        <w:pStyle w:val="a0"/>
        <w:numPr>
          <w:ilvl w:val="0"/>
          <w:numId w:val="26"/>
        </w:numPr>
        <w:rPr>
          <w:rFonts w:ascii="Times New Roman" w:hAnsi="Times New Roman" w:cs="Times New Roman"/>
          <w:color w:val="000000" w:themeColor="text1"/>
        </w:rPr>
      </w:pPr>
      <w:r w:rsidRPr="001C48F8">
        <w:rPr>
          <w:rFonts w:ascii="Times New Roman" w:hAnsi="Times New Roman" w:cs="Times New Roman"/>
          <w:color w:val="000000" w:themeColor="text1"/>
        </w:rPr>
        <w:t>Diastolic blood pressure ≥80 mmHg</w:t>
      </w:r>
    </w:p>
    <w:p w14:paraId="57312B40"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Dyslipidemia</w:t>
      </w:r>
    </w:p>
    <w:p w14:paraId="1455194F"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Dyslipidemia was defined as any of the following:</w:t>
      </w:r>
    </w:p>
    <w:p w14:paraId="1FB8A41F" w14:textId="77777777" w:rsidR="001C48F8" w:rsidRPr="001C48F8" w:rsidRDefault="001C48F8" w:rsidP="001C48F8">
      <w:pPr>
        <w:pStyle w:val="a0"/>
        <w:numPr>
          <w:ilvl w:val="0"/>
          <w:numId w:val="27"/>
        </w:numPr>
        <w:rPr>
          <w:rFonts w:ascii="Times New Roman" w:hAnsi="Times New Roman" w:cs="Times New Roman"/>
          <w:color w:val="000000" w:themeColor="text1"/>
        </w:rPr>
      </w:pPr>
      <w:r w:rsidRPr="001C48F8">
        <w:rPr>
          <w:rFonts w:ascii="Times New Roman" w:hAnsi="Times New Roman" w:cs="Times New Roman"/>
          <w:color w:val="000000" w:themeColor="text1"/>
        </w:rPr>
        <w:t>LDL cholesterol ≥130 mg/dL</w:t>
      </w:r>
    </w:p>
    <w:p w14:paraId="097D0A7D" w14:textId="77777777" w:rsidR="001C48F8" w:rsidRPr="001C48F8" w:rsidRDefault="001C48F8" w:rsidP="001C48F8">
      <w:pPr>
        <w:pStyle w:val="a0"/>
        <w:numPr>
          <w:ilvl w:val="0"/>
          <w:numId w:val="27"/>
        </w:numPr>
        <w:rPr>
          <w:rFonts w:ascii="Times New Roman" w:hAnsi="Times New Roman" w:cs="Times New Roman"/>
          <w:color w:val="000000" w:themeColor="text1"/>
        </w:rPr>
      </w:pPr>
      <w:r w:rsidRPr="001C48F8">
        <w:rPr>
          <w:rFonts w:ascii="Times New Roman" w:hAnsi="Times New Roman" w:cs="Times New Roman"/>
          <w:color w:val="000000" w:themeColor="text1"/>
        </w:rPr>
        <w:t>HDL cholesterol &lt;40 mg/dL in men or &lt;50 mg/dL in women</w:t>
      </w:r>
    </w:p>
    <w:p w14:paraId="1D080CFE" w14:textId="77777777" w:rsidR="001C48F8" w:rsidRPr="001C48F8" w:rsidRDefault="001C48F8" w:rsidP="001C48F8">
      <w:pPr>
        <w:pStyle w:val="a0"/>
        <w:numPr>
          <w:ilvl w:val="0"/>
          <w:numId w:val="27"/>
        </w:numPr>
        <w:rPr>
          <w:rFonts w:ascii="Times New Roman" w:hAnsi="Times New Roman" w:cs="Times New Roman"/>
          <w:color w:val="000000" w:themeColor="text1"/>
        </w:rPr>
      </w:pPr>
      <w:r w:rsidRPr="001C48F8">
        <w:rPr>
          <w:rFonts w:ascii="Times New Roman" w:hAnsi="Times New Roman" w:cs="Times New Roman"/>
          <w:color w:val="000000" w:themeColor="text1"/>
        </w:rPr>
        <w:t>Triglycerides ≥150 mg/dL</w:t>
      </w:r>
    </w:p>
    <w:p w14:paraId="58E72CDC" w14:textId="77777777" w:rsidR="001C48F8" w:rsidRPr="001C48F8" w:rsidRDefault="001C48F8" w:rsidP="001C48F8">
      <w:pPr>
        <w:pStyle w:val="a0"/>
        <w:numPr>
          <w:ilvl w:val="0"/>
          <w:numId w:val="27"/>
        </w:numPr>
        <w:rPr>
          <w:rFonts w:ascii="Times New Roman" w:hAnsi="Times New Roman" w:cs="Times New Roman"/>
          <w:color w:val="000000" w:themeColor="text1"/>
        </w:rPr>
      </w:pPr>
      <w:r w:rsidRPr="001C48F8">
        <w:rPr>
          <w:rFonts w:ascii="Times New Roman" w:hAnsi="Times New Roman" w:cs="Times New Roman"/>
          <w:color w:val="000000" w:themeColor="text1"/>
        </w:rPr>
        <w:t>Use of lipid-lowering medications</w:t>
      </w:r>
    </w:p>
    <w:p w14:paraId="37B0E3CA" w14:textId="77777777" w:rsidR="001C48F8" w:rsidRPr="001C48F8" w:rsidRDefault="001C48F8" w:rsidP="001C48F8">
      <w:pPr>
        <w:pStyle w:val="a0"/>
        <w:rPr>
          <w:rFonts w:ascii="Times New Roman" w:hAnsi="Times New Roman" w:cs="Times New Roman"/>
          <w:b/>
          <w:bCs/>
          <w:color w:val="000000" w:themeColor="text1"/>
        </w:rPr>
      </w:pPr>
      <w:r w:rsidRPr="001C48F8">
        <w:rPr>
          <w:rFonts w:ascii="Times New Roman" w:hAnsi="Times New Roman" w:cs="Times New Roman"/>
          <w:b/>
          <w:bCs/>
          <w:color w:val="000000" w:themeColor="text1"/>
        </w:rPr>
        <w:t>HALP Score</w:t>
      </w:r>
    </w:p>
    <w:p w14:paraId="181F9D7E"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The hemoglobin, albumin, lymphocyte, and platelet (HALP) score was calculated as:</w:t>
      </w:r>
    </w:p>
    <w:p w14:paraId="0FE9ADD6"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HALP = Hemoglobin × Albumin × Lymphocyte Count ÷ Platelet Count</w:t>
      </w:r>
    </w:p>
    <w:p w14:paraId="12BEB406" w14:textId="77777777" w:rsidR="001C48F8" w:rsidRPr="001C48F8" w:rsidRDefault="001C48F8" w:rsidP="001C48F8">
      <w:pPr>
        <w:pStyle w:val="a0"/>
        <w:rPr>
          <w:rFonts w:ascii="Times New Roman" w:hAnsi="Times New Roman" w:cs="Times New Roman"/>
          <w:color w:val="000000" w:themeColor="text1"/>
        </w:rPr>
      </w:pPr>
      <w:r w:rsidRPr="001C48F8">
        <w:rPr>
          <w:rFonts w:ascii="Times New Roman" w:hAnsi="Times New Roman" w:cs="Times New Roman"/>
          <w:color w:val="000000" w:themeColor="text1"/>
        </w:rPr>
        <w:t>where hemoglobin and albumin reflect nutritional status, lymphocyte count reflects immune status, and platelet count reflects inflammatory and thrombotic activity.</w:t>
      </w:r>
    </w:p>
    <w:bookmarkEnd w:id="0"/>
    <w:p w14:paraId="282E2A92" w14:textId="37C9E296" w:rsidR="008C5B2F" w:rsidRPr="001C48F8" w:rsidRDefault="008C5B2F">
      <w:pPr>
        <w:pStyle w:val="a0"/>
        <w:rPr>
          <w:rFonts w:ascii="Times New Roman" w:hAnsi="Times New Roman" w:cs="Times New Roman"/>
          <w:color w:val="000000" w:themeColor="text1"/>
        </w:rPr>
      </w:pPr>
    </w:p>
    <w:sectPr w:rsidR="008C5B2F" w:rsidRPr="001C48F8">
      <w:footnotePr>
        <w:numRestart w:val="eachSect"/>
      </w:footnote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15C068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EC65E3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44216DC"/>
    <w:multiLevelType w:val="multilevel"/>
    <w:tmpl w:val="591C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51A47"/>
    <w:multiLevelType w:val="multilevel"/>
    <w:tmpl w:val="B50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1074C"/>
    <w:multiLevelType w:val="multilevel"/>
    <w:tmpl w:val="2AD2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8161F"/>
    <w:multiLevelType w:val="multilevel"/>
    <w:tmpl w:val="C9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71126"/>
    <w:multiLevelType w:val="multilevel"/>
    <w:tmpl w:val="FFF4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A1A5C"/>
    <w:multiLevelType w:val="multilevel"/>
    <w:tmpl w:val="D64E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A0911"/>
    <w:multiLevelType w:val="multilevel"/>
    <w:tmpl w:val="EC6E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A60CE6"/>
    <w:multiLevelType w:val="multilevel"/>
    <w:tmpl w:val="EF7C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759F7"/>
    <w:multiLevelType w:val="multilevel"/>
    <w:tmpl w:val="3C52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5397E"/>
    <w:multiLevelType w:val="multilevel"/>
    <w:tmpl w:val="CD0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13387F"/>
    <w:multiLevelType w:val="multilevel"/>
    <w:tmpl w:val="3E6E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73090F"/>
    <w:multiLevelType w:val="multilevel"/>
    <w:tmpl w:val="4D74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7B1995"/>
    <w:multiLevelType w:val="multilevel"/>
    <w:tmpl w:val="2C10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469292">
    <w:abstractNumId w:val="0"/>
  </w:num>
  <w:num w:numId="2" w16cid:durableId="1908487760">
    <w:abstractNumId w:val="1"/>
  </w:num>
  <w:num w:numId="3" w16cid:durableId="1451166688">
    <w:abstractNumId w:val="1"/>
  </w:num>
  <w:num w:numId="4" w16cid:durableId="1999459705">
    <w:abstractNumId w:val="1"/>
  </w:num>
  <w:num w:numId="5" w16cid:durableId="1228415454">
    <w:abstractNumId w:val="1"/>
  </w:num>
  <w:num w:numId="6" w16cid:durableId="1024751637">
    <w:abstractNumId w:val="1"/>
  </w:num>
  <w:num w:numId="7" w16cid:durableId="1866287671">
    <w:abstractNumId w:val="1"/>
  </w:num>
  <w:num w:numId="8" w16cid:durableId="1220895680">
    <w:abstractNumId w:val="1"/>
  </w:num>
  <w:num w:numId="9" w16cid:durableId="1287588632">
    <w:abstractNumId w:val="1"/>
  </w:num>
  <w:num w:numId="10" w16cid:durableId="418674864">
    <w:abstractNumId w:val="1"/>
  </w:num>
  <w:num w:numId="11" w16cid:durableId="2065908627">
    <w:abstractNumId w:val="1"/>
  </w:num>
  <w:num w:numId="12" w16cid:durableId="1991445430">
    <w:abstractNumId w:val="1"/>
  </w:num>
  <w:num w:numId="13" w16cid:durableId="1299921717">
    <w:abstractNumId w:val="1"/>
  </w:num>
  <w:num w:numId="14" w16cid:durableId="272905928">
    <w:abstractNumId w:val="1"/>
  </w:num>
  <w:num w:numId="15" w16cid:durableId="2097168330">
    <w:abstractNumId w:val="13"/>
  </w:num>
  <w:num w:numId="16" w16cid:durableId="854269552">
    <w:abstractNumId w:val="12"/>
  </w:num>
  <w:num w:numId="17" w16cid:durableId="1646200815">
    <w:abstractNumId w:val="14"/>
  </w:num>
  <w:num w:numId="18" w16cid:durableId="499584243">
    <w:abstractNumId w:val="3"/>
  </w:num>
  <w:num w:numId="19" w16cid:durableId="1278373899">
    <w:abstractNumId w:val="4"/>
  </w:num>
  <w:num w:numId="20" w16cid:durableId="223763690">
    <w:abstractNumId w:val="5"/>
  </w:num>
  <w:num w:numId="21" w16cid:durableId="932978353">
    <w:abstractNumId w:val="11"/>
  </w:num>
  <w:num w:numId="22" w16cid:durableId="496773150">
    <w:abstractNumId w:val="7"/>
  </w:num>
  <w:num w:numId="23" w16cid:durableId="869680809">
    <w:abstractNumId w:val="8"/>
  </w:num>
  <w:num w:numId="24" w16cid:durableId="1422027923">
    <w:abstractNumId w:val="2"/>
  </w:num>
  <w:num w:numId="25" w16cid:durableId="2029983603">
    <w:abstractNumId w:val="6"/>
  </w:num>
  <w:num w:numId="26" w16cid:durableId="2087260832">
    <w:abstractNumId w:val="9"/>
  </w:num>
  <w:num w:numId="27" w16cid:durableId="2012832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8C5B2F"/>
    <w:rsid w:val="001C48F8"/>
    <w:rsid w:val="003A2051"/>
    <w:rsid w:val="008C5B2F"/>
    <w:rsid w:val="00A86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1E439"/>
  <w15:docId w15:val="{28FEE3E5-4D49-449F-865D-DED7CBAC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753</Words>
  <Characters>4561</Characters>
  <Application>Microsoft Office Word</Application>
  <DocSecurity>0</DocSecurity>
  <Lines>123</Lines>
  <Paragraphs>113</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yonh lin</cp:lastModifiedBy>
  <cp:revision>2</cp:revision>
  <dcterms:created xsi:type="dcterms:W3CDTF">2026-06-03T01:03:00Z</dcterms:created>
  <dcterms:modified xsi:type="dcterms:W3CDTF">2026-06-03T01:53:00Z</dcterms:modified>
</cp:coreProperties>
</file>