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STROBE Checklist for Cohort Studies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Item No</w:t>
            </w:r>
          </w:p>
        </w:tc>
        <w:tc>
          <w:tcPr>
            <w:tcW w:type="dxa" w:w="2880"/>
          </w:tcPr>
          <w:p>
            <w:r>
              <w:t>STROBE Item</w:t>
            </w:r>
          </w:p>
        </w:tc>
        <w:tc>
          <w:tcPr>
            <w:tcW w:type="dxa" w:w="2880"/>
          </w:tcPr>
          <w:p>
            <w:r>
              <w:t>Corresponding Section / Page</w:t>
            </w:r>
          </w:p>
        </w:tc>
      </w:tr>
      <w:tr>
        <w:tc>
          <w:tcPr>
            <w:tcW w:type="dxa" w:w="2880"/>
          </w:tcPr>
          <w:p>
            <w:r>
              <w:t>1</w:t>
            </w:r>
          </w:p>
        </w:tc>
        <w:tc>
          <w:tcPr>
            <w:tcW w:type="dxa" w:w="2880"/>
          </w:tcPr>
          <w:p>
            <w:r>
              <w:t>Title and abstract</w:t>
            </w:r>
          </w:p>
        </w:tc>
        <w:tc>
          <w:tcPr>
            <w:tcW w:type="dxa" w:w="2880"/>
          </w:tcPr>
          <w:p>
            <w:r>
              <w:t>Title: “…a nationally representative cohort study”; Abstract: Background + Methods</w:t>
            </w:r>
          </w:p>
        </w:tc>
      </w:tr>
      <w:tr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Background/rationale</w:t>
            </w:r>
          </w:p>
        </w:tc>
        <w:tc>
          <w:tcPr>
            <w:tcW w:type="dxa" w:w="2880"/>
          </w:tcPr>
          <w:p>
            <w:r>
              <w:t>Introduction: Background sections (Pages 4–7)</w:t>
            </w:r>
          </w:p>
        </w:tc>
      </w:tr>
      <w:tr>
        <w:tc>
          <w:tcPr>
            <w:tcW w:type="dxa" w:w="2880"/>
          </w:tcPr>
          <w:p>
            <w:r>
              <w:t>3</w:t>
            </w:r>
          </w:p>
        </w:tc>
        <w:tc>
          <w:tcPr>
            <w:tcW w:type="dxa" w:w="2880"/>
          </w:tcPr>
          <w:p>
            <w:r>
              <w:t>Objectives</w:t>
            </w:r>
          </w:p>
        </w:tc>
        <w:tc>
          <w:tcPr>
            <w:tcW w:type="dxa" w:w="2880"/>
          </w:tcPr>
          <w:p>
            <w:r>
              <w:t>Introduction: Last paragraph (Page 7)</w:t>
            </w:r>
          </w:p>
        </w:tc>
      </w:tr>
      <w:tr>
        <w:tc>
          <w:tcPr>
            <w:tcW w:type="dxa" w:w="2880"/>
          </w:tcPr>
          <w:p>
            <w:r>
              <w:t>4</w:t>
            </w:r>
          </w:p>
        </w:tc>
        <w:tc>
          <w:tcPr>
            <w:tcW w:type="dxa" w:w="2880"/>
          </w:tcPr>
          <w:p>
            <w:r>
              <w:t>Study design</w:t>
            </w:r>
          </w:p>
        </w:tc>
        <w:tc>
          <w:tcPr>
            <w:tcW w:type="dxa" w:w="2880"/>
          </w:tcPr>
          <w:p>
            <w:r>
              <w:t>Methods: Study design and data source (Pages 7–8)</w:t>
            </w:r>
          </w:p>
        </w:tc>
      </w:tr>
      <w:tr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Setting</w:t>
            </w:r>
          </w:p>
        </w:tc>
        <w:tc>
          <w:tcPr>
            <w:tcW w:type="dxa" w:w="2880"/>
          </w:tcPr>
          <w:p>
            <w:r>
              <w:t>Methods: NHANES 2005–2020 survey, nationally representative (Pages 7–8)</w:t>
            </w:r>
          </w:p>
        </w:tc>
      </w:tr>
      <w:tr>
        <w:tc>
          <w:tcPr>
            <w:tcW w:type="dxa" w:w="2880"/>
          </w:tcPr>
          <w:p>
            <w:r>
              <w:t>6</w:t>
            </w:r>
          </w:p>
        </w:tc>
        <w:tc>
          <w:tcPr>
            <w:tcW w:type="dxa" w:w="2880"/>
          </w:tcPr>
          <w:p>
            <w:r>
              <w:t>Participants</w:t>
            </w:r>
          </w:p>
        </w:tc>
        <w:tc>
          <w:tcPr>
            <w:tcW w:type="dxa" w:w="2880"/>
          </w:tcPr>
          <w:p>
            <w:r>
              <w:t>Methods: Study population inclusion/exclusion criteria (Pages 8–9)</w:t>
            </w:r>
          </w:p>
        </w:tc>
      </w:tr>
      <w:tr>
        <w:tc>
          <w:tcPr>
            <w:tcW w:type="dxa" w:w="2880"/>
          </w:tcPr>
          <w:p>
            <w:r>
              <w:t>7</w:t>
            </w:r>
          </w:p>
        </w:tc>
        <w:tc>
          <w:tcPr>
            <w:tcW w:type="dxa" w:w="2880"/>
          </w:tcPr>
          <w:p>
            <w:r>
              <w:t>Variables</w:t>
            </w:r>
          </w:p>
        </w:tc>
        <w:tc>
          <w:tcPr>
            <w:tcW w:type="dxa" w:w="2880"/>
          </w:tcPr>
          <w:p>
            <w:r>
              <w:t>Methods: HALP score, outcome definition, covariates (Pages 8–10)</w:t>
            </w:r>
          </w:p>
        </w:tc>
      </w:tr>
      <w:tr>
        <w:tc>
          <w:tcPr>
            <w:tcW w:type="dxa" w:w="2880"/>
          </w:tcPr>
          <w:p>
            <w:r>
              <w:t>8</w:t>
            </w:r>
          </w:p>
        </w:tc>
        <w:tc>
          <w:tcPr>
            <w:tcW w:type="dxa" w:w="2880"/>
          </w:tcPr>
          <w:p>
            <w:r>
              <w:t>Data sources/measurement</w:t>
            </w:r>
          </w:p>
        </w:tc>
        <w:tc>
          <w:tcPr>
            <w:tcW w:type="dxa" w:w="2880"/>
          </w:tcPr>
          <w:p>
            <w:r>
              <w:t>Methods: NHANES laboratory and questionnaire data, HALP calculation (Pages 8–10)</w:t>
            </w:r>
          </w:p>
        </w:tc>
      </w:tr>
      <w:tr>
        <w:tc>
          <w:tcPr>
            <w:tcW w:type="dxa" w:w="2880"/>
          </w:tcPr>
          <w:p>
            <w:r>
              <w:t>9</w:t>
            </w:r>
          </w:p>
        </w:tc>
        <w:tc>
          <w:tcPr>
            <w:tcW w:type="dxa" w:w="2880"/>
          </w:tcPr>
          <w:p>
            <w:r>
              <w:t>Bias</w:t>
            </w:r>
          </w:p>
        </w:tc>
        <w:tc>
          <w:tcPr>
            <w:tcW w:type="dxa" w:w="2880"/>
          </w:tcPr>
          <w:p>
            <w:r>
              <w:t>Methods: Sensitivity analyses, threshold analysis, survey weighting (Pages 10–11)</w:t>
            </w:r>
          </w:p>
        </w:tc>
      </w:tr>
      <w:tr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Study size</w:t>
            </w:r>
          </w:p>
        </w:tc>
        <w:tc>
          <w:tcPr>
            <w:tcW w:type="dxa" w:w="2880"/>
          </w:tcPr>
          <w:p>
            <w:r>
              <w:t>Methods: Final analytic sample n=11,038; NHANES 2005–2020 (Pages 8–10)</w:t>
            </w:r>
          </w:p>
        </w:tc>
      </w:tr>
      <w:tr>
        <w:tc>
          <w:tcPr>
            <w:tcW w:type="dxa" w:w="2880"/>
          </w:tcPr>
          <w:p>
            <w:r>
              <w:t>11</w:t>
            </w:r>
          </w:p>
        </w:tc>
        <w:tc>
          <w:tcPr>
            <w:tcW w:type="dxa" w:w="2880"/>
          </w:tcPr>
          <w:p>
            <w:r>
              <w:t>Quantitative variables</w:t>
            </w:r>
          </w:p>
        </w:tc>
        <w:tc>
          <w:tcPr>
            <w:tcW w:type="dxa" w:w="2880"/>
          </w:tcPr>
          <w:p>
            <w:r>
              <w:t>Methods: Log-transformed HALP, tertile analysis, RCS, threshold analysis (Pages 10–11)</w:t>
            </w:r>
          </w:p>
        </w:tc>
      </w:tr>
      <w:tr>
        <w:tc>
          <w:tcPr>
            <w:tcW w:type="dxa" w:w="2880"/>
          </w:tcPr>
          <w:p>
            <w:r>
              <w:t>12</w:t>
            </w:r>
          </w:p>
        </w:tc>
        <w:tc>
          <w:tcPr>
            <w:tcW w:type="dxa" w:w="2880"/>
          </w:tcPr>
          <w:p>
            <w:r>
              <w:t>Statistical methods</w:t>
            </w:r>
          </w:p>
        </w:tc>
        <w:tc>
          <w:tcPr>
            <w:tcW w:type="dxa" w:w="2880"/>
          </w:tcPr>
          <w:p>
            <w:r>
              <w:t>Methods: Cox regression, Kaplan–Meier, RCS, threshold, survey weighting (Pages 10–11)</w:t>
            </w:r>
          </w:p>
        </w:tc>
      </w:tr>
      <w:tr>
        <w:tc>
          <w:tcPr>
            <w:tcW w:type="dxa" w:w="2880"/>
          </w:tcPr>
          <w:p>
            <w:r>
              <w:t>13</w:t>
            </w:r>
          </w:p>
        </w:tc>
        <w:tc>
          <w:tcPr>
            <w:tcW w:type="dxa" w:w="2880"/>
          </w:tcPr>
          <w:p>
            <w:r>
              <w:t>Participants</w:t>
            </w:r>
          </w:p>
        </w:tc>
        <w:tc>
          <w:tcPr>
            <w:tcW w:type="dxa" w:w="2880"/>
          </w:tcPr>
          <w:p>
            <w:r>
              <w:t>Results: Flow diagram and numbers at each stage, Figure 1 (Page 12)</w:t>
            </w:r>
          </w:p>
        </w:tc>
      </w:tr>
      <w:tr>
        <w:tc>
          <w:tcPr>
            <w:tcW w:type="dxa" w:w="2880"/>
          </w:tcPr>
          <w:p>
            <w:r>
              <w:t>14</w:t>
            </w:r>
          </w:p>
        </w:tc>
        <w:tc>
          <w:tcPr>
            <w:tcW w:type="dxa" w:w="2880"/>
          </w:tcPr>
          <w:p>
            <w:r>
              <w:t>Descriptive data</w:t>
            </w:r>
          </w:p>
        </w:tc>
        <w:tc>
          <w:tcPr>
            <w:tcW w:type="dxa" w:w="2880"/>
          </w:tcPr>
          <w:p>
            <w:r>
              <w:t>Results: Baseline characteristics Table 1 (Pages 13–15)</w:t>
            </w:r>
          </w:p>
        </w:tc>
      </w:tr>
      <w:tr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Outcome data</w:t>
            </w:r>
          </w:p>
        </w:tc>
        <w:tc>
          <w:tcPr>
            <w:tcW w:type="dxa" w:w="2880"/>
          </w:tcPr>
          <w:p>
            <w:r>
              <w:t>Results: Mortality events, HRs, CI, log-rank KM analysis (Pages 15–17)</w:t>
            </w:r>
          </w:p>
        </w:tc>
      </w:tr>
      <w:tr>
        <w:tc>
          <w:tcPr>
            <w:tcW w:type="dxa" w:w="2880"/>
          </w:tcPr>
          <w:p>
            <w:r>
              <w:t>16</w:t>
            </w:r>
          </w:p>
        </w:tc>
        <w:tc>
          <w:tcPr>
            <w:tcW w:type="dxa" w:w="2880"/>
          </w:tcPr>
          <w:p>
            <w:r>
              <w:t>Main results</w:t>
            </w:r>
          </w:p>
        </w:tc>
        <w:tc>
          <w:tcPr>
            <w:tcW w:type="dxa" w:w="2880"/>
          </w:tcPr>
          <w:p>
            <w:r>
              <w:t>Results: Cox regression, tertile analysis, RCS, threshold effect (Pages 15–17)</w:t>
            </w:r>
          </w:p>
        </w:tc>
      </w:tr>
      <w:tr>
        <w:tc>
          <w:tcPr>
            <w:tcW w:type="dxa" w:w="2880"/>
          </w:tcPr>
          <w:p>
            <w:r>
              <w:t>17</w:t>
            </w:r>
          </w:p>
        </w:tc>
        <w:tc>
          <w:tcPr>
            <w:tcW w:type="dxa" w:w="2880"/>
          </w:tcPr>
          <w:p>
            <w:r>
              <w:t>Other analyses</w:t>
            </w:r>
          </w:p>
        </w:tc>
        <w:tc>
          <w:tcPr>
            <w:tcW w:type="dxa" w:w="2880"/>
          </w:tcPr>
          <w:p>
            <w:r>
              <w:t>Results: Sensitivity and subgroup analyses (Pages 17–18)</w:t>
            </w:r>
          </w:p>
        </w:tc>
      </w:tr>
      <w:tr>
        <w:tc>
          <w:tcPr>
            <w:tcW w:type="dxa" w:w="2880"/>
          </w:tcPr>
          <w:p>
            <w:r>
              <w:t>18</w:t>
            </w:r>
          </w:p>
        </w:tc>
        <w:tc>
          <w:tcPr>
            <w:tcW w:type="dxa" w:w="2880"/>
          </w:tcPr>
          <w:p>
            <w:r>
              <w:t>Key results</w:t>
            </w:r>
          </w:p>
        </w:tc>
        <w:tc>
          <w:tcPr>
            <w:tcW w:type="dxa" w:w="2880"/>
          </w:tcPr>
          <w:p>
            <w:r>
              <w:t>Discussion: First paragraph summarizing findings (Pages 18–20)</w:t>
            </w:r>
          </w:p>
        </w:tc>
      </w:tr>
      <w:tr>
        <w:tc>
          <w:tcPr>
            <w:tcW w:type="dxa" w:w="2880"/>
          </w:tcPr>
          <w:p>
            <w:r>
              <w:t>19</w:t>
            </w:r>
          </w:p>
        </w:tc>
        <w:tc>
          <w:tcPr>
            <w:tcW w:type="dxa" w:w="2880"/>
          </w:tcPr>
          <w:p>
            <w:r>
              <w:t>Limitations</w:t>
            </w:r>
          </w:p>
        </w:tc>
        <w:tc>
          <w:tcPr>
            <w:tcW w:type="dxa" w:w="2880"/>
          </w:tcPr>
          <w:p>
            <w:r>
              <w:t>Discussion: Limitations section (Pages 21–22)</w:t>
            </w:r>
          </w:p>
        </w:tc>
      </w:tr>
      <w:tr>
        <w:tc>
          <w:tcPr>
            <w:tcW w:type="dxa" w:w="2880"/>
          </w:tcPr>
          <w:p>
            <w:r>
              <w:t>20</w:t>
            </w:r>
          </w:p>
        </w:tc>
        <w:tc>
          <w:tcPr>
            <w:tcW w:type="dxa" w:w="2880"/>
          </w:tcPr>
          <w:p>
            <w:r>
              <w:t>Interpretation</w:t>
            </w:r>
          </w:p>
        </w:tc>
        <w:tc>
          <w:tcPr>
            <w:tcW w:type="dxa" w:w="2880"/>
          </w:tcPr>
          <w:p>
            <w:r>
              <w:t>Discussion: Overall interpretation considering objectives and evidence (Pages 18–22)</w:t>
            </w:r>
          </w:p>
        </w:tc>
      </w:tr>
      <w:tr>
        <w:tc>
          <w:tcPr>
            <w:tcW w:type="dxa" w:w="2880"/>
          </w:tcPr>
          <w:p>
            <w:r>
              <w:t>21</w:t>
            </w:r>
          </w:p>
        </w:tc>
        <w:tc>
          <w:tcPr>
            <w:tcW w:type="dxa" w:w="2880"/>
          </w:tcPr>
          <w:p>
            <w:r>
              <w:t>Generalisability</w:t>
            </w:r>
          </w:p>
        </w:tc>
        <w:tc>
          <w:tcPr>
            <w:tcW w:type="dxa" w:w="2880"/>
          </w:tcPr>
          <w:p>
            <w:r>
              <w:t>Discussion: Applicability and external validity (Pages 21–22)</w:t>
            </w:r>
          </w:p>
        </w:tc>
      </w:tr>
      <w:tr>
        <w:tc>
          <w:tcPr>
            <w:tcW w:type="dxa" w:w="2880"/>
          </w:tcPr>
          <w:p>
            <w:r>
              <w:t>22</w:t>
            </w:r>
          </w:p>
        </w:tc>
        <w:tc>
          <w:tcPr>
            <w:tcW w:type="dxa" w:w="2880"/>
          </w:tcPr>
          <w:p>
            <w:r>
              <w:t>Funding</w:t>
            </w:r>
          </w:p>
        </w:tc>
        <w:tc>
          <w:tcPr>
            <w:tcW w:type="dxa" w:w="2880"/>
          </w:tcPr>
          <w:p>
            <w:r>
              <w:t>Declarations: Funding: Not applicable (Page 32)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