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902CB9" w14:textId="77777777" w:rsidR="00D66981" w:rsidRPr="00874F64" w:rsidRDefault="00D66981" w:rsidP="00D66981">
      <w:pPr>
        <w:pStyle w:val="Heading1"/>
        <w:pageBreakBefore w:val="0"/>
        <w:spacing w:before="0"/>
        <w:jc w:val="center"/>
        <w:rPr>
          <w:rFonts w:ascii="Times New Roman" w:hAnsi="Times New Roman" w:cs="Times New Roman"/>
          <w:b/>
          <w:bCs/>
          <w:color w:val="215E99" w:themeColor="text2" w:themeTint="BF"/>
          <w:sz w:val="56"/>
          <w:szCs w:val="56"/>
        </w:rPr>
      </w:pPr>
      <w:r w:rsidRPr="00874F64">
        <w:rPr>
          <w:rFonts w:ascii="Times New Roman" w:hAnsi="Times New Roman" w:cs="Times New Roman"/>
          <w:b/>
          <w:bCs/>
          <w:color w:val="215E99" w:themeColor="text2" w:themeTint="BF"/>
          <w:sz w:val="56"/>
          <w:szCs w:val="56"/>
        </w:rPr>
        <w:t>Separating Biological and Choice Effects in Randomized Trials</w:t>
      </w:r>
    </w:p>
    <w:p w14:paraId="01108370" w14:textId="77777777" w:rsidR="00D66981" w:rsidRPr="00063ADF" w:rsidRDefault="00D66981" w:rsidP="00D66981">
      <w:pPr>
        <w:pBdr>
          <w:bottom w:val="single" w:sz="12" w:space="1" w:color="4C94D8" w:themeColor="text2" w:themeTint="80"/>
        </w:pBdr>
        <w:jc w:val="center"/>
        <w:rPr>
          <w:rFonts w:ascii="Times New Roman" w:hAnsi="Times New Roman" w:cs="Times New Roman"/>
          <w:color w:val="215E99"/>
          <w:sz w:val="40"/>
          <w:szCs w:val="40"/>
        </w:rPr>
      </w:pPr>
      <w:r w:rsidRPr="00063ADF">
        <w:rPr>
          <w:rFonts w:ascii="Times New Roman" w:hAnsi="Times New Roman" w:cs="Times New Roman"/>
          <w:color w:val="215E99"/>
          <w:sz w:val="40"/>
          <w:szCs w:val="40"/>
        </w:rPr>
        <w:t>Completing Causal Inference with β-Identification</w:t>
      </w:r>
    </w:p>
    <w:p w14:paraId="718F0513" w14:textId="77777777" w:rsidR="00D66981" w:rsidRDefault="00D66981" w:rsidP="00D66981">
      <w:pPr>
        <w:spacing w:before="240" w:after="0"/>
        <w:jc w:val="center"/>
      </w:pPr>
      <w:r w:rsidRPr="00F46660">
        <w:rPr>
          <w:b/>
          <w:bCs/>
        </w:rPr>
        <w:t>Ogan Gurel MD</w:t>
      </w:r>
      <w:r>
        <w:t>, The University of Texas at Arlington*</w:t>
      </w:r>
    </w:p>
    <w:p w14:paraId="16C29C3F" w14:textId="77777777" w:rsidR="00D66981" w:rsidRPr="003942E7" w:rsidRDefault="00D66981" w:rsidP="00D66981">
      <w:pPr>
        <w:jc w:val="center"/>
      </w:pPr>
      <w:r w:rsidRPr="0003748B">
        <w:rPr>
          <w:b/>
          <w:bCs/>
        </w:rPr>
        <w:t>James N. Weinstein MS DO</w:t>
      </w:r>
      <w:r>
        <w:t>, Microsoft Research†</w:t>
      </w:r>
    </w:p>
    <w:p w14:paraId="2B341529" w14:textId="77777777" w:rsidR="00D66981" w:rsidRDefault="00D66981" w:rsidP="00BF5DC4">
      <w:pPr>
        <w:spacing w:before="240"/>
        <w:jc w:val="center"/>
        <w:rPr>
          <w:rFonts w:asciiTheme="majorHAnsi" w:eastAsiaTheme="majorEastAsia" w:hAnsiTheme="majorHAnsi" w:cstheme="majorHAnsi"/>
          <w:b/>
          <w:bCs/>
          <w:color w:val="215E99"/>
          <w:sz w:val="72"/>
          <w:szCs w:val="72"/>
        </w:rPr>
      </w:pPr>
    </w:p>
    <w:p w14:paraId="50BA8BB2" w14:textId="02E1CAF7" w:rsidR="00BF5DC4" w:rsidRDefault="00BF5DC4" w:rsidP="00BF5DC4">
      <w:pPr>
        <w:spacing w:before="240"/>
        <w:jc w:val="center"/>
        <w:rPr>
          <w:rFonts w:asciiTheme="majorHAnsi" w:eastAsiaTheme="majorEastAsia" w:hAnsiTheme="majorHAnsi" w:cstheme="majorHAnsi"/>
          <w:color w:val="215E99"/>
          <w:sz w:val="52"/>
          <w:szCs w:val="52"/>
        </w:rPr>
      </w:pPr>
      <w:r w:rsidRPr="00D65076">
        <w:rPr>
          <w:rFonts w:asciiTheme="majorHAnsi" w:eastAsiaTheme="majorEastAsia" w:hAnsiTheme="majorHAnsi" w:cstheme="majorHAnsi"/>
          <w:b/>
          <w:bCs/>
          <w:color w:val="215E99"/>
          <w:sz w:val="72"/>
          <w:szCs w:val="72"/>
        </w:rPr>
        <w:t xml:space="preserve">Supplement </w:t>
      </w:r>
      <w:r w:rsidR="00922CA9">
        <w:rPr>
          <w:rFonts w:asciiTheme="majorHAnsi" w:eastAsiaTheme="majorEastAsia" w:hAnsiTheme="majorHAnsi" w:cstheme="majorHAnsi"/>
          <w:b/>
          <w:bCs/>
          <w:color w:val="215E99"/>
          <w:sz w:val="72"/>
          <w:szCs w:val="72"/>
        </w:rPr>
        <w:br/>
      </w:r>
      <w:r w:rsidRPr="00D65076">
        <w:rPr>
          <w:rFonts w:asciiTheme="majorHAnsi" w:eastAsiaTheme="majorEastAsia" w:hAnsiTheme="majorHAnsi" w:cstheme="majorHAnsi"/>
          <w:color w:val="215E99"/>
          <w:sz w:val="52"/>
          <w:szCs w:val="52"/>
        </w:rPr>
        <w:t>Formal Structure and Methods</w:t>
      </w:r>
    </w:p>
    <w:p w14:paraId="1F8DFC4A" w14:textId="77777777" w:rsidR="00BF5DC4" w:rsidRDefault="00BF5DC4" w:rsidP="00BF5DC4"/>
    <w:p w14:paraId="25146772" w14:textId="77777777" w:rsidR="00BF5DC4" w:rsidRDefault="00BF5DC4" w:rsidP="00BF5DC4">
      <w:r w:rsidRPr="00D3782A">
        <w:t>This Supplement provides the formal methodological structure for the main text.</w:t>
      </w:r>
      <w:r>
        <w:t xml:space="preserve"> It proceeds in a deliberate sequence:</w:t>
      </w:r>
    </w:p>
    <w:p w14:paraId="1AD13B9C" w14:textId="77777777" w:rsidR="00BF5DC4" w:rsidRDefault="00BF5DC4">
      <w:pPr>
        <w:pStyle w:val="ListParagraph"/>
        <w:numPr>
          <w:ilvl w:val="0"/>
          <w:numId w:val="21"/>
        </w:numPr>
        <w:spacing w:before="240"/>
        <w:ind w:right="360"/>
        <w:contextualSpacing w:val="0"/>
        <w:jc w:val="left"/>
      </w:pPr>
      <w:r w:rsidRPr="008F1B80">
        <w:rPr>
          <w:b/>
          <w:bCs/>
        </w:rPr>
        <w:t>S1–S3</w:t>
      </w:r>
      <w:r>
        <w:t xml:space="preserve">: </w:t>
      </w:r>
      <w:r w:rsidRPr="008F1B80">
        <w:rPr>
          <w:b/>
          <w:bCs/>
        </w:rPr>
        <w:t>Foundations and identification</w:t>
      </w:r>
      <w:r>
        <w:t xml:space="preserve"> (axioms, validity constraints, canonical estimands, and identification conditions);</w:t>
      </w:r>
    </w:p>
    <w:p w14:paraId="67E8962D" w14:textId="77777777" w:rsidR="00BF5DC4" w:rsidRDefault="00BF5DC4">
      <w:pPr>
        <w:pStyle w:val="ListParagraph"/>
        <w:numPr>
          <w:ilvl w:val="0"/>
          <w:numId w:val="21"/>
        </w:numPr>
        <w:spacing w:before="240"/>
        <w:ind w:right="360"/>
        <w:contextualSpacing w:val="0"/>
        <w:jc w:val="left"/>
      </w:pPr>
      <w:r w:rsidRPr="008F1B80">
        <w:rPr>
          <w:b/>
          <w:bCs/>
        </w:rPr>
        <w:t>S4–S7</w:t>
      </w:r>
      <w:r>
        <w:t xml:space="preserve">: </w:t>
      </w:r>
      <w:r w:rsidRPr="008F1B80">
        <w:rPr>
          <w:b/>
          <w:bCs/>
        </w:rPr>
        <w:t>Rules, methods, and uncertainty</w:t>
      </w:r>
      <w:r>
        <w:t xml:space="preserve"> (interpretation, design, measurement, power, and regime assignment under uncertainty);</w:t>
      </w:r>
    </w:p>
    <w:p w14:paraId="60D639A0" w14:textId="4E994E34" w:rsidR="00BF5DC4" w:rsidRDefault="00BF5DC4">
      <w:pPr>
        <w:pStyle w:val="ListParagraph"/>
        <w:numPr>
          <w:ilvl w:val="0"/>
          <w:numId w:val="21"/>
        </w:numPr>
        <w:spacing w:before="240"/>
        <w:ind w:right="360"/>
        <w:contextualSpacing w:val="0"/>
        <w:jc w:val="left"/>
      </w:pPr>
      <w:r w:rsidRPr="008F1B80">
        <w:rPr>
          <w:b/>
          <w:bCs/>
        </w:rPr>
        <w:t>S8–S11</w:t>
      </w:r>
      <w:r>
        <w:t xml:space="preserve">: </w:t>
      </w:r>
      <w:r w:rsidRPr="008F1B80">
        <w:rPr>
          <w:b/>
          <w:bCs/>
        </w:rPr>
        <w:t>Historical placement and application</w:t>
      </w:r>
      <w:r>
        <w:t xml:space="preserve"> (trial generations, SPORT as a transitional β</w:t>
      </w:r>
      <w:r w:rsidR="00AB5CE1">
        <w:t>-</w:t>
      </w:r>
      <w:r>
        <w:t>quantifying exemplar, and candidate β</w:t>
      </w:r>
      <w:r w:rsidR="00AB5CE1">
        <w:t>-</w:t>
      </w:r>
      <w:r>
        <w:t>identification</w:t>
      </w:r>
      <w:r w:rsidR="00AB5CE1">
        <w:t>-</w:t>
      </w:r>
      <w:r>
        <w:t>ready clinical settings).</w:t>
      </w:r>
    </w:p>
    <w:p w14:paraId="156DA3F1" w14:textId="77777777" w:rsidR="00BF5DC4" w:rsidRPr="002A3A73" w:rsidRDefault="00BF5DC4" w:rsidP="00BF5DC4">
      <w:r>
        <w:t xml:space="preserve">The purpose is not to add a parallel argument, but to supply </w:t>
      </w:r>
      <w:r w:rsidRPr="00D3782A">
        <w:t>the formal detail, diagnostics, and prospective design implications needed to support the central claim: when outcomes are jointly shaped by biology and choice, valid interpretation must follow the joint structure of (Δα, β).</w:t>
      </w:r>
      <w:r w:rsidRPr="002A3A73">
        <w:t xml:space="preserve"> </w:t>
      </w:r>
    </w:p>
    <w:p w14:paraId="2A370ED9" w14:textId="77777777" w:rsidR="00BF5DC4" w:rsidRDefault="00BF5DC4" w:rsidP="00BF5DC4">
      <w:pPr>
        <w:jc w:val="left"/>
      </w:pPr>
      <w:r>
        <w:br w:type="page"/>
      </w:r>
    </w:p>
    <w:p w14:paraId="1D415A73" w14:textId="77777777" w:rsidR="00BF5DC4" w:rsidRPr="002A3A73" w:rsidRDefault="00BF5DC4" w:rsidP="00BF5DC4">
      <w:pPr>
        <w:spacing w:before="240"/>
        <w:jc w:val="center"/>
        <w:rPr>
          <w:noProof/>
          <w:sz w:val="40"/>
          <w:szCs w:val="40"/>
        </w:rPr>
      </w:pPr>
      <w:r w:rsidRPr="002A3A73">
        <w:rPr>
          <w:rFonts w:asciiTheme="majorHAnsi" w:eastAsiaTheme="majorEastAsia" w:hAnsiTheme="majorHAnsi" w:cstheme="majorHAnsi"/>
          <w:b/>
          <w:bCs/>
          <w:sz w:val="40"/>
          <w:szCs w:val="40"/>
        </w:rPr>
        <w:lastRenderedPageBreak/>
        <w:t>Table of Contents</w:t>
      </w:r>
      <w:r>
        <w:rPr>
          <w:b/>
          <w:bCs/>
          <w:noProof/>
          <w:sz w:val="40"/>
          <w:szCs w:val="40"/>
        </w:rPr>
        <w:fldChar w:fldCharType="begin"/>
      </w:r>
      <w:r w:rsidRPr="002A3A73">
        <w:rPr>
          <w:sz w:val="40"/>
          <w:szCs w:val="40"/>
        </w:rPr>
        <w:instrText xml:space="preserve"> TOC \o "1-3" \h \z \u </w:instrText>
      </w:r>
      <w:r>
        <w:rPr>
          <w:b/>
          <w:bCs/>
          <w:noProof/>
          <w:sz w:val="40"/>
          <w:szCs w:val="40"/>
        </w:rPr>
        <w:fldChar w:fldCharType="separate"/>
      </w:r>
    </w:p>
    <w:p w14:paraId="6F37A96B" w14:textId="6AF59A3A" w:rsidR="00BF5DC4" w:rsidRPr="002A3A73" w:rsidRDefault="00BF5DC4" w:rsidP="00BF5DC4">
      <w:pPr>
        <w:pStyle w:val="TOC1"/>
        <w:rPr>
          <w:rFonts w:eastAsiaTheme="minorEastAsia"/>
        </w:rPr>
      </w:pPr>
      <w:hyperlink w:anchor="_Toc230299589" w:history="1">
        <w:r w:rsidRPr="002A3A73">
          <w:rPr>
            <w:rStyle w:val="Hyperlink"/>
          </w:rPr>
          <w:t>S1 Axioms and Validity Constraints</w:t>
        </w:r>
        <w:r w:rsidRPr="002A3A73">
          <w:rPr>
            <w:webHidden/>
          </w:rPr>
          <w:tab/>
        </w:r>
        <w:r w:rsidRPr="002A3A73">
          <w:rPr>
            <w:webHidden/>
          </w:rPr>
          <w:fldChar w:fldCharType="begin"/>
        </w:r>
        <w:r w:rsidRPr="002A3A73">
          <w:rPr>
            <w:webHidden/>
          </w:rPr>
          <w:instrText xml:space="preserve"> PAGEREF _Toc230299589 \h </w:instrText>
        </w:r>
        <w:r w:rsidRPr="002A3A73">
          <w:rPr>
            <w:webHidden/>
          </w:rPr>
        </w:r>
        <w:r w:rsidRPr="002A3A73">
          <w:rPr>
            <w:webHidden/>
          </w:rPr>
          <w:fldChar w:fldCharType="separate"/>
        </w:r>
        <w:r w:rsidR="00D66981">
          <w:rPr>
            <w:webHidden/>
          </w:rPr>
          <w:t>4</w:t>
        </w:r>
        <w:r w:rsidRPr="002A3A73">
          <w:rPr>
            <w:webHidden/>
          </w:rPr>
          <w:fldChar w:fldCharType="end"/>
        </w:r>
      </w:hyperlink>
    </w:p>
    <w:p w14:paraId="456B5E30" w14:textId="269D8945" w:rsidR="00BF5DC4" w:rsidRDefault="00BF5DC4" w:rsidP="00BF5DC4">
      <w:pPr>
        <w:pStyle w:val="TOC1"/>
        <w:rPr>
          <w:rFonts w:eastAsiaTheme="minorEastAsia"/>
        </w:rPr>
      </w:pPr>
      <w:hyperlink w:anchor="_Toc230299590" w:history="1">
        <w:r w:rsidRPr="00ED5BE0">
          <w:rPr>
            <w:rStyle w:val="Hyperlink"/>
          </w:rPr>
          <w:t>S2 Canonical Estimands</w:t>
        </w:r>
        <w:r>
          <w:rPr>
            <w:webHidden/>
          </w:rPr>
          <w:tab/>
        </w:r>
        <w:r>
          <w:rPr>
            <w:webHidden/>
          </w:rPr>
          <w:fldChar w:fldCharType="begin"/>
        </w:r>
        <w:r>
          <w:rPr>
            <w:webHidden/>
          </w:rPr>
          <w:instrText xml:space="preserve"> PAGEREF _Toc230299590 \h </w:instrText>
        </w:r>
        <w:r>
          <w:rPr>
            <w:webHidden/>
          </w:rPr>
        </w:r>
        <w:r>
          <w:rPr>
            <w:webHidden/>
          </w:rPr>
          <w:fldChar w:fldCharType="separate"/>
        </w:r>
        <w:r w:rsidR="00D66981">
          <w:rPr>
            <w:webHidden/>
          </w:rPr>
          <w:t>7</w:t>
        </w:r>
        <w:r>
          <w:rPr>
            <w:webHidden/>
          </w:rPr>
          <w:fldChar w:fldCharType="end"/>
        </w:r>
      </w:hyperlink>
    </w:p>
    <w:p w14:paraId="43093C11" w14:textId="35612A46" w:rsidR="00BF5DC4" w:rsidRDefault="00BF5DC4" w:rsidP="00BF5DC4">
      <w:pPr>
        <w:pStyle w:val="TOC1"/>
        <w:rPr>
          <w:rFonts w:eastAsiaTheme="minorEastAsia"/>
        </w:rPr>
      </w:pPr>
      <w:hyperlink w:anchor="_Toc230299591" w:history="1">
        <w:r w:rsidRPr="00ED5BE0">
          <w:rPr>
            <w:rStyle w:val="Hyperlink"/>
          </w:rPr>
          <w:t>S3 Identification and Assumptions</w:t>
        </w:r>
        <w:r>
          <w:rPr>
            <w:webHidden/>
          </w:rPr>
          <w:tab/>
        </w:r>
        <w:r>
          <w:rPr>
            <w:webHidden/>
          </w:rPr>
          <w:fldChar w:fldCharType="begin"/>
        </w:r>
        <w:r>
          <w:rPr>
            <w:webHidden/>
          </w:rPr>
          <w:instrText xml:space="preserve"> PAGEREF _Toc230299591 \h </w:instrText>
        </w:r>
        <w:r>
          <w:rPr>
            <w:webHidden/>
          </w:rPr>
        </w:r>
        <w:r>
          <w:rPr>
            <w:webHidden/>
          </w:rPr>
          <w:fldChar w:fldCharType="separate"/>
        </w:r>
        <w:r w:rsidR="00D66981">
          <w:rPr>
            <w:webHidden/>
          </w:rPr>
          <w:t>11</w:t>
        </w:r>
        <w:r>
          <w:rPr>
            <w:webHidden/>
          </w:rPr>
          <w:fldChar w:fldCharType="end"/>
        </w:r>
      </w:hyperlink>
    </w:p>
    <w:p w14:paraId="54522FD7" w14:textId="4E3CEB6C" w:rsidR="00BF5DC4" w:rsidRDefault="00BF5DC4" w:rsidP="00BF5DC4">
      <w:pPr>
        <w:pStyle w:val="TOC1"/>
        <w:rPr>
          <w:rFonts w:eastAsiaTheme="minorEastAsia"/>
        </w:rPr>
      </w:pPr>
      <w:hyperlink w:anchor="_Toc230299592" w:history="1">
        <w:r w:rsidRPr="00ED5BE0">
          <w:rPr>
            <w:rStyle w:val="Hyperlink"/>
          </w:rPr>
          <w:t>S4 Rules of Interpretation and Design</w:t>
        </w:r>
        <w:r>
          <w:rPr>
            <w:webHidden/>
          </w:rPr>
          <w:tab/>
        </w:r>
        <w:r>
          <w:rPr>
            <w:webHidden/>
          </w:rPr>
          <w:fldChar w:fldCharType="begin"/>
        </w:r>
        <w:r>
          <w:rPr>
            <w:webHidden/>
          </w:rPr>
          <w:instrText xml:space="preserve"> PAGEREF _Toc230299592 \h </w:instrText>
        </w:r>
        <w:r>
          <w:rPr>
            <w:webHidden/>
          </w:rPr>
        </w:r>
        <w:r>
          <w:rPr>
            <w:webHidden/>
          </w:rPr>
          <w:fldChar w:fldCharType="separate"/>
        </w:r>
        <w:r w:rsidR="00D66981">
          <w:rPr>
            <w:webHidden/>
          </w:rPr>
          <w:t>12</w:t>
        </w:r>
        <w:r>
          <w:rPr>
            <w:webHidden/>
          </w:rPr>
          <w:fldChar w:fldCharType="end"/>
        </w:r>
      </w:hyperlink>
    </w:p>
    <w:p w14:paraId="700238DF" w14:textId="4190FD31" w:rsidR="00BF5DC4" w:rsidRPr="002A3A73" w:rsidRDefault="00BF5DC4" w:rsidP="00BF5DC4">
      <w:pPr>
        <w:pStyle w:val="TOC3"/>
        <w:tabs>
          <w:tab w:val="right" w:leader="dot" w:pos="9350"/>
        </w:tabs>
        <w:spacing w:after="60" w:line="264" w:lineRule="auto"/>
        <w:ind w:left="475"/>
        <w:rPr>
          <w:rFonts w:eastAsiaTheme="minorEastAsia"/>
          <w:noProof/>
          <w:sz w:val="20"/>
          <w:szCs w:val="20"/>
        </w:rPr>
      </w:pPr>
      <w:hyperlink w:anchor="_Toc230299593" w:history="1">
        <w:r w:rsidRPr="002A3A73">
          <w:rPr>
            <w:rStyle w:val="Hyperlink"/>
            <w:b/>
            <w:bCs/>
            <w:noProof/>
            <w:sz w:val="20"/>
            <w:szCs w:val="20"/>
          </w:rPr>
          <w:t>R1</w:t>
        </w:r>
        <w:r w:rsidRPr="002A3A73">
          <w:rPr>
            <w:rStyle w:val="Hyperlink"/>
            <w:noProof/>
            <w:sz w:val="20"/>
            <w:szCs w:val="20"/>
          </w:rPr>
          <w:t xml:space="preserve"> Interpretation Rule</w:t>
        </w:r>
        <w:r w:rsidRPr="002A3A73">
          <w:rPr>
            <w:noProof/>
            <w:webHidden/>
            <w:sz w:val="20"/>
            <w:szCs w:val="20"/>
          </w:rPr>
          <w:tab/>
        </w:r>
        <w:r w:rsidRPr="002A3A73">
          <w:rPr>
            <w:noProof/>
            <w:webHidden/>
            <w:sz w:val="20"/>
            <w:szCs w:val="20"/>
          </w:rPr>
          <w:fldChar w:fldCharType="begin"/>
        </w:r>
        <w:r w:rsidRPr="002A3A73">
          <w:rPr>
            <w:noProof/>
            <w:webHidden/>
            <w:sz w:val="20"/>
            <w:szCs w:val="20"/>
          </w:rPr>
          <w:instrText xml:space="preserve"> PAGEREF _Toc230299593 \h </w:instrText>
        </w:r>
        <w:r w:rsidRPr="002A3A73">
          <w:rPr>
            <w:noProof/>
            <w:webHidden/>
            <w:sz w:val="20"/>
            <w:szCs w:val="20"/>
          </w:rPr>
        </w:r>
        <w:r w:rsidRPr="002A3A73">
          <w:rPr>
            <w:noProof/>
            <w:webHidden/>
            <w:sz w:val="20"/>
            <w:szCs w:val="20"/>
          </w:rPr>
          <w:fldChar w:fldCharType="separate"/>
        </w:r>
        <w:r w:rsidR="00D66981">
          <w:rPr>
            <w:noProof/>
            <w:webHidden/>
            <w:sz w:val="20"/>
            <w:szCs w:val="20"/>
          </w:rPr>
          <w:t>12</w:t>
        </w:r>
        <w:r w:rsidRPr="002A3A73">
          <w:rPr>
            <w:noProof/>
            <w:webHidden/>
            <w:sz w:val="20"/>
            <w:szCs w:val="20"/>
          </w:rPr>
          <w:fldChar w:fldCharType="end"/>
        </w:r>
      </w:hyperlink>
    </w:p>
    <w:p w14:paraId="204CC730" w14:textId="21922EBB" w:rsidR="00BF5DC4" w:rsidRPr="002A3A73" w:rsidRDefault="00BF5DC4" w:rsidP="00BF5DC4">
      <w:pPr>
        <w:pStyle w:val="TOC3"/>
        <w:tabs>
          <w:tab w:val="right" w:leader="dot" w:pos="9350"/>
        </w:tabs>
        <w:spacing w:after="60" w:line="264" w:lineRule="auto"/>
        <w:ind w:left="475"/>
        <w:rPr>
          <w:rFonts w:eastAsiaTheme="minorEastAsia"/>
          <w:noProof/>
          <w:sz w:val="20"/>
          <w:szCs w:val="20"/>
        </w:rPr>
      </w:pPr>
      <w:hyperlink w:anchor="_Toc230299594" w:history="1">
        <w:r w:rsidRPr="002A3A73">
          <w:rPr>
            <w:rStyle w:val="Hyperlink"/>
            <w:b/>
            <w:bCs/>
            <w:noProof/>
            <w:sz w:val="20"/>
            <w:szCs w:val="20"/>
          </w:rPr>
          <w:t>R2</w:t>
        </w:r>
        <w:r w:rsidRPr="002A3A73">
          <w:rPr>
            <w:rStyle w:val="Hyperlink"/>
            <w:noProof/>
            <w:sz w:val="20"/>
            <w:szCs w:val="20"/>
          </w:rPr>
          <w:t xml:space="preserve"> Regime Rule</w:t>
        </w:r>
        <w:r w:rsidRPr="002A3A73">
          <w:rPr>
            <w:noProof/>
            <w:webHidden/>
            <w:sz w:val="20"/>
            <w:szCs w:val="20"/>
          </w:rPr>
          <w:tab/>
        </w:r>
        <w:r w:rsidRPr="002A3A73">
          <w:rPr>
            <w:noProof/>
            <w:webHidden/>
            <w:sz w:val="20"/>
            <w:szCs w:val="20"/>
          </w:rPr>
          <w:fldChar w:fldCharType="begin"/>
        </w:r>
        <w:r w:rsidRPr="002A3A73">
          <w:rPr>
            <w:noProof/>
            <w:webHidden/>
            <w:sz w:val="20"/>
            <w:szCs w:val="20"/>
          </w:rPr>
          <w:instrText xml:space="preserve"> PAGEREF _Toc230299594 \h </w:instrText>
        </w:r>
        <w:r w:rsidRPr="002A3A73">
          <w:rPr>
            <w:noProof/>
            <w:webHidden/>
            <w:sz w:val="20"/>
            <w:szCs w:val="20"/>
          </w:rPr>
        </w:r>
        <w:r w:rsidRPr="002A3A73">
          <w:rPr>
            <w:noProof/>
            <w:webHidden/>
            <w:sz w:val="20"/>
            <w:szCs w:val="20"/>
          </w:rPr>
          <w:fldChar w:fldCharType="separate"/>
        </w:r>
        <w:r w:rsidR="00D66981">
          <w:rPr>
            <w:noProof/>
            <w:webHidden/>
            <w:sz w:val="20"/>
            <w:szCs w:val="20"/>
          </w:rPr>
          <w:t>13</w:t>
        </w:r>
        <w:r w:rsidRPr="002A3A73">
          <w:rPr>
            <w:noProof/>
            <w:webHidden/>
            <w:sz w:val="20"/>
            <w:szCs w:val="20"/>
          </w:rPr>
          <w:fldChar w:fldCharType="end"/>
        </w:r>
      </w:hyperlink>
    </w:p>
    <w:p w14:paraId="3C823FCC" w14:textId="5BF2C596" w:rsidR="00BF5DC4" w:rsidRPr="002A3A73" w:rsidRDefault="00BF5DC4" w:rsidP="00BF5DC4">
      <w:pPr>
        <w:pStyle w:val="TOC3"/>
        <w:tabs>
          <w:tab w:val="right" w:leader="dot" w:pos="9350"/>
        </w:tabs>
        <w:spacing w:after="60" w:line="264" w:lineRule="auto"/>
        <w:ind w:left="475"/>
        <w:rPr>
          <w:rFonts w:eastAsiaTheme="minorEastAsia"/>
          <w:noProof/>
          <w:sz w:val="20"/>
          <w:szCs w:val="20"/>
        </w:rPr>
      </w:pPr>
      <w:hyperlink w:anchor="_Toc230299595" w:history="1">
        <w:r w:rsidRPr="002A3A73">
          <w:rPr>
            <w:rStyle w:val="Hyperlink"/>
            <w:b/>
            <w:bCs/>
            <w:noProof/>
            <w:sz w:val="20"/>
            <w:szCs w:val="20"/>
          </w:rPr>
          <w:t>R3</w:t>
        </w:r>
        <w:r w:rsidRPr="002A3A73">
          <w:rPr>
            <w:rStyle w:val="Hyperlink"/>
            <w:noProof/>
            <w:sz w:val="20"/>
            <w:szCs w:val="20"/>
          </w:rPr>
          <w:t xml:space="preserve"> Power Rule</w:t>
        </w:r>
        <w:r w:rsidRPr="002A3A73">
          <w:rPr>
            <w:noProof/>
            <w:webHidden/>
            <w:sz w:val="20"/>
            <w:szCs w:val="20"/>
          </w:rPr>
          <w:tab/>
        </w:r>
        <w:r w:rsidRPr="002A3A73">
          <w:rPr>
            <w:noProof/>
            <w:webHidden/>
            <w:sz w:val="20"/>
            <w:szCs w:val="20"/>
          </w:rPr>
          <w:fldChar w:fldCharType="begin"/>
        </w:r>
        <w:r w:rsidRPr="002A3A73">
          <w:rPr>
            <w:noProof/>
            <w:webHidden/>
            <w:sz w:val="20"/>
            <w:szCs w:val="20"/>
          </w:rPr>
          <w:instrText xml:space="preserve"> PAGEREF _Toc230299595 \h </w:instrText>
        </w:r>
        <w:r w:rsidRPr="002A3A73">
          <w:rPr>
            <w:noProof/>
            <w:webHidden/>
            <w:sz w:val="20"/>
            <w:szCs w:val="20"/>
          </w:rPr>
        </w:r>
        <w:r w:rsidRPr="002A3A73">
          <w:rPr>
            <w:noProof/>
            <w:webHidden/>
            <w:sz w:val="20"/>
            <w:szCs w:val="20"/>
          </w:rPr>
          <w:fldChar w:fldCharType="separate"/>
        </w:r>
        <w:r w:rsidR="00D66981">
          <w:rPr>
            <w:noProof/>
            <w:webHidden/>
            <w:sz w:val="20"/>
            <w:szCs w:val="20"/>
          </w:rPr>
          <w:t>13</w:t>
        </w:r>
        <w:r w:rsidRPr="002A3A73">
          <w:rPr>
            <w:noProof/>
            <w:webHidden/>
            <w:sz w:val="20"/>
            <w:szCs w:val="20"/>
          </w:rPr>
          <w:fldChar w:fldCharType="end"/>
        </w:r>
      </w:hyperlink>
    </w:p>
    <w:p w14:paraId="6BD65A43" w14:textId="614B2668" w:rsidR="00BF5DC4" w:rsidRPr="002A3A73" w:rsidRDefault="00BF5DC4" w:rsidP="00BF5DC4">
      <w:pPr>
        <w:pStyle w:val="TOC3"/>
        <w:tabs>
          <w:tab w:val="right" w:leader="dot" w:pos="9350"/>
        </w:tabs>
        <w:spacing w:after="60" w:line="264" w:lineRule="auto"/>
        <w:ind w:left="475"/>
        <w:rPr>
          <w:rFonts w:eastAsiaTheme="minorEastAsia"/>
          <w:noProof/>
          <w:sz w:val="20"/>
          <w:szCs w:val="20"/>
        </w:rPr>
      </w:pPr>
      <w:hyperlink w:anchor="_Toc230299596" w:history="1">
        <w:r w:rsidRPr="002A3A73">
          <w:rPr>
            <w:rStyle w:val="Hyperlink"/>
            <w:rFonts w:ascii="Segoe UI" w:hAnsi="Segoe UI" w:cs="Segoe UI"/>
            <w:b/>
            <w:bCs/>
            <w:noProof/>
            <w:sz w:val="20"/>
            <w:szCs w:val="20"/>
          </w:rPr>
          <w:t>R4</w:t>
        </w:r>
        <w:r w:rsidRPr="002A3A73">
          <w:rPr>
            <w:rStyle w:val="Hyperlink"/>
            <w:rFonts w:ascii="Segoe UI" w:hAnsi="Segoe UI" w:cs="Segoe UI"/>
            <w:noProof/>
            <w:sz w:val="20"/>
            <w:szCs w:val="20"/>
          </w:rPr>
          <w:t xml:space="preserve"> </w:t>
        </w:r>
        <w:r w:rsidRPr="002A3A73">
          <w:rPr>
            <w:rStyle w:val="Hyperlink"/>
            <w:noProof/>
            <w:sz w:val="20"/>
            <w:szCs w:val="20"/>
          </w:rPr>
          <w:t>Measurement Rule</w:t>
        </w:r>
        <w:r w:rsidRPr="002A3A73">
          <w:rPr>
            <w:noProof/>
            <w:webHidden/>
            <w:sz w:val="20"/>
            <w:szCs w:val="20"/>
          </w:rPr>
          <w:tab/>
        </w:r>
        <w:r w:rsidRPr="002A3A73">
          <w:rPr>
            <w:noProof/>
            <w:webHidden/>
            <w:sz w:val="20"/>
            <w:szCs w:val="20"/>
          </w:rPr>
          <w:fldChar w:fldCharType="begin"/>
        </w:r>
        <w:r w:rsidRPr="002A3A73">
          <w:rPr>
            <w:noProof/>
            <w:webHidden/>
            <w:sz w:val="20"/>
            <w:szCs w:val="20"/>
          </w:rPr>
          <w:instrText xml:space="preserve"> PAGEREF _Toc230299596 \h </w:instrText>
        </w:r>
        <w:r w:rsidRPr="002A3A73">
          <w:rPr>
            <w:noProof/>
            <w:webHidden/>
            <w:sz w:val="20"/>
            <w:szCs w:val="20"/>
          </w:rPr>
        </w:r>
        <w:r w:rsidRPr="002A3A73">
          <w:rPr>
            <w:noProof/>
            <w:webHidden/>
            <w:sz w:val="20"/>
            <w:szCs w:val="20"/>
          </w:rPr>
          <w:fldChar w:fldCharType="separate"/>
        </w:r>
        <w:r w:rsidR="00D66981">
          <w:rPr>
            <w:noProof/>
            <w:webHidden/>
            <w:sz w:val="20"/>
            <w:szCs w:val="20"/>
          </w:rPr>
          <w:t>13</w:t>
        </w:r>
        <w:r w:rsidRPr="002A3A73">
          <w:rPr>
            <w:noProof/>
            <w:webHidden/>
            <w:sz w:val="20"/>
            <w:szCs w:val="20"/>
          </w:rPr>
          <w:fldChar w:fldCharType="end"/>
        </w:r>
      </w:hyperlink>
    </w:p>
    <w:p w14:paraId="19519E6C" w14:textId="7DFA978E" w:rsidR="00BF5DC4" w:rsidRPr="002A3A73" w:rsidRDefault="00BF5DC4" w:rsidP="00BF5DC4">
      <w:pPr>
        <w:pStyle w:val="TOC3"/>
        <w:tabs>
          <w:tab w:val="right" w:leader="dot" w:pos="9350"/>
        </w:tabs>
        <w:spacing w:after="60" w:line="264" w:lineRule="auto"/>
        <w:ind w:left="475"/>
        <w:rPr>
          <w:rFonts w:eastAsiaTheme="minorEastAsia"/>
          <w:noProof/>
          <w:sz w:val="20"/>
          <w:szCs w:val="20"/>
        </w:rPr>
      </w:pPr>
      <w:hyperlink w:anchor="_Toc230299597" w:history="1">
        <w:r w:rsidRPr="002A3A73">
          <w:rPr>
            <w:rStyle w:val="Hyperlink"/>
            <w:rFonts w:ascii="Segoe UI" w:hAnsi="Segoe UI" w:cs="Segoe UI"/>
            <w:b/>
            <w:bCs/>
            <w:noProof/>
            <w:sz w:val="20"/>
            <w:szCs w:val="20"/>
          </w:rPr>
          <w:t>R5</w:t>
        </w:r>
        <w:r w:rsidRPr="002A3A73">
          <w:rPr>
            <w:rStyle w:val="Hyperlink"/>
            <w:rFonts w:ascii="Segoe UI" w:hAnsi="Segoe UI" w:cs="Segoe UI"/>
            <w:noProof/>
            <w:sz w:val="20"/>
            <w:szCs w:val="20"/>
          </w:rPr>
          <w:t xml:space="preserve"> </w:t>
        </w:r>
        <w:r w:rsidRPr="002A3A73">
          <w:rPr>
            <w:rStyle w:val="Hyperlink"/>
            <w:noProof/>
            <w:sz w:val="20"/>
            <w:szCs w:val="20"/>
          </w:rPr>
          <w:t>Complexity Rule</w:t>
        </w:r>
        <w:r w:rsidRPr="002A3A73">
          <w:rPr>
            <w:noProof/>
            <w:webHidden/>
            <w:sz w:val="20"/>
            <w:szCs w:val="20"/>
          </w:rPr>
          <w:tab/>
        </w:r>
        <w:r w:rsidRPr="002A3A73">
          <w:rPr>
            <w:noProof/>
            <w:webHidden/>
            <w:sz w:val="20"/>
            <w:szCs w:val="20"/>
          </w:rPr>
          <w:fldChar w:fldCharType="begin"/>
        </w:r>
        <w:r w:rsidRPr="002A3A73">
          <w:rPr>
            <w:noProof/>
            <w:webHidden/>
            <w:sz w:val="20"/>
            <w:szCs w:val="20"/>
          </w:rPr>
          <w:instrText xml:space="preserve"> PAGEREF _Toc230299597 \h </w:instrText>
        </w:r>
        <w:r w:rsidRPr="002A3A73">
          <w:rPr>
            <w:noProof/>
            <w:webHidden/>
            <w:sz w:val="20"/>
            <w:szCs w:val="20"/>
          </w:rPr>
        </w:r>
        <w:r w:rsidRPr="002A3A73">
          <w:rPr>
            <w:noProof/>
            <w:webHidden/>
            <w:sz w:val="20"/>
            <w:szCs w:val="20"/>
          </w:rPr>
          <w:fldChar w:fldCharType="separate"/>
        </w:r>
        <w:r w:rsidR="00D66981">
          <w:rPr>
            <w:noProof/>
            <w:webHidden/>
            <w:sz w:val="20"/>
            <w:szCs w:val="20"/>
          </w:rPr>
          <w:t>13</w:t>
        </w:r>
        <w:r w:rsidRPr="002A3A73">
          <w:rPr>
            <w:noProof/>
            <w:webHidden/>
            <w:sz w:val="20"/>
            <w:szCs w:val="20"/>
          </w:rPr>
          <w:fldChar w:fldCharType="end"/>
        </w:r>
      </w:hyperlink>
    </w:p>
    <w:p w14:paraId="6B37663B" w14:textId="0F442032" w:rsidR="00BF5DC4" w:rsidRDefault="00BF5DC4" w:rsidP="00BF5DC4">
      <w:pPr>
        <w:pStyle w:val="TOC1"/>
        <w:rPr>
          <w:rFonts w:eastAsiaTheme="minorEastAsia"/>
        </w:rPr>
      </w:pPr>
      <w:hyperlink w:anchor="_Toc230299598" w:history="1">
        <w:r w:rsidRPr="00ED5BE0">
          <w:rPr>
            <w:rStyle w:val="Hyperlink"/>
          </w:rPr>
          <w:t>S5 Statistical Implementation</w:t>
        </w:r>
        <w:r>
          <w:rPr>
            <w:webHidden/>
          </w:rPr>
          <w:tab/>
        </w:r>
        <w:r>
          <w:rPr>
            <w:webHidden/>
          </w:rPr>
          <w:fldChar w:fldCharType="begin"/>
        </w:r>
        <w:r>
          <w:rPr>
            <w:webHidden/>
          </w:rPr>
          <w:instrText xml:space="preserve"> PAGEREF _Toc230299598 \h </w:instrText>
        </w:r>
        <w:r>
          <w:rPr>
            <w:webHidden/>
          </w:rPr>
        </w:r>
        <w:r>
          <w:rPr>
            <w:webHidden/>
          </w:rPr>
          <w:fldChar w:fldCharType="separate"/>
        </w:r>
        <w:r w:rsidR="00D66981">
          <w:rPr>
            <w:webHidden/>
          </w:rPr>
          <w:t>15</w:t>
        </w:r>
        <w:r>
          <w:rPr>
            <w:webHidden/>
          </w:rPr>
          <w:fldChar w:fldCharType="end"/>
        </w:r>
      </w:hyperlink>
    </w:p>
    <w:p w14:paraId="4759CCD6" w14:textId="5A024F5C" w:rsidR="00BF5DC4" w:rsidRPr="002A3A73" w:rsidRDefault="00BF5DC4" w:rsidP="00BF5DC4">
      <w:pPr>
        <w:pStyle w:val="TOC3"/>
        <w:tabs>
          <w:tab w:val="right" w:leader="dot" w:pos="9350"/>
        </w:tabs>
        <w:spacing w:after="60" w:line="264" w:lineRule="auto"/>
        <w:ind w:left="475"/>
        <w:rPr>
          <w:rFonts w:eastAsiaTheme="minorEastAsia"/>
          <w:noProof/>
          <w:sz w:val="20"/>
          <w:szCs w:val="20"/>
        </w:rPr>
      </w:pPr>
      <w:hyperlink w:anchor="_Toc230299599" w:history="1">
        <w:r w:rsidRPr="002A3A73">
          <w:rPr>
            <w:rStyle w:val="Hyperlink"/>
            <w:b/>
            <w:bCs/>
            <w:noProof/>
            <w:sz w:val="20"/>
            <w:szCs w:val="20"/>
          </w:rPr>
          <w:t>M1</w:t>
        </w:r>
        <w:r w:rsidRPr="002A3A73">
          <w:rPr>
            <w:rStyle w:val="Hyperlink"/>
            <w:noProof/>
            <w:sz w:val="20"/>
            <w:szCs w:val="20"/>
          </w:rPr>
          <w:t xml:space="preserve"> Identify α Under Non</w:t>
        </w:r>
        <w:r w:rsidR="00AB5CE1">
          <w:rPr>
            <w:rStyle w:val="Hyperlink"/>
            <w:noProof/>
            <w:sz w:val="20"/>
            <w:szCs w:val="20"/>
          </w:rPr>
          <w:t>-</w:t>
        </w:r>
        <w:r w:rsidRPr="002A3A73">
          <w:rPr>
            <w:rStyle w:val="Hyperlink"/>
            <w:noProof/>
            <w:sz w:val="20"/>
            <w:szCs w:val="20"/>
          </w:rPr>
          <w:t>adherence</w:t>
        </w:r>
        <w:r w:rsidRPr="002A3A73">
          <w:rPr>
            <w:noProof/>
            <w:webHidden/>
            <w:sz w:val="20"/>
            <w:szCs w:val="20"/>
          </w:rPr>
          <w:tab/>
        </w:r>
        <w:r w:rsidRPr="002A3A73">
          <w:rPr>
            <w:noProof/>
            <w:webHidden/>
            <w:sz w:val="20"/>
            <w:szCs w:val="20"/>
          </w:rPr>
          <w:fldChar w:fldCharType="begin"/>
        </w:r>
        <w:r w:rsidRPr="002A3A73">
          <w:rPr>
            <w:noProof/>
            <w:webHidden/>
            <w:sz w:val="20"/>
            <w:szCs w:val="20"/>
          </w:rPr>
          <w:instrText xml:space="preserve"> PAGEREF _Toc230299599 \h </w:instrText>
        </w:r>
        <w:r w:rsidRPr="002A3A73">
          <w:rPr>
            <w:noProof/>
            <w:webHidden/>
            <w:sz w:val="20"/>
            <w:szCs w:val="20"/>
          </w:rPr>
        </w:r>
        <w:r w:rsidRPr="002A3A73">
          <w:rPr>
            <w:noProof/>
            <w:webHidden/>
            <w:sz w:val="20"/>
            <w:szCs w:val="20"/>
          </w:rPr>
          <w:fldChar w:fldCharType="separate"/>
        </w:r>
        <w:r w:rsidR="00D66981">
          <w:rPr>
            <w:noProof/>
            <w:webHidden/>
            <w:sz w:val="20"/>
            <w:szCs w:val="20"/>
          </w:rPr>
          <w:t>15</w:t>
        </w:r>
        <w:r w:rsidRPr="002A3A73">
          <w:rPr>
            <w:noProof/>
            <w:webHidden/>
            <w:sz w:val="20"/>
            <w:szCs w:val="20"/>
          </w:rPr>
          <w:fldChar w:fldCharType="end"/>
        </w:r>
      </w:hyperlink>
    </w:p>
    <w:p w14:paraId="5B13FAB1" w14:textId="4F3F7C7A" w:rsidR="00BF5DC4" w:rsidRPr="002A3A73" w:rsidRDefault="00BF5DC4" w:rsidP="00BF5DC4">
      <w:pPr>
        <w:pStyle w:val="TOC3"/>
        <w:tabs>
          <w:tab w:val="right" w:leader="dot" w:pos="9350"/>
        </w:tabs>
        <w:spacing w:after="60" w:line="264" w:lineRule="auto"/>
        <w:ind w:left="475"/>
        <w:rPr>
          <w:rFonts w:eastAsiaTheme="minorEastAsia"/>
          <w:noProof/>
          <w:sz w:val="20"/>
          <w:szCs w:val="20"/>
        </w:rPr>
      </w:pPr>
      <w:hyperlink w:anchor="_Toc230299600" w:history="1">
        <w:r w:rsidRPr="002A3A73">
          <w:rPr>
            <w:rStyle w:val="Hyperlink"/>
            <w:b/>
            <w:bCs/>
            <w:noProof/>
            <w:sz w:val="20"/>
            <w:szCs w:val="20"/>
          </w:rPr>
          <w:t>M2</w:t>
        </w:r>
        <w:r w:rsidRPr="002A3A73">
          <w:rPr>
            <w:rStyle w:val="Hyperlink"/>
            <w:noProof/>
            <w:sz w:val="20"/>
            <w:szCs w:val="20"/>
          </w:rPr>
          <w:t xml:space="preserve"> Estimate β on a Common Scale</w:t>
        </w:r>
        <w:r w:rsidRPr="002A3A73">
          <w:rPr>
            <w:noProof/>
            <w:webHidden/>
            <w:sz w:val="20"/>
            <w:szCs w:val="20"/>
          </w:rPr>
          <w:tab/>
        </w:r>
        <w:r w:rsidRPr="002A3A73">
          <w:rPr>
            <w:noProof/>
            <w:webHidden/>
            <w:sz w:val="20"/>
            <w:szCs w:val="20"/>
          </w:rPr>
          <w:fldChar w:fldCharType="begin"/>
        </w:r>
        <w:r w:rsidRPr="002A3A73">
          <w:rPr>
            <w:noProof/>
            <w:webHidden/>
            <w:sz w:val="20"/>
            <w:szCs w:val="20"/>
          </w:rPr>
          <w:instrText xml:space="preserve"> PAGEREF _Toc230299600 \h </w:instrText>
        </w:r>
        <w:r w:rsidRPr="002A3A73">
          <w:rPr>
            <w:noProof/>
            <w:webHidden/>
            <w:sz w:val="20"/>
            <w:szCs w:val="20"/>
          </w:rPr>
        </w:r>
        <w:r w:rsidRPr="002A3A73">
          <w:rPr>
            <w:noProof/>
            <w:webHidden/>
            <w:sz w:val="20"/>
            <w:szCs w:val="20"/>
          </w:rPr>
          <w:fldChar w:fldCharType="separate"/>
        </w:r>
        <w:r w:rsidR="00D66981">
          <w:rPr>
            <w:noProof/>
            <w:webHidden/>
            <w:sz w:val="20"/>
            <w:szCs w:val="20"/>
          </w:rPr>
          <w:t>15</w:t>
        </w:r>
        <w:r w:rsidRPr="002A3A73">
          <w:rPr>
            <w:noProof/>
            <w:webHidden/>
            <w:sz w:val="20"/>
            <w:szCs w:val="20"/>
          </w:rPr>
          <w:fldChar w:fldCharType="end"/>
        </w:r>
      </w:hyperlink>
    </w:p>
    <w:p w14:paraId="2885470C" w14:textId="48AA6723" w:rsidR="00BF5DC4" w:rsidRPr="002A3A73" w:rsidRDefault="00BF5DC4" w:rsidP="00BF5DC4">
      <w:pPr>
        <w:pStyle w:val="TOC3"/>
        <w:tabs>
          <w:tab w:val="right" w:leader="dot" w:pos="9350"/>
        </w:tabs>
        <w:spacing w:after="60" w:line="264" w:lineRule="auto"/>
        <w:ind w:left="475"/>
        <w:rPr>
          <w:rFonts w:eastAsiaTheme="minorEastAsia"/>
          <w:noProof/>
          <w:sz w:val="20"/>
          <w:szCs w:val="20"/>
        </w:rPr>
      </w:pPr>
      <w:hyperlink w:anchor="_Toc230299601" w:history="1">
        <w:r w:rsidRPr="002A3A73">
          <w:rPr>
            <w:rStyle w:val="Hyperlink"/>
            <w:b/>
            <w:bCs/>
            <w:noProof/>
            <w:sz w:val="20"/>
            <w:szCs w:val="20"/>
          </w:rPr>
          <w:t>M3</w:t>
        </w:r>
        <w:r w:rsidRPr="002A3A73">
          <w:rPr>
            <w:rStyle w:val="Hyperlink"/>
            <w:noProof/>
            <w:sz w:val="20"/>
            <w:szCs w:val="20"/>
          </w:rPr>
          <w:t xml:space="preserve"> Is β Inference Permitted?</w:t>
        </w:r>
        <w:r w:rsidRPr="002A3A73">
          <w:rPr>
            <w:noProof/>
            <w:webHidden/>
            <w:sz w:val="20"/>
            <w:szCs w:val="20"/>
          </w:rPr>
          <w:tab/>
        </w:r>
        <w:r w:rsidRPr="002A3A73">
          <w:rPr>
            <w:noProof/>
            <w:webHidden/>
            <w:sz w:val="20"/>
            <w:szCs w:val="20"/>
          </w:rPr>
          <w:fldChar w:fldCharType="begin"/>
        </w:r>
        <w:r w:rsidRPr="002A3A73">
          <w:rPr>
            <w:noProof/>
            <w:webHidden/>
            <w:sz w:val="20"/>
            <w:szCs w:val="20"/>
          </w:rPr>
          <w:instrText xml:space="preserve"> PAGEREF _Toc230299601 \h </w:instrText>
        </w:r>
        <w:r w:rsidRPr="002A3A73">
          <w:rPr>
            <w:noProof/>
            <w:webHidden/>
            <w:sz w:val="20"/>
            <w:szCs w:val="20"/>
          </w:rPr>
        </w:r>
        <w:r w:rsidRPr="002A3A73">
          <w:rPr>
            <w:noProof/>
            <w:webHidden/>
            <w:sz w:val="20"/>
            <w:szCs w:val="20"/>
          </w:rPr>
          <w:fldChar w:fldCharType="separate"/>
        </w:r>
        <w:r w:rsidR="00D66981">
          <w:rPr>
            <w:noProof/>
            <w:webHidden/>
            <w:sz w:val="20"/>
            <w:szCs w:val="20"/>
          </w:rPr>
          <w:t>15</w:t>
        </w:r>
        <w:r w:rsidRPr="002A3A73">
          <w:rPr>
            <w:noProof/>
            <w:webHidden/>
            <w:sz w:val="20"/>
            <w:szCs w:val="20"/>
          </w:rPr>
          <w:fldChar w:fldCharType="end"/>
        </w:r>
      </w:hyperlink>
    </w:p>
    <w:p w14:paraId="1C035CAC" w14:textId="7D447212" w:rsidR="00BF5DC4" w:rsidRPr="002A3A73" w:rsidRDefault="00BF5DC4" w:rsidP="00BF5DC4">
      <w:pPr>
        <w:pStyle w:val="TOC3"/>
        <w:tabs>
          <w:tab w:val="right" w:leader="dot" w:pos="9350"/>
        </w:tabs>
        <w:spacing w:after="60" w:line="264" w:lineRule="auto"/>
        <w:ind w:left="475"/>
        <w:rPr>
          <w:rFonts w:eastAsiaTheme="minorEastAsia"/>
          <w:noProof/>
          <w:sz w:val="20"/>
          <w:szCs w:val="20"/>
        </w:rPr>
      </w:pPr>
      <w:hyperlink w:anchor="_Toc230299602" w:history="1">
        <w:r w:rsidRPr="002A3A73">
          <w:rPr>
            <w:rStyle w:val="Hyperlink"/>
            <w:b/>
            <w:bCs/>
            <w:noProof/>
            <w:sz w:val="20"/>
            <w:szCs w:val="20"/>
          </w:rPr>
          <w:t>M4</w:t>
        </w:r>
        <w:r w:rsidRPr="002A3A73">
          <w:rPr>
            <w:rStyle w:val="Hyperlink"/>
            <w:noProof/>
            <w:sz w:val="20"/>
            <w:szCs w:val="20"/>
          </w:rPr>
          <w:t xml:space="preserve"> How Precise is the Inference?</w:t>
        </w:r>
        <w:r w:rsidRPr="002A3A73">
          <w:rPr>
            <w:noProof/>
            <w:webHidden/>
            <w:sz w:val="20"/>
            <w:szCs w:val="20"/>
          </w:rPr>
          <w:tab/>
        </w:r>
        <w:r w:rsidRPr="002A3A73">
          <w:rPr>
            <w:noProof/>
            <w:webHidden/>
            <w:sz w:val="20"/>
            <w:szCs w:val="20"/>
          </w:rPr>
          <w:fldChar w:fldCharType="begin"/>
        </w:r>
        <w:r w:rsidRPr="002A3A73">
          <w:rPr>
            <w:noProof/>
            <w:webHidden/>
            <w:sz w:val="20"/>
            <w:szCs w:val="20"/>
          </w:rPr>
          <w:instrText xml:space="preserve"> PAGEREF _Toc230299602 \h </w:instrText>
        </w:r>
        <w:r w:rsidRPr="002A3A73">
          <w:rPr>
            <w:noProof/>
            <w:webHidden/>
            <w:sz w:val="20"/>
            <w:szCs w:val="20"/>
          </w:rPr>
        </w:r>
        <w:r w:rsidRPr="002A3A73">
          <w:rPr>
            <w:noProof/>
            <w:webHidden/>
            <w:sz w:val="20"/>
            <w:szCs w:val="20"/>
          </w:rPr>
          <w:fldChar w:fldCharType="separate"/>
        </w:r>
        <w:r w:rsidR="00D66981">
          <w:rPr>
            <w:noProof/>
            <w:webHidden/>
            <w:sz w:val="20"/>
            <w:szCs w:val="20"/>
          </w:rPr>
          <w:t>16</w:t>
        </w:r>
        <w:r w:rsidRPr="002A3A73">
          <w:rPr>
            <w:noProof/>
            <w:webHidden/>
            <w:sz w:val="20"/>
            <w:szCs w:val="20"/>
          </w:rPr>
          <w:fldChar w:fldCharType="end"/>
        </w:r>
      </w:hyperlink>
    </w:p>
    <w:p w14:paraId="4806E6A2" w14:textId="79BAC73A" w:rsidR="00BF5DC4" w:rsidRPr="002A3A73" w:rsidRDefault="00BF5DC4" w:rsidP="00BF5DC4">
      <w:pPr>
        <w:pStyle w:val="TOC3"/>
        <w:tabs>
          <w:tab w:val="right" w:leader="dot" w:pos="9350"/>
        </w:tabs>
        <w:spacing w:after="60" w:line="264" w:lineRule="auto"/>
        <w:ind w:left="475"/>
        <w:rPr>
          <w:rFonts w:eastAsiaTheme="minorEastAsia"/>
          <w:noProof/>
          <w:sz w:val="20"/>
          <w:szCs w:val="20"/>
        </w:rPr>
      </w:pPr>
      <w:hyperlink w:anchor="_Toc230299603" w:history="1">
        <w:r w:rsidRPr="002A3A73">
          <w:rPr>
            <w:rStyle w:val="Hyperlink"/>
            <w:b/>
            <w:bCs/>
            <w:noProof/>
            <w:sz w:val="20"/>
            <w:szCs w:val="20"/>
          </w:rPr>
          <w:t>M5</w:t>
        </w:r>
        <w:r w:rsidRPr="002A3A73">
          <w:rPr>
            <w:rStyle w:val="Hyperlink"/>
            <w:noProof/>
            <w:sz w:val="20"/>
            <w:szCs w:val="20"/>
          </w:rPr>
          <w:t xml:space="preserve"> Conditions for Valid β Inference</w:t>
        </w:r>
        <w:r w:rsidRPr="002A3A73">
          <w:rPr>
            <w:noProof/>
            <w:webHidden/>
            <w:sz w:val="20"/>
            <w:szCs w:val="20"/>
          </w:rPr>
          <w:tab/>
        </w:r>
        <w:r w:rsidRPr="002A3A73">
          <w:rPr>
            <w:noProof/>
            <w:webHidden/>
            <w:sz w:val="20"/>
            <w:szCs w:val="20"/>
          </w:rPr>
          <w:fldChar w:fldCharType="begin"/>
        </w:r>
        <w:r w:rsidRPr="002A3A73">
          <w:rPr>
            <w:noProof/>
            <w:webHidden/>
            <w:sz w:val="20"/>
            <w:szCs w:val="20"/>
          </w:rPr>
          <w:instrText xml:space="preserve"> PAGEREF _Toc230299603 \h </w:instrText>
        </w:r>
        <w:r w:rsidRPr="002A3A73">
          <w:rPr>
            <w:noProof/>
            <w:webHidden/>
            <w:sz w:val="20"/>
            <w:szCs w:val="20"/>
          </w:rPr>
        </w:r>
        <w:r w:rsidRPr="002A3A73">
          <w:rPr>
            <w:noProof/>
            <w:webHidden/>
            <w:sz w:val="20"/>
            <w:szCs w:val="20"/>
          </w:rPr>
          <w:fldChar w:fldCharType="separate"/>
        </w:r>
        <w:r w:rsidR="00D66981">
          <w:rPr>
            <w:noProof/>
            <w:webHidden/>
            <w:sz w:val="20"/>
            <w:szCs w:val="20"/>
          </w:rPr>
          <w:t>16</w:t>
        </w:r>
        <w:r w:rsidRPr="002A3A73">
          <w:rPr>
            <w:noProof/>
            <w:webHidden/>
            <w:sz w:val="20"/>
            <w:szCs w:val="20"/>
          </w:rPr>
          <w:fldChar w:fldCharType="end"/>
        </w:r>
      </w:hyperlink>
    </w:p>
    <w:p w14:paraId="4BCABEE0" w14:textId="3CE26679" w:rsidR="00BF5DC4" w:rsidRPr="002A3A73" w:rsidRDefault="00BF5DC4" w:rsidP="00BF5DC4">
      <w:pPr>
        <w:pStyle w:val="TOC3"/>
        <w:tabs>
          <w:tab w:val="right" w:leader="dot" w:pos="9350"/>
        </w:tabs>
        <w:spacing w:after="60" w:line="264" w:lineRule="auto"/>
        <w:ind w:left="475"/>
        <w:rPr>
          <w:rFonts w:eastAsiaTheme="minorEastAsia"/>
          <w:noProof/>
          <w:sz w:val="20"/>
          <w:szCs w:val="20"/>
        </w:rPr>
      </w:pPr>
      <w:hyperlink w:anchor="_Toc230299604" w:history="1">
        <w:r w:rsidRPr="002A3A73">
          <w:rPr>
            <w:rStyle w:val="Hyperlink"/>
            <w:b/>
            <w:bCs/>
            <w:noProof/>
            <w:sz w:val="20"/>
            <w:szCs w:val="20"/>
          </w:rPr>
          <w:t>M6</w:t>
        </w:r>
        <w:r w:rsidRPr="002A3A73">
          <w:rPr>
            <w:rStyle w:val="Hyperlink"/>
            <w:noProof/>
            <w:sz w:val="20"/>
            <w:szCs w:val="20"/>
          </w:rPr>
          <w:t xml:space="preserve"> Powering Joint (</w:t>
        </w:r>
        <w:r w:rsidR="00476EDB">
          <w:rPr>
            <w:rStyle w:val="Hyperlink"/>
            <w:rFonts w:ascii="Cambria Math" w:hAnsi="Cambria Math" w:cs="Cambria Math"/>
            <w:noProof/>
            <w:sz w:val="20"/>
            <w:szCs w:val="20"/>
          </w:rPr>
          <w:t>∣Δα∣</w:t>
        </w:r>
        <w:r w:rsidRPr="002A3A73">
          <w:rPr>
            <w:rStyle w:val="Hyperlink"/>
            <w:noProof/>
            <w:sz w:val="20"/>
            <w:szCs w:val="20"/>
          </w:rPr>
          <w:t>, β) Inference</w:t>
        </w:r>
        <w:r w:rsidRPr="002A3A73">
          <w:rPr>
            <w:noProof/>
            <w:webHidden/>
            <w:sz w:val="20"/>
            <w:szCs w:val="20"/>
          </w:rPr>
          <w:tab/>
        </w:r>
        <w:r w:rsidRPr="002A3A73">
          <w:rPr>
            <w:noProof/>
            <w:webHidden/>
            <w:sz w:val="20"/>
            <w:szCs w:val="20"/>
          </w:rPr>
          <w:fldChar w:fldCharType="begin"/>
        </w:r>
        <w:r w:rsidRPr="002A3A73">
          <w:rPr>
            <w:noProof/>
            <w:webHidden/>
            <w:sz w:val="20"/>
            <w:szCs w:val="20"/>
          </w:rPr>
          <w:instrText xml:space="preserve"> PAGEREF _Toc230299604 \h </w:instrText>
        </w:r>
        <w:r w:rsidRPr="002A3A73">
          <w:rPr>
            <w:noProof/>
            <w:webHidden/>
            <w:sz w:val="20"/>
            <w:szCs w:val="20"/>
          </w:rPr>
        </w:r>
        <w:r w:rsidRPr="002A3A73">
          <w:rPr>
            <w:noProof/>
            <w:webHidden/>
            <w:sz w:val="20"/>
            <w:szCs w:val="20"/>
          </w:rPr>
          <w:fldChar w:fldCharType="separate"/>
        </w:r>
        <w:r w:rsidR="00D66981">
          <w:rPr>
            <w:noProof/>
            <w:webHidden/>
            <w:sz w:val="20"/>
            <w:szCs w:val="20"/>
          </w:rPr>
          <w:t>17</w:t>
        </w:r>
        <w:r w:rsidRPr="002A3A73">
          <w:rPr>
            <w:noProof/>
            <w:webHidden/>
            <w:sz w:val="20"/>
            <w:szCs w:val="20"/>
          </w:rPr>
          <w:fldChar w:fldCharType="end"/>
        </w:r>
      </w:hyperlink>
    </w:p>
    <w:p w14:paraId="3C09720A" w14:textId="614DA811" w:rsidR="00BF5DC4" w:rsidRPr="003B60A6" w:rsidRDefault="00BF5DC4" w:rsidP="00BF5DC4">
      <w:pPr>
        <w:pStyle w:val="TOC1"/>
        <w:rPr>
          <w:rFonts w:eastAsiaTheme="minorEastAsia"/>
        </w:rPr>
      </w:pPr>
      <w:hyperlink w:anchor="_Toc230299605" w:history="1">
        <w:r w:rsidRPr="003B60A6">
          <w:rPr>
            <w:rStyle w:val="Hyperlink"/>
          </w:rPr>
          <w:t>S6 Design Archetypes and Wiring</w:t>
        </w:r>
        <w:r w:rsidRPr="003B60A6">
          <w:rPr>
            <w:webHidden/>
          </w:rPr>
          <w:tab/>
        </w:r>
        <w:r w:rsidRPr="003B60A6">
          <w:rPr>
            <w:webHidden/>
          </w:rPr>
          <w:fldChar w:fldCharType="begin"/>
        </w:r>
        <w:r w:rsidRPr="003B60A6">
          <w:rPr>
            <w:webHidden/>
          </w:rPr>
          <w:instrText xml:space="preserve"> PAGEREF _Toc230299605 \h </w:instrText>
        </w:r>
        <w:r w:rsidRPr="003B60A6">
          <w:rPr>
            <w:webHidden/>
          </w:rPr>
        </w:r>
        <w:r w:rsidRPr="003B60A6">
          <w:rPr>
            <w:webHidden/>
          </w:rPr>
          <w:fldChar w:fldCharType="separate"/>
        </w:r>
        <w:r w:rsidR="00D66981">
          <w:rPr>
            <w:webHidden/>
          </w:rPr>
          <w:t>18</w:t>
        </w:r>
        <w:r w:rsidRPr="003B60A6">
          <w:rPr>
            <w:webHidden/>
          </w:rPr>
          <w:fldChar w:fldCharType="end"/>
        </w:r>
      </w:hyperlink>
    </w:p>
    <w:p w14:paraId="5168BB3B" w14:textId="0E114C43" w:rsidR="00BF5DC4" w:rsidRDefault="00BF5DC4" w:rsidP="00BF5DC4">
      <w:pPr>
        <w:pStyle w:val="TOC1"/>
        <w:rPr>
          <w:rFonts w:eastAsiaTheme="minorEastAsia"/>
        </w:rPr>
      </w:pPr>
      <w:hyperlink w:anchor="_Toc230299612" w:history="1">
        <w:r w:rsidRPr="00ED5BE0">
          <w:rPr>
            <w:rStyle w:val="Hyperlink"/>
          </w:rPr>
          <w:t>S7 Regime Assignment Under Uncertainty</w:t>
        </w:r>
        <w:r>
          <w:rPr>
            <w:webHidden/>
          </w:rPr>
          <w:tab/>
        </w:r>
        <w:r>
          <w:rPr>
            <w:webHidden/>
          </w:rPr>
          <w:fldChar w:fldCharType="begin"/>
        </w:r>
        <w:r>
          <w:rPr>
            <w:webHidden/>
          </w:rPr>
          <w:instrText xml:space="preserve"> PAGEREF _Toc230299612 \h </w:instrText>
        </w:r>
        <w:r>
          <w:rPr>
            <w:webHidden/>
          </w:rPr>
        </w:r>
        <w:r>
          <w:rPr>
            <w:webHidden/>
          </w:rPr>
          <w:fldChar w:fldCharType="separate"/>
        </w:r>
        <w:r w:rsidR="00D66981">
          <w:rPr>
            <w:webHidden/>
          </w:rPr>
          <w:t>19</w:t>
        </w:r>
        <w:r>
          <w:rPr>
            <w:webHidden/>
          </w:rPr>
          <w:fldChar w:fldCharType="end"/>
        </w:r>
      </w:hyperlink>
    </w:p>
    <w:p w14:paraId="39E398DB" w14:textId="2B214996" w:rsidR="00BF5DC4" w:rsidRDefault="00BF5DC4" w:rsidP="00BF5DC4">
      <w:pPr>
        <w:pStyle w:val="TOC2"/>
        <w:tabs>
          <w:tab w:val="right" w:leader="dot" w:pos="9350"/>
        </w:tabs>
        <w:rPr>
          <w:rFonts w:eastAsiaTheme="minorEastAsia"/>
          <w:noProof/>
        </w:rPr>
      </w:pPr>
      <w:hyperlink w:anchor="_Toc230299613" w:history="1">
        <w:r w:rsidRPr="00ED5BE0">
          <w:rPr>
            <w:rStyle w:val="Hyperlink"/>
            <w:b/>
            <w:bCs/>
            <w:noProof/>
          </w:rPr>
          <w:t>S7.1</w:t>
        </w:r>
        <w:r w:rsidRPr="00ED5BE0">
          <w:rPr>
            <w:rStyle w:val="Hyperlink"/>
            <w:noProof/>
          </w:rPr>
          <w:t xml:space="preserve"> Principle: Regime Assignment Is Conservative Under Uncertainty</w:t>
        </w:r>
        <w:r>
          <w:rPr>
            <w:noProof/>
            <w:webHidden/>
          </w:rPr>
          <w:tab/>
        </w:r>
        <w:r>
          <w:rPr>
            <w:noProof/>
            <w:webHidden/>
          </w:rPr>
          <w:fldChar w:fldCharType="begin"/>
        </w:r>
        <w:r>
          <w:rPr>
            <w:noProof/>
            <w:webHidden/>
          </w:rPr>
          <w:instrText xml:space="preserve"> PAGEREF _Toc230299613 \h </w:instrText>
        </w:r>
        <w:r>
          <w:rPr>
            <w:noProof/>
            <w:webHidden/>
          </w:rPr>
        </w:r>
        <w:r>
          <w:rPr>
            <w:noProof/>
            <w:webHidden/>
          </w:rPr>
          <w:fldChar w:fldCharType="separate"/>
        </w:r>
        <w:r w:rsidR="00D66981">
          <w:rPr>
            <w:noProof/>
            <w:webHidden/>
          </w:rPr>
          <w:t>19</w:t>
        </w:r>
        <w:r>
          <w:rPr>
            <w:noProof/>
            <w:webHidden/>
          </w:rPr>
          <w:fldChar w:fldCharType="end"/>
        </w:r>
      </w:hyperlink>
    </w:p>
    <w:p w14:paraId="6B6BDBE7" w14:textId="399F9AF6" w:rsidR="00BF5DC4" w:rsidRDefault="00BF5DC4" w:rsidP="00BF5DC4">
      <w:pPr>
        <w:pStyle w:val="TOC2"/>
        <w:tabs>
          <w:tab w:val="right" w:leader="dot" w:pos="9350"/>
        </w:tabs>
        <w:rPr>
          <w:rFonts w:eastAsiaTheme="minorEastAsia"/>
          <w:noProof/>
        </w:rPr>
      </w:pPr>
      <w:hyperlink w:anchor="_Toc230299614" w:history="1">
        <w:r w:rsidRPr="00ED5BE0">
          <w:rPr>
            <w:rStyle w:val="Hyperlink"/>
            <w:b/>
            <w:bCs/>
            <w:noProof/>
          </w:rPr>
          <w:t>S7.2</w:t>
        </w:r>
        <w:r w:rsidRPr="00ED5BE0">
          <w:rPr>
            <w:rStyle w:val="Hyperlink"/>
            <w:noProof/>
          </w:rPr>
          <w:t xml:space="preserve"> Decision Logic for CI</w:t>
        </w:r>
        <w:r w:rsidR="00AB5CE1">
          <w:rPr>
            <w:rStyle w:val="Hyperlink"/>
            <w:noProof/>
          </w:rPr>
          <w:t>-</w:t>
        </w:r>
        <w:r w:rsidRPr="00ED5BE0">
          <w:rPr>
            <w:rStyle w:val="Hyperlink"/>
            <w:noProof/>
          </w:rPr>
          <w:t>Crossing Near MCID</w:t>
        </w:r>
        <w:r>
          <w:rPr>
            <w:noProof/>
            <w:webHidden/>
          </w:rPr>
          <w:tab/>
        </w:r>
        <w:r>
          <w:rPr>
            <w:noProof/>
            <w:webHidden/>
          </w:rPr>
          <w:fldChar w:fldCharType="begin"/>
        </w:r>
        <w:r>
          <w:rPr>
            <w:noProof/>
            <w:webHidden/>
          </w:rPr>
          <w:instrText xml:space="preserve"> PAGEREF _Toc230299614 \h </w:instrText>
        </w:r>
        <w:r>
          <w:rPr>
            <w:noProof/>
            <w:webHidden/>
          </w:rPr>
        </w:r>
        <w:r>
          <w:rPr>
            <w:noProof/>
            <w:webHidden/>
          </w:rPr>
          <w:fldChar w:fldCharType="separate"/>
        </w:r>
        <w:r w:rsidR="00D66981">
          <w:rPr>
            <w:noProof/>
            <w:webHidden/>
          </w:rPr>
          <w:t>20</w:t>
        </w:r>
        <w:r>
          <w:rPr>
            <w:noProof/>
            <w:webHidden/>
          </w:rPr>
          <w:fldChar w:fldCharType="end"/>
        </w:r>
      </w:hyperlink>
    </w:p>
    <w:p w14:paraId="23E01EA9" w14:textId="4AAEEB25" w:rsidR="00BF5DC4" w:rsidRPr="002A3A73" w:rsidRDefault="00BF5DC4" w:rsidP="00BF5DC4">
      <w:pPr>
        <w:pStyle w:val="TOC3"/>
        <w:tabs>
          <w:tab w:val="right" w:leader="dot" w:pos="9350"/>
        </w:tabs>
        <w:spacing w:after="60" w:line="264" w:lineRule="auto"/>
        <w:ind w:left="475"/>
        <w:rPr>
          <w:rFonts w:eastAsiaTheme="minorEastAsia"/>
          <w:noProof/>
          <w:sz w:val="20"/>
          <w:szCs w:val="20"/>
        </w:rPr>
      </w:pPr>
      <w:hyperlink w:anchor="_Toc230299615" w:history="1">
        <w:r w:rsidRPr="002A3A73">
          <w:rPr>
            <w:rStyle w:val="Hyperlink"/>
            <w:noProof/>
            <w:sz w:val="20"/>
            <w:szCs w:val="20"/>
          </w:rPr>
          <w:t>Step 1. Assess Identification</w:t>
        </w:r>
        <w:r w:rsidRPr="002A3A73">
          <w:rPr>
            <w:noProof/>
            <w:webHidden/>
            <w:sz w:val="20"/>
            <w:szCs w:val="20"/>
          </w:rPr>
          <w:tab/>
        </w:r>
        <w:r w:rsidRPr="002A3A73">
          <w:rPr>
            <w:noProof/>
            <w:webHidden/>
            <w:sz w:val="20"/>
            <w:szCs w:val="20"/>
          </w:rPr>
          <w:fldChar w:fldCharType="begin"/>
        </w:r>
        <w:r w:rsidRPr="002A3A73">
          <w:rPr>
            <w:noProof/>
            <w:webHidden/>
            <w:sz w:val="20"/>
            <w:szCs w:val="20"/>
          </w:rPr>
          <w:instrText xml:space="preserve"> PAGEREF _Toc230299615 \h </w:instrText>
        </w:r>
        <w:r w:rsidRPr="002A3A73">
          <w:rPr>
            <w:noProof/>
            <w:webHidden/>
            <w:sz w:val="20"/>
            <w:szCs w:val="20"/>
          </w:rPr>
        </w:r>
        <w:r w:rsidRPr="002A3A73">
          <w:rPr>
            <w:noProof/>
            <w:webHidden/>
            <w:sz w:val="20"/>
            <w:szCs w:val="20"/>
          </w:rPr>
          <w:fldChar w:fldCharType="separate"/>
        </w:r>
        <w:r w:rsidR="00D66981">
          <w:rPr>
            <w:noProof/>
            <w:webHidden/>
            <w:sz w:val="20"/>
            <w:szCs w:val="20"/>
          </w:rPr>
          <w:t>20</w:t>
        </w:r>
        <w:r w:rsidRPr="002A3A73">
          <w:rPr>
            <w:noProof/>
            <w:webHidden/>
            <w:sz w:val="20"/>
            <w:szCs w:val="20"/>
          </w:rPr>
          <w:fldChar w:fldCharType="end"/>
        </w:r>
      </w:hyperlink>
    </w:p>
    <w:p w14:paraId="6805090B" w14:textId="1367CC38" w:rsidR="00BF5DC4" w:rsidRPr="002A3A73" w:rsidRDefault="00BF5DC4" w:rsidP="00BF5DC4">
      <w:pPr>
        <w:pStyle w:val="TOC3"/>
        <w:tabs>
          <w:tab w:val="right" w:leader="dot" w:pos="9350"/>
        </w:tabs>
        <w:spacing w:after="60" w:line="264" w:lineRule="auto"/>
        <w:ind w:left="475"/>
        <w:rPr>
          <w:rFonts w:eastAsiaTheme="minorEastAsia"/>
          <w:noProof/>
          <w:sz w:val="20"/>
          <w:szCs w:val="20"/>
        </w:rPr>
      </w:pPr>
      <w:hyperlink w:anchor="_Toc230299616" w:history="1">
        <w:r w:rsidRPr="002A3A73">
          <w:rPr>
            <w:rStyle w:val="Hyperlink"/>
            <w:noProof/>
            <w:sz w:val="20"/>
            <w:szCs w:val="20"/>
          </w:rPr>
          <w:t>Step 2. Compare Estimates and CIs to MCID</w:t>
        </w:r>
        <w:r w:rsidRPr="002A3A73">
          <w:rPr>
            <w:noProof/>
            <w:webHidden/>
            <w:sz w:val="20"/>
            <w:szCs w:val="20"/>
          </w:rPr>
          <w:tab/>
        </w:r>
        <w:r w:rsidRPr="002A3A73">
          <w:rPr>
            <w:noProof/>
            <w:webHidden/>
            <w:sz w:val="20"/>
            <w:szCs w:val="20"/>
          </w:rPr>
          <w:fldChar w:fldCharType="begin"/>
        </w:r>
        <w:r w:rsidRPr="002A3A73">
          <w:rPr>
            <w:noProof/>
            <w:webHidden/>
            <w:sz w:val="20"/>
            <w:szCs w:val="20"/>
          </w:rPr>
          <w:instrText xml:space="preserve"> PAGEREF _Toc230299616 \h </w:instrText>
        </w:r>
        <w:r w:rsidRPr="002A3A73">
          <w:rPr>
            <w:noProof/>
            <w:webHidden/>
            <w:sz w:val="20"/>
            <w:szCs w:val="20"/>
          </w:rPr>
        </w:r>
        <w:r w:rsidRPr="002A3A73">
          <w:rPr>
            <w:noProof/>
            <w:webHidden/>
            <w:sz w:val="20"/>
            <w:szCs w:val="20"/>
          </w:rPr>
          <w:fldChar w:fldCharType="separate"/>
        </w:r>
        <w:r w:rsidR="00D66981">
          <w:rPr>
            <w:noProof/>
            <w:webHidden/>
            <w:sz w:val="20"/>
            <w:szCs w:val="20"/>
          </w:rPr>
          <w:t>20</w:t>
        </w:r>
        <w:r w:rsidRPr="002A3A73">
          <w:rPr>
            <w:noProof/>
            <w:webHidden/>
            <w:sz w:val="20"/>
            <w:szCs w:val="20"/>
          </w:rPr>
          <w:fldChar w:fldCharType="end"/>
        </w:r>
      </w:hyperlink>
    </w:p>
    <w:p w14:paraId="2438C80F" w14:textId="4ADEBCDC" w:rsidR="00BF5DC4" w:rsidRPr="002A3A73" w:rsidRDefault="00BF5DC4" w:rsidP="00BF5DC4">
      <w:pPr>
        <w:pStyle w:val="TOC3"/>
        <w:tabs>
          <w:tab w:val="right" w:leader="dot" w:pos="9350"/>
        </w:tabs>
        <w:spacing w:after="60" w:line="264" w:lineRule="auto"/>
        <w:ind w:left="475"/>
        <w:rPr>
          <w:rFonts w:eastAsiaTheme="minorEastAsia"/>
          <w:noProof/>
          <w:sz w:val="20"/>
          <w:szCs w:val="20"/>
        </w:rPr>
      </w:pPr>
      <w:hyperlink w:anchor="_Toc230299617" w:history="1">
        <w:r w:rsidRPr="002A3A73">
          <w:rPr>
            <w:rStyle w:val="Hyperlink"/>
            <w:noProof/>
            <w:sz w:val="20"/>
            <w:szCs w:val="20"/>
          </w:rPr>
          <w:t>Step 3. Evaluate β Under Uncertainty</w:t>
        </w:r>
        <w:r w:rsidRPr="002A3A73">
          <w:rPr>
            <w:noProof/>
            <w:webHidden/>
            <w:sz w:val="20"/>
            <w:szCs w:val="20"/>
          </w:rPr>
          <w:tab/>
        </w:r>
        <w:r w:rsidRPr="002A3A73">
          <w:rPr>
            <w:noProof/>
            <w:webHidden/>
            <w:sz w:val="20"/>
            <w:szCs w:val="20"/>
          </w:rPr>
          <w:fldChar w:fldCharType="begin"/>
        </w:r>
        <w:r w:rsidRPr="002A3A73">
          <w:rPr>
            <w:noProof/>
            <w:webHidden/>
            <w:sz w:val="20"/>
            <w:szCs w:val="20"/>
          </w:rPr>
          <w:instrText xml:space="preserve"> PAGEREF _Toc230299617 \h </w:instrText>
        </w:r>
        <w:r w:rsidRPr="002A3A73">
          <w:rPr>
            <w:noProof/>
            <w:webHidden/>
            <w:sz w:val="20"/>
            <w:szCs w:val="20"/>
          </w:rPr>
        </w:r>
        <w:r w:rsidRPr="002A3A73">
          <w:rPr>
            <w:noProof/>
            <w:webHidden/>
            <w:sz w:val="20"/>
            <w:szCs w:val="20"/>
          </w:rPr>
          <w:fldChar w:fldCharType="separate"/>
        </w:r>
        <w:r w:rsidR="00D66981">
          <w:rPr>
            <w:noProof/>
            <w:webHidden/>
            <w:sz w:val="20"/>
            <w:szCs w:val="20"/>
          </w:rPr>
          <w:t>21</w:t>
        </w:r>
        <w:r w:rsidRPr="002A3A73">
          <w:rPr>
            <w:noProof/>
            <w:webHidden/>
            <w:sz w:val="20"/>
            <w:szCs w:val="20"/>
          </w:rPr>
          <w:fldChar w:fldCharType="end"/>
        </w:r>
      </w:hyperlink>
    </w:p>
    <w:p w14:paraId="315FB1DB" w14:textId="0708CA67" w:rsidR="00BF5DC4" w:rsidRDefault="00BF5DC4" w:rsidP="00BF5DC4">
      <w:pPr>
        <w:pStyle w:val="TOC2"/>
        <w:tabs>
          <w:tab w:val="right" w:leader="dot" w:pos="9350"/>
        </w:tabs>
        <w:rPr>
          <w:rFonts w:eastAsiaTheme="minorEastAsia"/>
          <w:noProof/>
        </w:rPr>
      </w:pPr>
      <w:hyperlink w:anchor="_Toc230299618" w:history="1">
        <w:r w:rsidRPr="00ED5BE0">
          <w:rPr>
            <w:rStyle w:val="Hyperlink"/>
            <w:b/>
            <w:bCs/>
            <w:noProof/>
          </w:rPr>
          <w:t>S7.4</w:t>
        </w:r>
        <w:r w:rsidRPr="00ED5BE0">
          <w:rPr>
            <w:rStyle w:val="Hyperlink"/>
            <w:noProof/>
          </w:rPr>
          <w:t xml:space="preserve"> Illustrative Examples</w:t>
        </w:r>
        <w:r>
          <w:rPr>
            <w:noProof/>
            <w:webHidden/>
          </w:rPr>
          <w:tab/>
        </w:r>
        <w:r>
          <w:rPr>
            <w:noProof/>
            <w:webHidden/>
          </w:rPr>
          <w:fldChar w:fldCharType="begin"/>
        </w:r>
        <w:r>
          <w:rPr>
            <w:noProof/>
            <w:webHidden/>
          </w:rPr>
          <w:instrText xml:space="preserve"> PAGEREF _Toc230299618 \h </w:instrText>
        </w:r>
        <w:r>
          <w:rPr>
            <w:noProof/>
            <w:webHidden/>
          </w:rPr>
        </w:r>
        <w:r>
          <w:rPr>
            <w:noProof/>
            <w:webHidden/>
          </w:rPr>
          <w:fldChar w:fldCharType="separate"/>
        </w:r>
        <w:r w:rsidR="00D66981">
          <w:rPr>
            <w:noProof/>
            <w:webHidden/>
          </w:rPr>
          <w:t>23</w:t>
        </w:r>
        <w:r>
          <w:rPr>
            <w:noProof/>
            <w:webHidden/>
          </w:rPr>
          <w:fldChar w:fldCharType="end"/>
        </w:r>
      </w:hyperlink>
    </w:p>
    <w:p w14:paraId="3F36E032" w14:textId="50979286" w:rsidR="00BF5DC4" w:rsidRPr="002A3A73" w:rsidRDefault="00BF5DC4" w:rsidP="00BF5DC4">
      <w:pPr>
        <w:pStyle w:val="TOC3"/>
        <w:tabs>
          <w:tab w:val="right" w:leader="dot" w:pos="9350"/>
        </w:tabs>
        <w:spacing w:after="60" w:line="264" w:lineRule="auto"/>
        <w:ind w:left="475"/>
        <w:rPr>
          <w:rFonts w:eastAsiaTheme="minorEastAsia"/>
          <w:noProof/>
          <w:sz w:val="20"/>
          <w:szCs w:val="20"/>
        </w:rPr>
      </w:pPr>
      <w:hyperlink w:anchor="_Toc230299619" w:history="1">
        <w:r w:rsidRPr="002A3A73">
          <w:rPr>
            <w:rStyle w:val="Hyperlink"/>
            <w:noProof/>
            <w:sz w:val="20"/>
            <w:szCs w:val="20"/>
          </w:rPr>
          <w:t xml:space="preserve">Example 1: </w:t>
        </w:r>
        <w:r w:rsidR="00476EDB">
          <w:rPr>
            <w:rStyle w:val="Hyperlink"/>
            <w:rFonts w:ascii="Cambria Math" w:hAnsi="Cambria Math" w:cs="Cambria Math"/>
            <w:noProof/>
            <w:sz w:val="20"/>
            <w:szCs w:val="20"/>
          </w:rPr>
          <w:t>∣Δα∣</w:t>
        </w:r>
        <w:r w:rsidRPr="002A3A73">
          <w:rPr>
            <w:rStyle w:val="Hyperlink"/>
            <w:noProof/>
            <w:sz w:val="20"/>
            <w:szCs w:val="20"/>
          </w:rPr>
          <w:t xml:space="preserve"> Uncertain Near MCID</w:t>
        </w:r>
        <w:r w:rsidRPr="002A3A73">
          <w:rPr>
            <w:noProof/>
            <w:webHidden/>
            <w:sz w:val="20"/>
            <w:szCs w:val="20"/>
          </w:rPr>
          <w:tab/>
        </w:r>
        <w:r w:rsidRPr="002A3A73">
          <w:rPr>
            <w:noProof/>
            <w:webHidden/>
            <w:sz w:val="20"/>
            <w:szCs w:val="20"/>
          </w:rPr>
          <w:fldChar w:fldCharType="begin"/>
        </w:r>
        <w:r w:rsidRPr="002A3A73">
          <w:rPr>
            <w:noProof/>
            <w:webHidden/>
            <w:sz w:val="20"/>
            <w:szCs w:val="20"/>
          </w:rPr>
          <w:instrText xml:space="preserve"> PAGEREF _Toc230299619 \h </w:instrText>
        </w:r>
        <w:r w:rsidRPr="002A3A73">
          <w:rPr>
            <w:noProof/>
            <w:webHidden/>
            <w:sz w:val="20"/>
            <w:szCs w:val="20"/>
          </w:rPr>
        </w:r>
        <w:r w:rsidRPr="002A3A73">
          <w:rPr>
            <w:noProof/>
            <w:webHidden/>
            <w:sz w:val="20"/>
            <w:szCs w:val="20"/>
          </w:rPr>
          <w:fldChar w:fldCharType="separate"/>
        </w:r>
        <w:r w:rsidR="00D66981">
          <w:rPr>
            <w:noProof/>
            <w:webHidden/>
            <w:sz w:val="20"/>
            <w:szCs w:val="20"/>
          </w:rPr>
          <w:t>23</w:t>
        </w:r>
        <w:r w:rsidRPr="002A3A73">
          <w:rPr>
            <w:noProof/>
            <w:webHidden/>
            <w:sz w:val="20"/>
            <w:szCs w:val="20"/>
          </w:rPr>
          <w:fldChar w:fldCharType="end"/>
        </w:r>
      </w:hyperlink>
    </w:p>
    <w:p w14:paraId="3743BC80" w14:textId="5A22EC77" w:rsidR="00BF5DC4" w:rsidRPr="002A3A73" w:rsidRDefault="00BF5DC4" w:rsidP="00BF5DC4">
      <w:pPr>
        <w:pStyle w:val="TOC3"/>
        <w:tabs>
          <w:tab w:val="right" w:leader="dot" w:pos="9350"/>
        </w:tabs>
        <w:spacing w:after="60" w:line="264" w:lineRule="auto"/>
        <w:ind w:left="475"/>
        <w:rPr>
          <w:rFonts w:eastAsiaTheme="minorEastAsia"/>
          <w:noProof/>
          <w:sz w:val="20"/>
          <w:szCs w:val="20"/>
        </w:rPr>
      </w:pPr>
      <w:hyperlink w:anchor="_Toc230299620" w:history="1">
        <w:r w:rsidRPr="002A3A73">
          <w:rPr>
            <w:rStyle w:val="Hyperlink"/>
            <w:noProof/>
            <w:sz w:val="20"/>
            <w:szCs w:val="20"/>
          </w:rPr>
          <w:t>Example 2: Apparent Equipoise With Imprecise β</w:t>
        </w:r>
        <w:r w:rsidRPr="002A3A73">
          <w:rPr>
            <w:noProof/>
            <w:webHidden/>
            <w:sz w:val="20"/>
            <w:szCs w:val="20"/>
          </w:rPr>
          <w:tab/>
        </w:r>
        <w:r w:rsidRPr="002A3A73">
          <w:rPr>
            <w:noProof/>
            <w:webHidden/>
            <w:sz w:val="20"/>
            <w:szCs w:val="20"/>
          </w:rPr>
          <w:fldChar w:fldCharType="begin"/>
        </w:r>
        <w:r w:rsidRPr="002A3A73">
          <w:rPr>
            <w:noProof/>
            <w:webHidden/>
            <w:sz w:val="20"/>
            <w:szCs w:val="20"/>
          </w:rPr>
          <w:instrText xml:space="preserve"> PAGEREF _Toc230299620 \h </w:instrText>
        </w:r>
        <w:r w:rsidRPr="002A3A73">
          <w:rPr>
            <w:noProof/>
            <w:webHidden/>
            <w:sz w:val="20"/>
            <w:szCs w:val="20"/>
          </w:rPr>
        </w:r>
        <w:r w:rsidRPr="002A3A73">
          <w:rPr>
            <w:noProof/>
            <w:webHidden/>
            <w:sz w:val="20"/>
            <w:szCs w:val="20"/>
          </w:rPr>
          <w:fldChar w:fldCharType="separate"/>
        </w:r>
        <w:r w:rsidR="00D66981">
          <w:rPr>
            <w:noProof/>
            <w:webHidden/>
            <w:sz w:val="20"/>
            <w:szCs w:val="20"/>
          </w:rPr>
          <w:t>23</w:t>
        </w:r>
        <w:r w:rsidRPr="002A3A73">
          <w:rPr>
            <w:noProof/>
            <w:webHidden/>
            <w:sz w:val="20"/>
            <w:szCs w:val="20"/>
          </w:rPr>
          <w:fldChar w:fldCharType="end"/>
        </w:r>
      </w:hyperlink>
    </w:p>
    <w:p w14:paraId="3CA34847" w14:textId="31780B82" w:rsidR="00BF5DC4" w:rsidRPr="002A3A73" w:rsidRDefault="00BF5DC4" w:rsidP="00BF5DC4">
      <w:pPr>
        <w:pStyle w:val="TOC3"/>
        <w:tabs>
          <w:tab w:val="right" w:leader="dot" w:pos="9350"/>
        </w:tabs>
        <w:spacing w:after="60" w:line="264" w:lineRule="auto"/>
        <w:ind w:left="475"/>
        <w:rPr>
          <w:rFonts w:eastAsiaTheme="minorEastAsia"/>
          <w:noProof/>
          <w:sz w:val="20"/>
          <w:szCs w:val="20"/>
        </w:rPr>
      </w:pPr>
      <w:hyperlink w:anchor="_Toc230299621" w:history="1">
        <w:r w:rsidRPr="002A3A73">
          <w:rPr>
            <w:rStyle w:val="Hyperlink"/>
            <w:noProof/>
            <w:sz w:val="20"/>
            <w:szCs w:val="20"/>
          </w:rPr>
          <w:t>Example 3: Clear β</w:t>
        </w:r>
        <w:r w:rsidR="00AB5CE1">
          <w:rPr>
            <w:rStyle w:val="Hyperlink"/>
            <w:noProof/>
            <w:sz w:val="20"/>
            <w:szCs w:val="20"/>
          </w:rPr>
          <w:t>-</w:t>
        </w:r>
        <w:r w:rsidRPr="002A3A73">
          <w:rPr>
            <w:rStyle w:val="Hyperlink"/>
            <w:noProof/>
            <w:sz w:val="20"/>
            <w:szCs w:val="20"/>
          </w:rPr>
          <w:t>Dominance</w:t>
        </w:r>
        <w:r w:rsidRPr="002A3A73">
          <w:rPr>
            <w:noProof/>
            <w:webHidden/>
            <w:sz w:val="20"/>
            <w:szCs w:val="20"/>
          </w:rPr>
          <w:tab/>
        </w:r>
        <w:r w:rsidRPr="002A3A73">
          <w:rPr>
            <w:noProof/>
            <w:webHidden/>
            <w:sz w:val="20"/>
            <w:szCs w:val="20"/>
          </w:rPr>
          <w:fldChar w:fldCharType="begin"/>
        </w:r>
        <w:r w:rsidRPr="002A3A73">
          <w:rPr>
            <w:noProof/>
            <w:webHidden/>
            <w:sz w:val="20"/>
            <w:szCs w:val="20"/>
          </w:rPr>
          <w:instrText xml:space="preserve"> PAGEREF _Toc230299621 \h </w:instrText>
        </w:r>
        <w:r w:rsidRPr="002A3A73">
          <w:rPr>
            <w:noProof/>
            <w:webHidden/>
            <w:sz w:val="20"/>
            <w:szCs w:val="20"/>
          </w:rPr>
        </w:r>
        <w:r w:rsidRPr="002A3A73">
          <w:rPr>
            <w:noProof/>
            <w:webHidden/>
            <w:sz w:val="20"/>
            <w:szCs w:val="20"/>
          </w:rPr>
          <w:fldChar w:fldCharType="separate"/>
        </w:r>
        <w:r w:rsidR="00D66981">
          <w:rPr>
            <w:noProof/>
            <w:webHidden/>
            <w:sz w:val="20"/>
            <w:szCs w:val="20"/>
          </w:rPr>
          <w:t>23</w:t>
        </w:r>
        <w:r w:rsidRPr="002A3A73">
          <w:rPr>
            <w:noProof/>
            <w:webHidden/>
            <w:sz w:val="20"/>
            <w:szCs w:val="20"/>
          </w:rPr>
          <w:fldChar w:fldCharType="end"/>
        </w:r>
      </w:hyperlink>
    </w:p>
    <w:p w14:paraId="5F189419" w14:textId="4DD09C81" w:rsidR="00BF5DC4" w:rsidRDefault="00BF5DC4" w:rsidP="00BF5DC4">
      <w:pPr>
        <w:pStyle w:val="TOC2"/>
        <w:tabs>
          <w:tab w:val="right" w:leader="dot" w:pos="9350"/>
        </w:tabs>
        <w:rPr>
          <w:rFonts w:eastAsiaTheme="minorEastAsia"/>
          <w:noProof/>
        </w:rPr>
      </w:pPr>
      <w:hyperlink w:anchor="_Toc230299622" w:history="1">
        <w:r w:rsidRPr="00ED5BE0">
          <w:rPr>
            <w:rStyle w:val="Hyperlink"/>
            <w:b/>
            <w:bCs/>
            <w:noProof/>
          </w:rPr>
          <w:t>S7.5</w:t>
        </w:r>
        <w:r w:rsidRPr="00ED5BE0">
          <w:rPr>
            <w:rStyle w:val="Hyperlink"/>
            <w:noProof/>
          </w:rPr>
          <w:t xml:space="preserve"> How Uncertainty Propagates to Action</w:t>
        </w:r>
        <w:r>
          <w:rPr>
            <w:noProof/>
            <w:webHidden/>
          </w:rPr>
          <w:tab/>
        </w:r>
        <w:r>
          <w:rPr>
            <w:noProof/>
            <w:webHidden/>
          </w:rPr>
          <w:fldChar w:fldCharType="begin"/>
        </w:r>
        <w:r>
          <w:rPr>
            <w:noProof/>
            <w:webHidden/>
          </w:rPr>
          <w:instrText xml:space="preserve"> PAGEREF _Toc230299622 \h </w:instrText>
        </w:r>
        <w:r>
          <w:rPr>
            <w:noProof/>
            <w:webHidden/>
          </w:rPr>
        </w:r>
        <w:r>
          <w:rPr>
            <w:noProof/>
            <w:webHidden/>
          </w:rPr>
          <w:fldChar w:fldCharType="separate"/>
        </w:r>
        <w:r w:rsidR="00D66981">
          <w:rPr>
            <w:noProof/>
            <w:webHidden/>
          </w:rPr>
          <w:t>24</w:t>
        </w:r>
        <w:r>
          <w:rPr>
            <w:noProof/>
            <w:webHidden/>
          </w:rPr>
          <w:fldChar w:fldCharType="end"/>
        </w:r>
      </w:hyperlink>
    </w:p>
    <w:p w14:paraId="4CF667C9" w14:textId="75570A67" w:rsidR="00BF5DC4" w:rsidRDefault="00BF5DC4" w:rsidP="00BF5DC4">
      <w:pPr>
        <w:pStyle w:val="TOC1"/>
        <w:rPr>
          <w:rFonts w:eastAsiaTheme="minorEastAsia"/>
        </w:rPr>
      </w:pPr>
      <w:hyperlink w:anchor="_Toc230299623" w:history="1">
        <w:r w:rsidRPr="00ED5BE0">
          <w:rPr>
            <w:rStyle w:val="Hyperlink"/>
          </w:rPr>
          <w:t>S8 Evolution of β Across Trial Generations</w:t>
        </w:r>
        <w:r>
          <w:rPr>
            <w:webHidden/>
          </w:rPr>
          <w:tab/>
        </w:r>
        <w:r>
          <w:rPr>
            <w:webHidden/>
          </w:rPr>
          <w:fldChar w:fldCharType="begin"/>
        </w:r>
        <w:r>
          <w:rPr>
            <w:webHidden/>
          </w:rPr>
          <w:instrText xml:space="preserve"> PAGEREF _Toc230299623 \h </w:instrText>
        </w:r>
        <w:r>
          <w:rPr>
            <w:webHidden/>
          </w:rPr>
        </w:r>
        <w:r>
          <w:rPr>
            <w:webHidden/>
          </w:rPr>
          <w:fldChar w:fldCharType="separate"/>
        </w:r>
        <w:r w:rsidR="00D66981">
          <w:rPr>
            <w:webHidden/>
          </w:rPr>
          <w:t>25</w:t>
        </w:r>
        <w:r>
          <w:rPr>
            <w:webHidden/>
          </w:rPr>
          <w:fldChar w:fldCharType="end"/>
        </w:r>
      </w:hyperlink>
    </w:p>
    <w:p w14:paraId="23F868A8" w14:textId="773A6CAC" w:rsidR="00BF5DC4" w:rsidRDefault="00BF5DC4" w:rsidP="00BF5DC4">
      <w:pPr>
        <w:pStyle w:val="TOC1"/>
        <w:rPr>
          <w:rFonts w:eastAsiaTheme="minorEastAsia"/>
        </w:rPr>
      </w:pPr>
      <w:hyperlink w:anchor="_Toc230299624" w:history="1">
        <w:r w:rsidRPr="00ED5BE0">
          <w:rPr>
            <w:rStyle w:val="Hyperlink"/>
          </w:rPr>
          <w:t>S9 SPORT as a Transitional β</w:t>
        </w:r>
        <w:r w:rsidRPr="00ED5BE0">
          <w:rPr>
            <w:rStyle w:val="Hyperlink"/>
            <w:rFonts w:ascii="Cambria Math" w:hAnsi="Cambria Math" w:cs="Cambria Math"/>
          </w:rPr>
          <w:t>‑</w:t>
        </w:r>
        <w:r w:rsidRPr="00ED5BE0">
          <w:rPr>
            <w:rStyle w:val="Hyperlink"/>
          </w:rPr>
          <w:t>Quantifying Trial</w:t>
        </w:r>
        <w:r>
          <w:rPr>
            <w:webHidden/>
          </w:rPr>
          <w:tab/>
        </w:r>
        <w:r>
          <w:rPr>
            <w:webHidden/>
          </w:rPr>
          <w:fldChar w:fldCharType="begin"/>
        </w:r>
        <w:r>
          <w:rPr>
            <w:webHidden/>
          </w:rPr>
          <w:instrText xml:space="preserve"> PAGEREF _Toc230299624 \h </w:instrText>
        </w:r>
        <w:r>
          <w:rPr>
            <w:webHidden/>
          </w:rPr>
        </w:r>
        <w:r>
          <w:rPr>
            <w:webHidden/>
          </w:rPr>
          <w:fldChar w:fldCharType="separate"/>
        </w:r>
        <w:r w:rsidR="00D66981">
          <w:rPr>
            <w:webHidden/>
          </w:rPr>
          <w:t>28</w:t>
        </w:r>
        <w:r>
          <w:rPr>
            <w:webHidden/>
          </w:rPr>
          <w:fldChar w:fldCharType="end"/>
        </w:r>
      </w:hyperlink>
    </w:p>
    <w:p w14:paraId="0BD3B852" w14:textId="6AC7B7FC" w:rsidR="00BF5DC4" w:rsidRDefault="00BF5DC4" w:rsidP="00BF5DC4">
      <w:pPr>
        <w:pStyle w:val="TOC1"/>
        <w:rPr>
          <w:rFonts w:eastAsiaTheme="minorEastAsia"/>
        </w:rPr>
      </w:pPr>
      <w:hyperlink w:anchor="_Toc230299625" w:history="1">
        <w:r w:rsidRPr="00ED5BE0">
          <w:rPr>
            <w:rStyle w:val="Hyperlink"/>
          </w:rPr>
          <w:t>S10 Structural Features of β</w:t>
        </w:r>
        <w:r w:rsidR="00AB5CE1">
          <w:rPr>
            <w:rStyle w:val="Hyperlink"/>
          </w:rPr>
          <w:t>-</w:t>
        </w:r>
        <w:r w:rsidRPr="00ED5BE0">
          <w:rPr>
            <w:rStyle w:val="Hyperlink"/>
          </w:rPr>
          <w:t>Identification</w:t>
        </w:r>
        <w:r w:rsidR="00AB5CE1">
          <w:rPr>
            <w:rStyle w:val="Hyperlink"/>
          </w:rPr>
          <w:t>-</w:t>
        </w:r>
        <w:r w:rsidRPr="00ED5BE0">
          <w:rPr>
            <w:rStyle w:val="Hyperlink"/>
          </w:rPr>
          <w:t>Ready Clinical Settings</w:t>
        </w:r>
        <w:r>
          <w:rPr>
            <w:webHidden/>
          </w:rPr>
          <w:tab/>
        </w:r>
        <w:r>
          <w:rPr>
            <w:webHidden/>
          </w:rPr>
          <w:fldChar w:fldCharType="begin"/>
        </w:r>
        <w:r>
          <w:rPr>
            <w:webHidden/>
          </w:rPr>
          <w:instrText xml:space="preserve"> PAGEREF _Toc230299625 \h </w:instrText>
        </w:r>
        <w:r>
          <w:rPr>
            <w:webHidden/>
          </w:rPr>
        </w:r>
        <w:r>
          <w:rPr>
            <w:webHidden/>
          </w:rPr>
          <w:fldChar w:fldCharType="separate"/>
        </w:r>
        <w:r w:rsidR="00D66981">
          <w:rPr>
            <w:webHidden/>
          </w:rPr>
          <w:t>29</w:t>
        </w:r>
        <w:r>
          <w:rPr>
            <w:webHidden/>
          </w:rPr>
          <w:fldChar w:fldCharType="end"/>
        </w:r>
      </w:hyperlink>
    </w:p>
    <w:p w14:paraId="5452D99C" w14:textId="1B519B61" w:rsidR="00BF5DC4" w:rsidRDefault="00BF5DC4" w:rsidP="00BF5DC4">
      <w:pPr>
        <w:pStyle w:val="TOC1"/>
        <w:rPr>
          <w:rFonts w:eastAsiaTheme="minorEastAsia"/>
        </w:rPr>
      </w:pPr>
      <w:hyperlink w:anchor="_Toc230299626" w:history="1">
        <w:r w:rsidRPr="00ED5BE0">
          <w:rPr>
            <w:rStyle w:val="Hyperlink"/>
          </w:rPr>
          <w:t>S11 Candidate Indications for β</w:t>
        </w:r>
        <w:r w:rsidR="00AB5CE1">
          <w:rPr>
            <w:rStyle w:val="Hyperlink"/>
          </w:rPr>
          <w:t>-</w:t>
        </w:r>
        <w:r w:rsidRPr="00ED5BE0">
          <w:rPr>
            <w:rStyle w:val="Hyperlink"/>
          </w:rPr>
          <w:t>Identifying Trials</w:t>
        </w:r>
        <w:r>
          <w:rPr>
            <w:webHidden/>
          </w:rPr>
          <w:tab/>
        </w:r>
        <w:r>
          <w:rPr>
            <w:webHidden/>
          </w:rPr>
          <w:fldChar w:fldCharType="begin"/>
        </w:r>
        <w:r>
          <w:rPr>
            <w:webHidden/>
          </w:rPr>
          <w:instrText xml:space="preserve"> PAGEREF _Toc230299626 \h </w:instrText>
        </w:r>
        <w:r>
          <w:rPr>
            <w:webHidden/>
          </w:rPr>
        </w:r>
        <w:r>
          <w:rPr>
            <w:webHidden/>
          </w:rPr>
          <w:fldChar w:fldCharType="separate"/>
        </w:r>
        <w:r w:rsidR="00D66981">
          <w:rPr>
            <w:webHidden/>
          </w:rPr>
          <w:t>30</w:t>
        </w:r>
        <w:r>
          <w:rPr>
            <w:webHidden/>
          </w:rPr>
          <w:fldChar w:fldCharType="end"/>
        </w:r>
      </w:hyperlink>
    </w:p>
    <w:p w14:paraId="09731BE1" w14:textId="76D7C012" w:rsidR="00BF5DC4" w:rsidRPr="00D65076" w:rsidRDefault="00BF5DC4" w:rsidP="00BF5DC4">
      <w:pPr>
        <w:pStyle w:val="TOC1"/>
      </w:pPr>
      <w:hyperlink w:anchor="_Toc230299627" w:history="1">
        <w:r w:rsidRPr="00ED5BE0">
          <w:rPr>
            <w:rStyle w:val="Hyperlink"/>
          </w:rPr>
          <w:t>S12 References for the Supplement</w:t>
        </w:r>
        <w:r>
          <w:rPr>
            <w:webHidden/>
          </w:rPr>
          <w:tab/>
        </w:r>
        <w:r>
          <w:rPr>
            <w:webHidden/>
          </w:rPr>
          <w:fldChar w:fldCharType="begin"/>
        </w:r>
        <w:r>
          <w:rPr>
            <w:webHidden/>
          </w:rPr>
          <w:instrText xml:space="preserve"> PAGEREF _Toc230299627 \h </w:instrText>
        </w:r>
        <w:r>
          <w:rPr>
            <w:webHidden/>
          </w:rPr>
        </w:r>
        <w:r>
          <w:rPr>
            <w:webHidden/>
          </w:rPr>
          <w:fldChar w:fldCharType="separate"/>
        </w:r>
        <w:r w:rsidR="00D66981">
          <w:rPr>
            <w:webHidden/>
          </w:rPr>
          <w:t>35</w:t>
        </w:r>
        <w:r>
          <w:rPr>
            <w:webHidden/>
          </w:rPr>
          <w:fldChar w:fldCharType="end"/>
        </w:r>
      </w:hyperlink>
      <w:r>
        <w:fldChar w:fldCharType="end"/>
      </w:r>
    </w:p>
    <w:p w14:paraId="200130ED" w14:textId="77777777" w:rsidR="00BF5DC4" w:rsidRDefault="00BF5DC4" w:rsidP="00BF5DC4">
      <w:pPr>
        <w:pStyle w:val="Heading1"/>
        <w:jc w:val="left"/>
        <w:rPr>
          <w:sz w:val="36"/>
          <w:szCs w:val="36"/>
        </w:rPr>
      </w:pPr>
      <w:bookmarkStart w:id="0" w:name="_Toc230299589"/>
      <w:r>
        <w:rPr>
          <w:b/>
          <w:bCs/>
        </w:rPr>
        <w:lastRenderedPageBreak/>
        <w:t xml:space="preserve">S1 </w:t>
      </w:r>
      <w:r w:rsidRPr="00D65076">
        <w:rPr>
          <w:sz w:val="36"/>
          <w:szCs w:val="36"/>
        </w:rPr>
        <w:t>Axioms and Validity Constraints</w:t>
      </w:r>
      <w:bookmarkEnd w:id="0"/>
    </w:p>
    <w:p w14:paraId="68BEB1B0" w14:textId="208D57D9" w:rsidR="00BF5DC4" w:rsidRDefault="00BF5DC4" w:rsidP="00BF5DC4">
      <w:r w:rsidRPr="0076634C">
        <w:t>This framework separates causal structure from the conditions needed to identify it. In preference</w:t>
      </w:r>
      <w:r w:rsidR="00AB5CE1">
        <w:rPr>
          <w:rFonts w:ascii="Cambria Math" w:hAnsi="Cambria Math" w:cs="Cambria Math"/>
        </w:rPr>
        <w:t>-</w:t>
      </w:r>
      <w:r w:rsidRPr="0076634C">
        <w:t>sensitive care, limits of design or identification are often mistaken for absence of effect. We therefore introduce a small set of axioms describing invariant features of outcomes when patient choice acts causally.</w:t>
      </w:r>
    </w:p>
    <w:p w14:paraId="76B3929D" w14:textId="032A08E7" w:rsidR="00BF5DC4" w:rsidRDefault="00BF5DC4" w:rsidP="00BF5DC4">
      <w:r>
        <w:t>These axioms are not empirical hypotheses to be tested or modeling assumptions to be adjusted. Rather, they clarify how physical outcomes are jointly shaped by biological effects (α), preference</w:t>
      </w:r>
      <w:r w:rsidR="00AB5CE1">
        <w:rPr>
          <w:rFonts w:ascii="Cambria Math" w:hAnsi="Cambria Math" w:cs="Cambria Math"/>
        </w:rPr>
        <w:t>-</w:t>
      </w:r>
      <w:r>
        <w:t>mediated effects (</w:t>
      </w:r>
      <w:r>
        <w:rPr>
          <w:rFonts w:ascii="Aptos" w:hAnsi="Aptos" w:cs="Aptos"/>
        </w:rPr>
        <w:t>β</w:t>
      </w:r>
      <w:r>
        <w:t xml:space="preserve">), and clinical materiality, and how patterns such as divergence, attenuation, and crossover should be understood. </w:t>
      </w:r>
      <w:r w:rsidRPr="00716903">
        <w:t>This perspective is consistent with causal frameworks in which effects are defined within latent subgroups determined by treatment uptake or choice (principal stratification),</w:t>
      </w:r>
      <w:r w:rsidRPr="00716903">
        <w:rPr>
          <w:vertAlign w:val="superscript"/>
        </w:rPr>
        <w:t>S1</w:t>
      </w:r>
      <w:r w:rsidRPr="00716903">
        <w:t xml:space="preserve"> reinforcing the distinction between biological efficacy and selection</w:t>
      </w:r>
      <w:r w:rsidR="00AB5CE1">
        <w:t>-</w:t>
      </w:r>
      <w:r w:rsidRPr="00716903">
        <w:t>driven outcomes.</w:t>
      </w:r>
      <w:r>
        <w:t xml:space="preserve"> </w:t>
      </w:r>
    </w:p>
    <w:p w14:paraId="620C7D88" w14:textId="77777777" w:rsidR="00BF5DC4" w:rsidRDefault="00BF5DC4" w:rsidP="00BF5DC4">
      <w:r>
        <w:t>For this reason, the axioms come before questions of estimation or power: they specify the causal structure that methods must either make identifiable or leave unresolved.</w:t>
      </w:r>
    </w:p>
    <w:p w14:paraId="1438A4D9" w14:textId="4C9C41C9" w:rsidR="00BF5DC4" w:rsidRDefault="00E243CC" w:rsidP="00BF5DC4">
      <w:r w:rsidRPr="00E243CC">
        <w:t>Some axioms are standard. A2 (Estimand–Data Concordance) and A3 (MCID Discipline) restate established requirements of causal identification and clinically grounded interpretation, ensuring effects are interpretable on a clinically meaningful scale. A5 (Identifiability Before Optimization) is also standard in form, but extends once β is treated as an estimand alongside α, requiring both be causally identified prior to estimation, design, or decision</w:t>
      </w:r>
      <w:r w:rsidR="00AB5CE1">
        <w:t>-</w:t>
      </w:r>
      <w:r w:rsidRPr="00E243CC">
        <w:t>making. In contrast, A1 (Dual Causation) generalizes the structural model of outcomes by admitting β explicitly rather than treating deviations from biological contrast as residual variation, and A4 (Regime Rule) introduces a classification absent from classical randomized inference, which operates implicitly within the α</w:t>
      </w:r>
      <w:r w:rsidR="00AB5CE1">
        <w:t>-</w:t>
      </w:r>
      <w:r w:rsidRPr="00E243CC">
        <w:t>dominant case. A6 (Non</w:t>
      </w:r>
      <w:r w:rsidR="00AB5CE1">
        <w:t>-</w:t>
      </w:r>
      <w:r w:rsidRPr="00E243CC">
        <w:t>Interference of Elicitation) arises from the distinct status of β: unlike α, which is observer</w:t>
      </w:r>
      <w:r w:rsidR="00AB5CE1">
        <w:t>-</w:t>
      </w:r>
      <w:r w:rsidRPr="00E243CC">
        <w:t xml:space="preserve">independent and defined </w:t>
      </w:r>
      <w:r w:rsidRPr="00E243CC">
        <w:rPr>
          <w:i/>
          <w:iCs/>
        </w:rPr>
        <w:t>ex ante</w:t>
      </w:r>
      <w:r w:rsidRPr="00E243CC">
        <w:t>, β depends on observed choice at decision time and therefore requires that preference measurement not function as an intervention.</w:t>
      </w:r>
    </w:p>
    <w:p w14:paraId="5C18D586" w14:textId="5D2EC01E" w:rsidR="00BF5DC4" w:rsidRDefault="00E243CC" w:rsidP="00BF5DC4">
      <w:r w:rsidRPr="00E243CC">
        <w:t>The novelty lies in their coordination. Once β enters as an outcome</w:t>
      </w:r>
      <w:r w:rsidR="00AB5CE1">
        <w:t>-</w:t>
      </w:r>
      <w:r w:rsidRPr="00E243CC">
        <w:t>scale estimand, identifiability, interpretation, and design are jointly constrained by biological contrast and enacted choice; if elicitation alters uptake, or if β is not defined on the outcome scale, this structure no longer holds.</w:t>
      </w:r>
    </w:p>
    <w:p w14:paraId="3FC45477" w14:textId="77777777" w:rsidR="00BF5DC4" w:rsidRPr="003942E7" w:rsidRDefault="00BF5DC4" w:rsidP="00BF5DC4">
      <w:r>
        <w:t>Table</w:t>
      </w:r>
      <w:r>
        <w:rPr>
          <w:rFonts w:ascii="Arial" w:hAnsi="Arial" w:cs="Arial"/>
        </w:rPr>
        <w:t> </w:t>
      </w:r>
      <w:r>
        <w:t>S1a summarizes the axioms. Together, they establish when preference is causally relevant, anchor interpretation to clinical materiality rather than statistical significance, and require that interpretation follow the joint structure of biological contrast and preference effect.  Based on the Axioms (</w:t>
      </w:r>
      <w:r w:rsidRPr="0039205C">
        <w:rPr>
          <w:b/>
          <w:bCs/>
        </w:rPr>
        <w:t>A</w:t>
      </w:r>
      <w:r>
        <w:t>), Rules (</w:t>
      </w:r>
      <w:r w:rsidRPr="0039205C">
        <w:rPr>
          <w:b/>
          <w:bCs/>
        </w:rPr>
        <w:t>R</w:t>
      </w:r>
      <w:r>
        <w:t>) and Methods (</w:t>
      </w:r>
      <w:r w:rsidRPr="0039205C">
        <w:rPr>
          <w:b/>
          <w:bCs/>
        </w:rPr>
        <w:t>M</w:t>
      </w:r>
      <w:r>
        <w:t>) will follow as outlined in the main text and detailed in successive Supplement sections.</w:t>
      </w:r>
    </w:p>
    <w:p w14:paraId="69E92A73" w14:textId="72A16951" w:rsidR="00BF5DC4" w:rsidRPr="00D363CA" w:rsidRDefault="00BF5DC4" w:rsidP="00BF5DC4">
      <w:pPr>
        <w:pStyle w:val="FigureTitle"/>
        <w:rPr>
          <w:sz w:val="48"/>
          <w:szCs w:val="48"/>
        </w:rPr>
      </w:pPr>
      <w:r w:rsidRPr="00D363CA">
        <w:rPr>
          <w:rStyle w:val="Strong"/>
          <w:rFonts w:cs="Segoe UI"/>
        </w:rPr>
        <w:lastRenderedPageBreak/>
        <w:t xml:space="preserve">Table </w:t>
      </w:r>
      <w:r>
        <w:rPr>
          <w:rStyle w:val="Strong"/>
          <w:rFonts w:cs="Segoe UI"/>
        </w:rPr>
        <w:t>S1a</w:t>
      </w:r>
      <w:r>
        <w:rPr>
          <w:rStyle w:val="Strong"/>
          <w:rFonts w:cs="Segoe UI"/>
          <w:b w:val="0"/>
          <w:bCs w:val="0"/>
        </w:rPr>
        <w:t>.</w:t>
      </w:r>
      <w:r w:rsidRPr="00D363CA">
        <w:rPr>
          <w:rStyle w:val="Strong"/>
          <w:rFonts w:cs="Segoe UI"/>
          <w:b w:val="0"/>
          <w:bCs w:val="0"/>
        </w:rPr>
        <w:t xml:space="preserve"> Axioms of β</w:t>
      </w:r>
      <w:r w:rsidR="00AB5CE1">
        <w:rPr>
          <w:rStyle w:val="Strong"/>
          <w:rFonts w:cs="Segoe UI"/>
          <w:b w:val="0"/>
          <w:bCs w:val="0"/>
        </w:rPr>
        <w:t>-</w:t>
      </w:r>
      <w:r w:rsidRPr="00D363CA">
        <w:rPr>
          <w:rStyle w:val="Strong"/>
          <w:rFonts w:cs="Segoe UI"/>
          <w:b w:val="0"/>
          <w:bCs w:val="0"/>
        </w:rPr>
        <w:t>identifying Clinical Inference</w:t>
      </w:r>
    </w:p>
    <w:tbl>
      <w:tblPr>
        <w:tblW w:w="9164" w:type="dxa"/>
        <w:jc w:val="center"/>
        <w:tblLayout w:type="fixed"/>
        <w:tblCellMar>
          <w:top w:w="144" w:type="dxa"/>
          <w:left w:w="144" w:type="dxa"/>
          <w:bottom w:w="144" w:type="dxa"/>
          <w:right w:w="144" w:type="dxa"/>
        </w:tblCellMar>
        <w:tblLook w:val="04A0" w:firstRow="1" w:lastRow="0" w:firstColumn="1" w:lastColumn="0" w:noHBand="0" w:noVBand="1"/>
      </w:tblPr>
      <w:tblGrid>
        <w:gridCol w:w="585"/>
        <w:gridCol w:w="1672"/>
        <w:gridCol w:w="2783"/>
        <w:gridCol w:w="2250"/>
        <w:gridCol w:w="1874"/>
      </w:tblGrid>
      <w:tr w:rsidR="00BF5DC4" w:rsidRPr="003942E7" w14:paraId="6E0D666D" w14:textId="77777777" w:rsidTr="00430B63">
        <w:trPr>
          <w:tblHeader/>
          <w:jc w:val="center"/>
        </w:trPr>
        <w:tc>
          <w:tcPr>
            <w:tcW w:w="2257" w:type="dxa"/>
            <w:gridSpan w:val="2"/>
            <w:tcBorders>
              <w:top w:val="single" w:sz="6" w:space="0" w:color="BFBFBF" w:themeColor="background1" w:themeShade="BF"/>
              <w:left w:val="single" w:sz="6" w:space="0" w:color="BFBFBF" w:themeColor="background1" w:themeShade="BF"/>
              <w:bottom w:val="single" w:sz="36" w:space="0" w:color="A6A6A6" w:themeColor="background1" w:themeShade="A6"/>
              <w:right w:val="single" w:sz="6" w:space="0" w:color="BFBFBF" w:themeColor="background1" w:themeShade="BF"/>
            </w:tcBorders>
            <w:shd w:val="clear" w:color="auto" w:fill="000000" w:themeFill="text1"/>
            <w:vAlign w:val="bottom"/>
          </w:tcPr>
          <w:p w14:paraId="310E7A16" w14:textId="77777777" w:rsidR="00BF5DC4" w:rsidRPr="008B7518" w:rsidRDefault="00BF5DC4" w:rsidP="00430B63">
            <w:pPr>
              <w:pStyle w:val="TableHeader"/>
              <w:spacing w:before="20" w:after="20"/>
              <w:rPr>
                <w:rFonts w:cs="Times New Roman"/>
                <w:color w:val="FFFFFF" w:themeColor="background1"/>
                <w:sz w:val="32"/>
                <w:szCs w:val="32"/>
              </w:rPr>
            </w:pPr>
            <w:r w:rsidRPr="008B7518">
              <w:rPr>
                <w:rStyle w:val="Strong"/>
                <w:color w:val="FFFFFF" w:themeColor="background1"/>
                <w:sz w:val="32"/>
                <w:szCs w:val="32"/>
              </w:rPr>
              <w:t>Axiom</w:t>
            </w:r>
          </w:p>
        </w:tc>
        <w:tc>
          <w:tcPr>
            <w:tcW w:w="2783" w:type="dxa"/>
            <w:tcBorders>
              <w:top w:val="single" w:sz="6" w:space="0" w:color="BFBFBF" w:themeColor="background1" w:themeShade="BF"/>
              <w:left w:val="single" w:sz="6" w:space="0" w:color="BFBFBF" w:themeColor="background1" w:themeShade="BF"/>
              <w:bottom w:val="single" w:sz="36" w:space="0" w:color="A6A6A6" w:themeColor="background1" w:themeShade="A6"/>
              <w:right w:val="single" w:sz="6" w:space="0" w:color="E6E6E6"/>
            </w:tcBorders>
            <w:shd w:val="clear" w:color="auto" w:fill="F5F5F5"/>
            <w:vAlign w:val="bottom"/>
            <w:hideMark/>
          </w:tcPr>
          <w:p w14:paraId="136E5E95" w14:textId="77777777" w:rsidR="00BF5DC4" w:rsidRPr="00C44093" w:rsidRDefault="00BF5DC4" w:rsidP="00430B63">
            <w:pPr>
              <w:pStyle w:val="TableHeader"/>
              <w:spacing w:before="20" w:after="20"/>
            </w:pPr>
            <w:r w:rsidRPr="00C44093">
              <w:rPr>
                <w:rStyle w:val="Strong"/>
                <w:sz w:val="24"/>
                <w:szCs w:val="24"/>
              </w:rPr>
              <w:t>Statement</w:t>
            </w:r>
            <w:r>
              <w:rPr>
                <w:rStyle w:val="Strong"/>
                <w:sz w:val="24"/>
                <w:szCs w:val="24"/>
              </w:rPr>
              <w:br/>
            </w:r>
            <w:r w:rsidRPr="00C9611D">
              <w:rPr>
                <w:rStyle w:val="Strong"/>
                <w:b w:val="0"/>
                <w:bCs w:val="0"/>
                <w:sz w:val="24"/>
                <w:szCs w:val="24"/>
              </w:rPr>
              <w:t>(Invariant Claim)</w:t>
            </w:r>
          </w:p>
        </w:tc>
        <w:tc>
          <w:tcPr>
            <w:tcW w:w="2250" w:type="dxa"/>
            <w:tcBorders>
              <w:top w:val="single" w:sz="6" w:space="0" w:color="BFBFBF" w:themeColor="background1" w:themeShade="BF"/>
              <w:left w:val="single" w:sz="6" w:space="0" w:color="E6E6E6"/>
              <w:bottom w:val="single" w:sz="36" w:space="0" w:color="A6A6A6" w:themeColor="background1" w:themeShade="A6"/>
              <w:right w:val="single" w:sz="6" w:space="0" w:color="E6E6E6"/>
            </w:tcBorders>
            <w:shd w:val="clear" w:color="auto" w:fill="F5F5F5"/>
            <w:vAlign w:val="bottom"/>
            <w:hideMark/>
          </w:tcPr>
          <w:p w14:paraId="0C2F43A3" w14:textId="36EA58E5" w:rsidR="00BF5DC4" w:rsidRPr="00C44093" w:rsidRDefault="00BF5DC4" w:rsidP="00430B63">
            <w:pPr>
              <w:pStyle w:val="TableHeader"/>
              <w:spacing w:before="20" w:after="20"/>
            </w:pPr>
            <w:r w:rsidRPr="00230053">
              <w:rPr>
                <w:rStyle w:val="Strong"/>
                <w:b w:val="0"/>
                <w:bCs w:val="0"/>
                <w:sz w:val="24"/>
                <w:szCs w:val="24"/>
              </w:rPr>
              <w:t xml:space="preserve">What This </w:t>
            </w:r>
            <w:r w:rsidRPr="00230053">
              <w:rPr>
                <w:rStyle w:val="Strong"/>
                <w:b w:val="0"/>
                <w:bCs w:val="0"/>
                <w:sz w:val="24"/>
                <w:szCs w:val="24"/>
              </w:rPr>
              <w:br/>
            </w:r>
            <w:r w:rsidR="005F469E">
              <w:rPr>
                <w:rStyle w:val="Strong"/>
                <w:sz w:val="24"/>
                <w:szCs w:val="24"/>
              </w:rPr>
              <w:t>Permits</w:t>
            </w:r>
          </w:p>
        </w:tc>
        <w:tc>
          <w:tcPr>
            <w:tcW w:w="1874" w:type="dxa"/>
            <w:tcBorders>
              <w:top w:val="single" w:sz="6" w:space="0" w:color="BFBFBF" w:themeColor="background1" w:themeShade="BF"/>
              <w:left w:val="single" w:sz="6" w:space="0" w:color="E6E6E6"/>
              <w:bottom w:val="single" w:sz="36" w:space="0" w:color="A6A6A6" w:themeColor="background1" w:themeShade="A6"/>
              <w:right w:val="single" w:sz="6" w:space="0" w:color="BFBFBF" w:themeColor="background1" w:themeShade="BF"/>
            </w:tcBorders>
            <w:shd w:val="clear" w:color="auto" w:fill="F5F5F5"/>
            <w:vAlign w:val="bottom"/>
            <w:hideMark/>
          </w:tcPr>
          <w:p w14:paraId="0C427EF6" w14:textId="7D04980E" w:rsidR="00BF5DC4" w:rsidRPr="00C44093" w:rsidRDefault="00BF5DC4" w:rsidP="00430B63">
            <w:pPr>
              <w:pStyle w:val="TableHeader"/>
              <w:spacing w:before="20" w:after="20"/>
            </w:pPr>
            <w:r w:rsidRPr="00230053">
              <w:rPr>
                <w:rStyle w:val="Strong"/>
                <w:b w:val="0"/>
                <w:bCs w:val="0"/>
                <w:sz w:val="24"/>
                <w:szCs w:val="24"/>
              </w:rPr>
              <w:t xml:space="preserve">What This </w:t>
            </w:r>
            <w:r w:rsidRPr="00230053">
              <w:rPr>
                <w:rStyle w:val="Strong"/>
                <w:b w:val="0"/>
                <w:bCs w:val="0"/>
                <w:sz w:val="24"/>
                <w:szCs w:val="24"/>
              </w:rPr>
              <w:br/>
            </w:r>
            <w:r w:rsidR="005F469E">
              <w:rPr>
                <w:rStyle w:val="Strong"/>
                <w:sz w:val="24"/>
                <w:szCs w:val="24"/>
              </w:rPr>
              <w:t>Invalidates</w:t>
            </w:r>
          </w:p>
        </w:tc>
      </w:tr>
      <w:tr w:rsidR="00BF5DC4" w:rsidRPr="003942E7" w14:paraId="0E05D235" w14:textId="77777777" w:rsidTr="00430B63">
        <w:trPr>
          <w:trHeight w:val="876"/>
          <w:jc w:val="center"/>
        </w:trPr>
        <w:tc>
          <w:tcPr>
            <w:tcW w:w="585" w:type="dxa"/>
            <w:tcBorders>
              <w:top w:val="single" w:sz="36" w:space="0" w:color="A6A6A6" w:themeColor="background1" w:themeShade="A6"/>
              <w:left w:val="single" w:sz="6" w:space="0" w:color="BFBFBF" w:themeColor="background1" w:themeShade="BF"/>
              <w:bottom w:val="single" w:sz="6" w:space="0" w:color="D9D9D9" w:themeColor="background1" w:themeShade="D9"/>
            </w:tcBorders>
            <w:shd w:val="clear" w:color="auto" w:fill="000000" w:themeFill="text1"/>
            <w:vAlign w:val="center"/>
          </w:tcPr>
          <w:p w14:paraId="131F533E" w14:textId="77777777" w:rsidR="00BF5DC4" w:rsidRPr="00D629B8" w:rsidRDefault="00BF5DC4" w:rsidP="00430B63">
            <w:pPr>
              <w:pStyle w:val="TableHeader"/>
              <w:spacing w:before="20" w:after="20"/>
              <w:rPr>
                <w:rStyle w:val="Strong"/>
                <w:color w:val="FFFFFF" w:themeColor="background1"/>
              </w:rPr>
            </w:pPr>
            <w:r w:rsidRPr="00D629B8">
              <w:rPr>
                <w:rStyle w:val="Strong"/>
                <w:color w:val="FFFFFF" w:themeColor="background1"/>
              </w:rPr>
              <w:t>A1</w:t>
            </w:r>
          </w:p>
        </w:tc>
        <w:tc>
          <w:tcPr>
            <w:tcW w:w="1672" w:type="dxa"/>
            <w:tcBorders>
              <w:top w:val="single" w:sz="36" w:space="0" w:color="A6A6A6" w:themeColor="background1" w:themeShade="A6"/>
              <w:left w:val="single" w:sz="6" w:space="0" w:color="E6E6E6"/>
              <w:bottom w:val="single" w:sz="6" w:space="0" w:color="D9D9D9" w:themeColor="background1" w:themeShade="D9"/>
              <w:right w:val="single" w:sz="6" w:space="0" w:color="BFBFBF" w:themeColor="background1" w:themeShade="BF"/>
            </w:tcBorders>
            <w:shd w:val="clear" w:color="auto" w:fill="F2F2F2" w:themeFill="background1" w:themeFillShade="F2"/>
            <w:vAlign w:val="center"/>
            <w:hideMark/>
          </w:tcPr>
          <w:p w14:paraId="33C93DE0" w14:textId="77777777" w:rsidR="00BF5DC4" w:rsidRPr="006A67B2" w:rsidRDefault="00BF5DC4" w:rsidP="00430B63">
            <w:pPr>
              <w:pStyle w:val="TableHeader"/>
              <w:spacing w:before="20" w:after="20"/>
            </w:pPr>
            <w:r w:rsidRPr="00C44093">
              <w:rPr>
                <w:rStyle w:val="Strong"/>
                <w:sz w:val="24"/>
                <w:szCs w:val="24"/>
              </w:rPr>
              <w:t>Dual Causation</w:t>
            </w:r>
            <w:r w:rsidRPr="00C44093">
              <w:rPr>
                <w:rStyle w:val="Strong"/>
              </w:rPr>
              <w:br/>
            </w:r>
            <w:r w:rsidRPr="00C44093">
              <w:rPr>
                <w:rStyle w:val="Strong"/>
                <w:sz w:val="24"/>
                <w:szCs w:val="24"/>
              </w:rPr>
              <w:t>(</w:t>
            </w:r>
            <w:r w:rsidRPr="005F5837">
              <w:rPr>
                <w:rStyle w:val="Strong"/>
                <w:b w:val="0"/>
                <w:sz w:val="24"/>
                <w:szCs w:val="24"/>
              </w:rPr>
              <w:t>α</w:t>
            </w:r>
            <w:r w:rsidRPr="00C44093">
              <w:rPr>
                <w:rStyle w:val="Strong"/>
                <w:sz w:val="24"/>
                <w:szCs w:val="24"/>
              </w:rPr>
              <w:t xml:space="preserve"> + </w:t>
            </w:r>
            <w:r w:rsidRPr="005F5837">
              <w:rPr>
                <w:rStyle w:val="Strong"/>
                <w:b w:val="0"/>
                <w:sz w:val="24"/>
                <w:szCs w:val="24"/>
              </w:rPr>
              <w:t>β</w:t>
            </w:r>
            <w:r w:rsidRPr="00C44093">
              <w:rPr>
                <w:rStyle w:val="Strong"/>
                <w:sz w:val="24"/>
                <w:szCs w:val="24"/>
              </w:rPr>
              <w:t>)</w:t>
            </w:r>
          </w:p>
        </w:tc>
        <w:tc>
          <w:tcPr>
            <w:tcW w:w="2783" w:type="dxa"/>
            <w:tcBorders>
              <w:top w:val="single" w:sz="36" w:space="0" w:color="A6A6A6" w:themeColor="background1" w:themeShade="A6"/>
              <w:left w:val="single" w:sz="6" w:space="0" w:color="BFBFBF" w:themeColor="background1" w:themeShade="BF"/>
              <w:bottom w:val="single" w:sz="6" w:space="0" w:color="D9D9D9" w:themeColor="background1" w:themeShade="D9"/>
              <w:right w:val="single" w:sz="6" w:space="0" w:color="E6E6E6"/>
            </w:tcBorders>
            <w:vAlign w:val="center"/>
            <w:hideMark/>
          </w:tcPr>
          <w:p w14:paraId="4A5797BC" w14:textId="5F551339" w:rsidR="00BF5DC4" w:rsidRPr="002D1714" w:rsidRDefault="00BF5DC4" w:rsidP="00430B63">
            <w:pPr>
              <w:keepNext/>
              <w:keepLines/>
              <w:spacing w:before="20" w:after="20" w:line="240" w:lineRule="auto"/>
              <w:ind w:left="144" w:right="144"/>
              <w:jc w:val="center"/>
              <w:rPr>
                <w:rFonts w:ascii="Aptos Narrow" w:hAnsi="Aptos Narrow"/>
                <w:sz w:val="18"/>
                <w:szCs w:val="18"/>
              </w:rPr>
            </w:pPr>
            <w:r w:rsidRPr="002D1714">
              <w:rPr>
                <w:sz w:val="18"/>
                <w:szCs w:val="18"/>
              </w:rPr>
              <w:t>Physical outcomes in preference</w:t>
            </w:r>
            <w:r w:rsidR="00AB5CE1">
              <w:rPr>
                <w:sz w:val="18"/>
                <w:szCs w:val="18"/>
              </w:rPr>
              <w:t>-</w:t>
            </w:r>
            <w:r w:rsidRPr="002D1714">
              <w:rPr>
                <w:sz w:val="18"/>
                <w:szCs w:val="18"/>
              </w:rPr>
              <w:t>sensitive care are jointly caused by biological treatment effects (α) and preference</w:t>
            </w:r>
            <w:r w:rsidR="00AB5CE1">
              <w:rPr>
                <w:sz w:val="18"/>
                <w:szCs w:val="18"/>
              </w:rPr>
              <w:t>-</w:t>
            </w:r>
            <w:r w:rsidRPr="002D1714">
              <w:rPr>
                <w:sz w:val="18"/>
                <w:szCs w:val="18"/>
              </w:rPr>
              <w:t>mediated choice effects (β).</w:t>
            </w:r>
          </w:p>
        </w:tc>
        <w:tc>
          <w:tcPr>
            <w:tcW w:w="2250" w:type="dxa"/>
            <w:tcBorders>
              <w:top w:val="single" w:sz="36" w:space="0" w:color="A6A6A6" w:themeColor="background1" w:themeShade="A6"/>
              <w:left w:val="single" w:sz="6" w:space="0" w:color="E6E6E6"/>
              <w:bottom w:val="single" w:sz="6" w:space="0" w:color="D9D9D9" w:themeColor="background1" w:themeShade="D9"/>
              <w:right w:val="single" w:sz="6" w:space="0" w:color="E6E6E6"/>
            </w:tcBorders>
            <w:vAlign w:val="center"/>
            <w:hideMark/>
          </w:tcPr>
          <w:p w14:paraId="1D64ED94" w14:textId="77777777" w:rsidR="00BF5DC4" w:rsidRPr="002D1714" w:rsidRDefault="00BF5DC4" w:rsidP="00430B63">
            <w:pPr>
              <w:keepNext/>
              <w:keepLines/>
              <w:spacing w:before="20" w:after="20" w:line="240" w:lineRule="auto"/>
              <w:ind w:left="144" w:right="144"/>
              <w:jc w:val="center"/>
              <w:rPr>
                <w:rFonts w:ascii="Aptos Narrow" w:hAnsi="Aptos Narrow"/>
                <w:sz w:val="18"/>
                <w:szCs w:val="18"/>
              </w:rPr>
            </w:pPr>
            <w:r w:rsidRPr="007A722B">
              <w:rPr>
                <w:sz w:val="18"/>
                <w:szCs w:val="18"/>
              </w:rPr>
              <w:t>Preference can causally affect physical outcomes.</w:t>
            </w:r>
          </w:p>
        </w:tc>
        <w:tc>
          <w:tcPr>
            <w:tcW w:w="1874" w:type="dxa"/>
            <w:tcBorders>
              <w:top w:val="single" w:sz="36" w:space="0" w:color="A6A6A6" w:themeColor="background1" w:themeShade="A6"/>
              <w:left w:val="single" w:sz="6" w:space="0" w:color="E6E6E6"/>
              <w:bottom w:val="single" w:sz="6" w:space="0" w:color="D9D9D9" w:themeColor="background1" w:themeShade="D9"/>
              <w:right w:val="single" w:sz="6" w:space="0" w:color="BFBFBF" w:themeColor="background1" w:themeShade="BF"/>
            </w:tcBorders>
            <w:vAlign w:val="center"/>
            <w:hideMark/>
          </w:tcPr>
          <w:p w14:paraId="43FAF7EB" w14:textId="77777777" w:rsidR="00BF5DC4" w:rsidRPr="002D1714" w:rsidRDefault="00BF5DC4" w:rsidP="00430B63">
            <w:pPr>
              <w:keepNext/>
              <w:keepLines/>
              <w:spacing w:before="20" w:after="20" w:line="240" w:lineRule="auto"/>
              <w:ind w:left="144" w:right="144"/>
              <w:jc w:val="center"/>
              <w:rPr>
                <w:rFonts w:ascii="Aptos Narrow" w:hAnsi="Aptos Narrow"/>
                <w:sz w:val="18"/>
                <w:szCs w:val="18"/>
              </w:rPr>
            </w:pPr>
            <w:r w:rsidRPr="002D1714">
              <w:rPr>
                <w:sz w:val="18"/>
                <w:szCs w:val="18"/>
              </w:rPr>
              <w:t>Treating preference or crossover as analytic noise.</w:t>
            </w:r>
          </w:p>
        </w:tc>
      </w:tr>
      <w:tr w:rsidR="00BF5DC4" w:rsidRPr="003942E7" w14:paraId="5892F404" w14:textId="77777777" w:rsidTr="00430B63">
        <w:trPr>
          <w:trHeight w:val="966"/>
          <w:jc w:val="center"/>
        </w:trPr>
        <w:tc>
          <w:tcPr>
            <w:tcW w:w="585" w:type="dxa"/>
            <w:tcBorders>
              <w:top w:val="single" w:sz="6" w:space="0" w:color="D9D9D9" w:themeColor="background1" w:themeShade="D9"/>
              <w:left w:val="single" w:sz="6" w:space="0" w:color="BFBFBF" w:themeColor="background1" w:themeShade="BF"/>
              <w:bottom w:val="single" w:sz="6" w:space="0" w:color="D9D9D9" w:themeColor="background1" w:themeShade="D9"/>
            </w:tcBorders>
            <w:shd w:val="clear" w:color="auto" w:fill="000000" w:themeFill="text1"/>
            <w:vAlign w:val="center"/>
          </w:tcPr>
          <w:p w14:paraId="105DFAF2" w14:textId="77777777" w:rsidR="00BF5DC4" w:rsidRPr="00D629B8" w:rsidRDefault="00BF5DC4" w:rsidP="00430B63">
            <w:pPr>
              <w:pStyle w:val="TableHeader"/>
              <w:spacing w:before="20" w:after="20"/>
              <w:rPr>
                <w:rStyle w:val="Strong"/>
                <w:color w:val="FFFFFF" w:themeColor="background1"/>
              </w:rPr>
            </w:pPr>
            <w:r w:rsidRPr="00D629B8">
              <w:rPr>
                <w:rStyle w:val="Strong"/>
                <w:color w:val="FFFFFF" w:themeColor="background1"/>
              </w:rPr>
              <w:t>A2</w:t>
            </w:r>
          </w:p>
        </w:tc>
        <w:tc>
          <w:tcPr>
            <w:tcW w:w="1672" w:type="dxa"/>
            <w:tcBorders>
              <w:top w:val="single" w:sz="6" w:space="0" w:color="D9D9D9" w:themeColor="background1" w:themeShade="D9"/>
              <w:left w:val="single" w:sz="6" w:space="0" w:color="E6E6E6"/>
              <w:bottom w:val="single" w:sz="6" w:space="0" w:color="D9D9D9" w:themeColor="background1" w:themeShade="D9"/>
              <w:right w:val="single" w:sz="6" w:space="0" w:color="BFBFBF" w:themeColor="background1" w:themeShade="BF"/>
            </w:tcBorders>
            <w:shd w:val="clear" w:color="auto" w:fill="F2F2F2" w:themeFill="background1" w:themeFillShade="F2"/>
            <w:vAlign w:val="center"/>
            <w:hideMark/>
          </w:tcPr>
          <w:p w14:paraId="0070D888" w14:textId="76A5D39A" w:rsidR="00BF5DC4" w:rsidRPr="00C44093" w:rsidRDefault="00BF5DC4" w:rsidP="00430B63">
            <w:pPr>
              <w:pStyle w:val="TableHeader"/>
              <w:spacing w:before="20" w:after="20"/>
            </w:pPr>
            <w:r w:rsidRPr="00C44093">
              <w:rPr>
                <w:rStyle w:val="Strong"/>
                <w:sz w:val="24"/>
                <w:szCs w:val="24"/>
              </w:rPr>
              <w:t>Estimand</w:t>
            </w:r>
            <w:r w:rsidR="00AB5CE1">
              <w:rPr>
                <w:rStyle w:val="Strong"/>
                <w:sz w:val="24"/>
                <w:szCs w:val="24"/>
              </w:rPr>
              <w:t>-</w:t>
            </w:r>
            <w:r w:rsidRPr="00C44093">
              <w:rPr>
                <w:rStyle w:val="Strong"/>
                <w:sz w:val="24"/>
                <w:szCs w:val="24"/>
              </w:rPr>
              <w:t>Data Concordance</w:t>
            </w:r>
          </w:p>
        </w:tc>
        <w:tc>
          <w:tcPr>
            <w:tcW w:w="2783" w:type="dxa"/>
            <w:tcBorders>
              <w:top w:val="single" w:sz="6" w:space="0" w:color="D9D9D9" w:themeColor="background1" w:themeShade="D9"/>
              <w:left w:val="single" w:sz="6" w:space="0" w:color="BFBFBF" w:themeColor="background1" w:themeShade="BF"/>
              <w:bottom w:val="single" w:sz="6" w:space="0" w:color="D9D9D9" w:themeColor="background1" w:themeShade="D9"/>
              <w:right w:val="single" w:sz="6" w:space="0" w:color="E6E6E6"/>
            </w:tcBorders>
            <w:vAlign w:val="center"/>
            <w:hideMark/>
          </w:tcPr>
          <w:p w14:paraId="042F78E1" w14:textId="54C90AFF" w:rsidR="00BF5DC4" w:rsidRPr="002D1714" w:rsidRDefault="00BF5DC4" w:rsidP="00430B63">
            <w:pPr>
              <w:keepNext/>
              <w:keepLines/>
              <w:spacing w:before="20" w:after="20" w:line="240" w:lineRule="auto"/>
              <w:ind w:left="144" w:right="144"/>
              <w:jc w:val="center"/>
              <w:rPr>
                <w:rFonts w:ascii="Aptos Narrow" w:hAnsi="Aptos Narrow"/>
                <w:sz w:val="18"/>
                <w:szCs w:val="18"/>
              </w:rPr>
            </w:pPr>
            <w:r w:rsidRPr="002D1714">
              <w:rPr>
                <w:sz w:val="18"/>
                <w:szCs w:val="18"/>
              </w:rPr>
              <w:t>Under nonadherence, ITT is not the biological estimand; α is identified as LATE/CACE, and β is the outcome</w:t>
            </w:r>
            <w:r w:rsidR="00AB5CE1">
              <w:rPr>
                <w:sz w:val="18"/>
                <w:szCs w:val="18"/>
              </w:rPr>
              <w:t>-</w:t>
            </w:r>
            <w:r w:rsidRPr="002D1714">
              <w:rPr>
                <w:sz w:val="18"/>
                <w:szCs w:val="18"/>
              </w:rPr>
              <w:t>scale residual between observational and causal contrasts.</w:t>
            </w:r>
          </w:p>
        </w:tc>
        <w:tc>
          <w:tcPr>
            <w:tcW w:w="2250" w:type="dxa"/>
            <w:tcBorders>
              <w:top w:val="single" w:sz="6" w:space="0" w:color="D9D9D9" w:themeColor="background1" w:themeShade="D9"/>
              <w:left w:val="single" w:sz="6" w:space="0" w:color="E6E6E6"/>
              <w:bottom w:val="single" w:sz="6" w:space="0" w:color="D9D9D9" w:themeColor="background1" w:themeShade="D9"/>
              <w:right w:val="single" w:sz="6" w:space="0" w:color="E6E6E6"/>
            </w:tcBorders>
            <w:vAlign w:val="center"/>
            <w:hideMark/>
          </w:tcPr>
          <w:p w14:paraId="2C3D0E4E" w14:textId="01D73968" w:rsidR="00BF5DC4" w:rsidRPr="002D1714" w:rsidRDefault="00BF5DC4" w:rsidP="00430B63">
            <w:pPr>
              <w:keepNext/>
              <w:keepLines/>
              <w:spacing w:before="20" w:after="20" w:line="240" w:lineRule="auto"/>
              <w:ind w:left="144" w:right="144"/>
              <w:jc w:val="center"/>
              <w:rPr>
                <w:rFonts w:ascii="Aptos Narrow" w:hAnsi="Aptos Narrow"/>
                <w:sz w:val="18"/>
                <w:szCs w:val="18"/>
              </w:rPr>
            </w:pPr>
            <w:r w:rsidRPr="007A722B">
              <w:rPr>
                <w:sz w:val="18"/>
                <w:szCs w:val="18"/>
              </w:rPr>
              <w:t>Outcome</w:t>
            </w:r>
            <w:r w:rsidR="00AB5CE1">
              <w:rPr>
                <w:rFonts w:ascii="Cambria Math" w:hAnsi="Cambria Math" w:cs="Cambria Math"/>
                <w:sz w:val="18"/>
                <w:szCs w:val="18"/>
              </w:rPr>
              <w:t>-</w:t>
            </w:r>
            <w:r w:rsidRPr="007A722B">
              <w:rPr>
                <w:sz w:val="18"/>
                <w:szCs w:val="18"/>
              </w:rPr>
              <w:t>scale separation of biological and preference</w:t>
            </w:r>
            <w:r w:rsidR="00AB5CE1">
              <w:rPr>
                <w:rFonts w:ascii="Cambria Math" w:hAnsi="Cambria Math" w:cs="Cambria Math"/>
                <w:sz w:val="18"/>
                <w:szCs w:val="18"/>
              </w:rPr>
              <w:t>-</w:t>
            </w:r>
            <w:r w:rsidRPr="007A722B">
              <w:rPr>
                <w:sz w:val="18"/>
                <w:szCs w:val="18"/>
              </w:rPr>
              <w:t>mediated effects.</w:t>
            </w:r>
          </w:p>
        </w:tc>
        <w:tc>
          <w:tcPr>
            <w:tcW w:w="1874" w:type="dxa"/>
            <w:tcBorders>
              <w:top w:val="single" w:sz="6" w:space="0" w:color="D9D9D9" w:themeColor="background1" w:themeShade="D9"/>
              <w:left w:val="single" w:sz="6" w:space="0" w:color="E6E6E6"/>
              <w:bottom w:val="single" w:sz="6" w:space="0" w:color="D9D9D9" w:themeColor="background1" w:themeShade="D9"/>
              <w:right w:val="single" w:sz="6" w:space="0" w:color="BFBFBF" w:themeColor="background1" w:themeShade="BF"/>
            </w:tcBorders>
            <w:vAlign w:val="center"/>
            <w:hideMark/>
          </w:tcPr>
          <w:p w14:paraId="3D5A9F02" w14:textId="77777777" w:rsidR="00BF5DC4" w:rsidRPr="002D1714" w:rsidRDefault="00BF5DC4" w:rsidP="00430B63">
            <w:pPr>
              <w:keepNext/>
              <w:keepLines/>
              <w:spacing w:before="20" w:after="20" w:line="240" w:lineRule="auto"/>
              <w:ind w:left="144" w:right="144"/>
              <w:jc w:val="center"/>
              <w:rPr>
                <w:rFonts w:ascii="Aptos Narrow" w:hAnsi="Aptos Narrow"/>
                <w:sz w:val="18"/>
                <w:szCs w:val="18"/>
              </w:rPr>
            </w:pPr>
            <w:r w:rsidRPr="002D1714">
              <w:rPr>
                <w:sz w:val="18"/>
                <w:szCs w:val="18"/>
              </w:rPr>
              <w:t>Interpreting attenuated ITT effects as absence of efficacy.</w:t>
            </w:r>
          </w:p>
        </w:tc>
      </w:tr>
      <w:tr w:rsidR="00BF5DC4" w:rsidRPr="003942E7" w14:paraId="4A487E68" w14:textId="77777777" w:rsidTr="00BF5DC4">
        <w:trPr>
          <w:trHeight w:val="1650"/>
          <w:jc w:val="center"/>
        </w:trPr>
        <w:tc>
          <w:tcPr>
            <w:tcW w:w="585" w:type="dxa"/>
            <w:tcBorders>
              <w:top w:val="single" w:sz="6" w:space="0" w:color="D9D9D9" w:themeColor="background1" w:themeShade="D9"/>
              <w:left w:val="single" w:sz="6" w:space="0" w:color="BFBFBF" w:themeColor="background1" w:themeShade="BF"/>
              <w:bottom w:val="single" w:sz="6" w:space="0" w:color="D9D9D9" w:themeColor="background1" w:themeShade="D9"/>
            </w:tcBorders>
            <w:shd w:val="clear" w:color="auto" w:fill="000000" w:themeFill="text1"/>
            <w:vAlign w:val="center"/>
          </w:tcPr>
          <w:p w14:paraId="18A82F59" w14:textId="77777777" w:rsidR="00BF5DC4" w:rsidRPr="00D629B8" w:rsidRDefault="00BF5DC4" w:rsidP="00430B63">
            <w:pPr>
              <w:pStyle w:val="TableHeader"/>
              <w:spacing w:before="20" w:after="20"/>
              <w:rPr>
                <w:rStyle w:val="Strong"/>
                <w:color w:val="FFFFFF" w:themeColor="background1"/>
              </w:rPr>
            </w:pPr>
            <w:r w:rsidRPr="00D629B8">
              <w:rPr>
                <w:rStyle w:val="Strong"/>
                <w:color w:val="FFFFFF" w:themeColor="background1"/>
              </w:rPr>
              <w:t>A3</w:t>
            </w:r>
          </w:p>
        </w:tc>
        <w:tc>
          <w:tcPr>
            <w:tcW w:w="1672" w:type="dxa"/>
            <w:tcBorders>
              <w:top w:val="single" w:sz="6" w:space="0" w:color="D9D9D9" w:themeColor="background1" w:themeShade="D9"/>
              <w:left w:val="single" w:sz="6" w:space="0" w:color="E6E6E6"/>
              <w:bottom w:val="single" w:sz="6" w:space="0" w:color="D9D9D9" w:themeColor="background1" w:themeShade="D9"/>
              <w:right w:val="single" w:sz="6" w:space="0" w:color="BFBFBF" w:themeColor="background1" w:themeShade="BF"/>
            </w:tcBorders>
            <w:shd w:val="clear" w:color="auto" w:fill="F2F2F2" w:themeFill="background1" w:themeFillShade="F2"/>
            <w:vAlign w:val="center"/>
            <w:hideMark/>
          </w:tcPr>
          <w:p w14:paraId="072D2068" w14:textId="77777777" w:rsidR="00BF5DC4" w:rsidRPr="00C44093" w:rsidRDefault="00BF5DC4" w:rsidP="00430B63">
            <w:pPr>
              <w:pStyle w:val="TableHeader"/>
              <w:spacing w:before="20" w:after="20"/>
            </w:pPr>
            <w:r w:rsidRPr="00C44093">
              <w:rPr>
                <w:rStyle w:val="Strong"/>
                <w:sz w:val="24"/>
                <w:szCs w:val="24"/>
              </w:rPr>
              <w:t>MCID Discipline</w:t>
            </w:r>
          </w:p>
        </w:tc>
        <w:tc>
          <w:tcPr>
            <w:tcW w:w="2783" w:type="dxa"/>
            <w:tcBorders>
              <w:top w:val="single" w:sz="6" w:space="0" w:color="D9D9D9" w:themeColor="background1" w:themeShade="D9"/>
              <w:left w:val="single" w:sz="6" w:space="0" w:color="BFBFBF" w:themeColor="background1" w:themeShade="BF"/>
              <w:bottom w:val="single" w:sz="6" w:space="0" w:color="D9D9D9" w:themeColor="background1" w:themeShade="D9"/>
              <w:right w:val="single" w:sz="6" w:space="0" w:color="E6E6E6"/>
            </w:tcBorders>
            <w:vAlign w:val="center"/>
            <w:hideMark/>
          </w:tcPr>
          <w:p w14:paraId="6940FCA9" w14:textId="44640B22" w:rsidR="00BF5DC4" w:rsidRPr="002D1714" w:rsidRDefault="00BF5DC4" w:rsidP="00430B63">
            <w:pPr>
              <w:keepNext/>
              <w:keepLines/>
              <w:spacing w:before="20" w:after="20" w:line="240" w:lineRule="auto"/>
              <w:ind w:left="144" w:right="144"/>
              <w:jc w:val="center"/>
              <w:rPr>
                <w:rFonts w:ascii="Aptos Narrow" w:hAnsi="Aptos Narrow"/>
                <w:sz w:val="18"/>
                <w:szCs w:val="18"/>
              </w:rPr>
            </w:pPr>
            <w:r w:rsidRPr="002D1714">
              <w:rPr>
                <w:sz w:val="18"/>
                <w:szCs w:val="18"/>
              </w:rPr>
              <w:t xml:space="preserve">Interpretation of </w:t>
            </w:r>
            <w:r w:rsidR="00476EDB">
              <w:rPr>
                <w:rFonts w:ascii="Cambria Math" w:hAnsi="Cambria Math" w:cs="Cambria Math"/>
                <w:sz w:val="18"/>
                <w:szCs w:val="18"/>
              </w:rPr>
              <w:t>∣Δα∣</w:t>
            </w:r>
            <w:r w:rsidRPr="002D1714">
              <w:rPr>
                <w:sz w:val="18"/>
                <w:szCs w:val="18"/>
              </w:rPr>
              <w:t xml:space="preserve"> and β must be anchored to prespecified clinical materiality (MCID), </w:t>
            </w:r>
            <w:r>
              <w:rPr>
                <w:sz w:val="18"/>
                <w:szCs w:val="18"/>
              </w:rPr>
              <w:br/>
            </w:r>
            <w:r w:rsidRPr="002D1714">
              <w:rPr>
                <w:sz w:val="18"/>
                <w:szCs w:val="18"/>
              </w:rPr>
              <w:t>not statistical significance alone.</w:t>
            </w:r>
          </w:p>
        </w:tc>
        <w:tc>
          <w:tcPr>
            <w:tcW w:w="2250" w:type="dxa"/>
            <w:tcBorders>
              <w:top w:val="single" w:sz="6" w:space="0" w:color="D9D9D9" w:themeColor="background1" w:themeShade="D9"/>
              <w:left w:val="single" w:sz="6" w:space="0" w:color="E6E6E6"/>
              <w:bottom w:val="single" w:sz="6" w:space="0" w:color="D9D9D9" w:themeColor="background1" w:themeShade="D9"/>
              <w:right w:val="single" w:sz="6" w:space="0" w:color="E6E6E6"/>
            </w:tcBorders>
            <w:vAlign w:val="center"/>
            <w:hideMark/>
          </w:tcPr>
          <w:p w14:paraId="7D29D926" w14:textId="05359C4D" w:rsidR="00BF5DC4" w:rsidRPr="002D1714" w:rsidRDefault="00BF5DC4" w:rsidP="00430B63">
            <w:pPr>
              <w:keepNext/>
              <w:keepLines/>
              <w:spacing w:before="20" w:after="20" w:line="240" w:lineRule="auto"/>
              <w:ind w:left="144" w:right="144"/>
              <w:jc w:val="center"/>
              <w:rPr>
                <w:rFonts w:ascii="Aptos Narrow" w:hAnsi="Aptos Narrow"/>
                <w:sz w:val="18"/>
                <w:szCs w:val="18"/>
              </w:rPr>
            </w:pPr>
            <w:r w:rsidRPr="007A722B">
              <w:rPr>
                <w:sz w:val="18"/>
                <w:szCs w:val="18"/>
              </w:rPr>
              <w:t>Regime</w:t>
            </w:r>
            <w:r w:rsidR="00AB5CE1">
              <w:rPr>
                <w:rFonts w:ascii="Cambria Math" w:hAnsi="Cambria Math" w:cs="Cambria Math"/>
                <w:sz w:val="18"/>
                <w:szCs w:val="18"/>
              </w:rPr>
              <w:t>-</w:t>
            </w:r>
            <w:r w:rsidRPr="007A722B">
              <w:rPr>
                <w:sz w:val="18"/>
                <w:szCs w:val="18"/>
              </w:rPr>
              <w:t>based interpretation grounded in clinical relevance.</w:t>
            </w:r>
          </w:p>
        </w:tc>
        <w:tc>
          <w:tcPr>
            <w:tcW w:w="1874" w:type="dxa"/>
            <w:tcBorders>
              <w:top w:val="single" w:sz="6" w:space="0" w:color="D9D9D9" w:themeColor="background1" w:themeShade="D9"/>
              <w:left w:val="single" w:sz="6" w:space="0" w:color="E6E6E6"/>
              <w:bottom w:val="single" w:sz="6" w:space="0" w:color="D9D9D9" w:themeColor="background1" w:themeShade="D9"/>
              <w:right w:val="single" w:sz="6" w:space="0" w:color="BFBFBF" w:themeColor="background1" w:themeShade="BF"/>
            </w:tcBorders>
            <w:vAlign w:val="center"/>
            <w:hideMark/>
          </w:tcPr>
          <w:p w14:paraId="497C8D60" w14:textId="77777777" w:rsidR="00BF5DC4" w:rsidRPr="002D1714" w:rsidRDefault="00BF5DC4" w:rsidP="00430B63">
            <w:pPr>
              <w:keepNext/>
              <w:keepLines/>
              <w:spacing w:before="20" w:after="20" w:line="240" w:lineRule="auto"/>
              <w:ind w:left="144" w:right="144"/>
              <w:jc w:val="center"/>
              <w:rPr>
                <w:rFonts w:ascii="Aptos Narrow" w:hAnsi="Aptos Narrow"/>
                <w:sz w:val="18"/>
                <w:szCs w:val="18"/>
              </w:rPr>
            </w:pPr>
            <w:r w:rsidRPr="002D1714">
              <w:rPr>
                <w:sz w:val="18"/>
                <w:szCs w:val="18"/>
              </w:rPr>
              <w:t>Clinical interpretation driven by statistical significance alone.</w:t>
            </w:r>
          </w:p>
        </w:tc>
      </w:tr>
      <w:tr w:rsidR="00BF5DC4" w:rsidRPr="003942E7" w14:paraId="0E0828E8" w14:textId="77777777" w:rsidTr="00430B63">
        <w:trPr>
          <w:trHeight w:val="372"/>
          <w:jc w:val="center"/>
        </w:trPr>
        <w:tc>
          <w:tcPr>
            <w:tcW w:w="585" w:type="dxa"/>
            <w:tcBorders>
              <w:top w:val="single" w:sz="6" w:space="0" w:color="D9D9D9" w:themeColor="background1" w:themeShade="D9"/>
              <w:left w:val="single" w:sz="6" w:space="0" w:color="BFBFBF" w:themeColor="background1" w:themeShade="BF"/>
              <w:bottom w:val="single" w:sz="6" w:space="0" w:color="D9D9D9" w:themeColor="background1" w:themeShade="D9"/>
            </w:tcBorders>
            <w:shd w:val="clear" w:color="auto" w:fill="000000" w:themeFill="text1"/>
            <w:vAlign w:val="center"/>
          </w:tcPr>
          <w:p w14:paraId="5A263026" w14:textId="77777777" w:rsidR="00BF5DC4" w:rsidRPr="00D629B8" w:rsidRDefault="00BF5DC4" w:rsidP="00430B63">
            <w:pPr>
              <w:pStyle w:val="TableHeader"/>
              <w:spacing w:before="20" w:after="20"/>
              <w:rPr>
                <w:rStyle w:val="Strong"/>
                <w:color w:val="FFFFFF" w:themeColor="background1"/>
              </w:rPr>
            </w:pPr>
            <w:r w:rsidRPr="00D629B8">
              <w:rPr>
                <w:rStyle w:val="Strong"/>
                <w:color w:val="FFFFFF" w:themeColor="background1"/>
              </w:rPr>
              <w:t>A4</w:t>
            </w:r>
          </w:p>
        </w:tc>
        <w:tc>
          <w:tcPr>
            <w:tcW w:w="1672" w:type="dxa"/>
            <w:tcBorders>
              <w:top w:val="single" w:sz="6" w:space="0" w:color="D9D9D9" w:themeColor="background1" w:themeShade="D9"/>
              <w:left w:val="single" w:sz="6" w:space="0" w:color="E6E6E6"/>
              <w:bottom w:val="single" w:sz="6" w:space="0" w:color="D9D9D9" w:themeColor="background1" w:themeShade="D9"/>
              <w:right w:val="single" w:sz="6" w:space="0" w:color="BFBFBF" w:themeColor="background1" w:themeShade="BF"/>
            </w:tcBorders>
            <w:shd w:val="clear" w:color="auto" w:fill="F2F2F2" w:themeFill="background1" w:themeFillShade="F2"/>
            <w:vAlign w:val="center"/>
            <w:hideMark/>
          </w:tcPr>
          <w:p w14:paraId="06120FE1" w14:textId="5CACA7EE" w:rsidR="00BF5DC4" w:rsidRPr="00C44093" w:rsidRDefault="00BF5DC4" w:rsidP="00430B63">
            <w:pPr>
              <w:pStyle w:val="TableHeader"/>
              <w:spacing w:before="20" w:after="20"/>
            </w:pPr>
            <w:r w:rsidRPr="00C44093">
              <w:rPr>
                <w:rStyle w:val="Strong"/>
                <w:sz w:val="24"/>
                <w:szCs w:val="24"/>
              </w:rPr>
              <w:t xml:space="preserve">Regime </w:t>
            </w:r>
            <w:r>
              <w:rPr>
                <w:rStyle w:val="Strong"/>
                <w:sz w:val="24"/>
                <w:szCs w:val="24"/>
              </w:rPr>
              <w:t>Rule</w:t>
            </w:r>
            <w:r w:rsidRPr="00C44093">
              <w:rPr>
                <w:rStyle w:val="Strong"/>
                <w:sz w:val="24"/>
                <w:szCs w:val="24"/>
              </w:rPr>
              <w:br/>
            </w:r>
            <w:r w:rsidRPr="006A67B2">
              <w:rPr>
                <w:rStyle w:val="Strong"/>
                <w:b w:val="0"/>
                <w:bCs w:val="0"/>
                <w:sz w:val="24"/>
                <w:szCs w:val="24"/>
              </w:rPr>
              <w:t>(</w:t>
            </w:r>
            <w:r w:rsidR="00476EDB">
              <w:rPr>
                <w:rStyle w:val="Strong"/>
                <w:rFonts w:ascii="Cambria Math" w:hAnsi="Cambria Math" w:cs="Cambria Math"/>
                <w:b w:val="0"/>
                <w:bCs w:val="0"/>
                <w:sz w:val="24"/>
                <w:szCs w:val="24"/>
              </w:rPr>
              <w:t>∣Δα∣</w:t>
            </w:r>
            <w:r w:rsidRPr="006A67B2">
              <w:rPr>
                <w:rStyle w:val="Strong"/>
                <w:b w:val="0"/>
                <w:bCs w:val="0"/>
                <w:sz w:val="24"/>
                <w:szCs w:val="24"/>
              </w:rPr>
              <w:t>, β)</w:t>
            </w:r>
          </w:p>
        </w:tc>
        <w:tc>
          <w:tcPr>
            <w:tcW w:w="2783" w:type="dxa"/>
            <w:tcBorders>
              <w:top w:val="single" w:sz="6" w:space="0" w:color="D9D9D9" w:themeColor="background1" w:themeShade="D9"/>
              <w:left w:val="single" w:sz="6" w:space="0" w:color="BFBFBF" w:themeColor="background1" w:themeShade="BF"/>
              <w:bottom w:val="single" w:sz="6" w:space="0" w:color="D9D9D9" w:themeColor="background1" w:themeShade="D9"/>
              <w:right w:val="single" w:sz="6" w:space="0" w:color="E6E6E6"/>
            </w:tcBorders>
            <w:vAlign w:val="center"/>
            <w:hideMark/>
          </w:tcPr>
          <w:p w14:paraId="7DF7D7B1" w14:textId="05FBEE30" w:rsidR="00BF5DC4" w:rsidRPr="002D1714" w:rsidRDefault="00BF5DC4" w:rsidP="00430B63">
            <w:pPr>
              <w:keepNext/>
              <w:keepLines/>
              <w:spacing w:before="20" w:after="20" w:line="240" w:lineRule="auto"/>
              <w:ind w:left="144" w:right="144"/>
              <w:jc w:val="center"/>
              <w:rPr>
                <w:rFonts w:ascii="Aptos Narrow" w:hAnsi="Aptos Narrow"/>
                <w:sz w:val="18"/>
                <w:szCs w:val="18"/>
              </w:rPr>
            </w:pPr>
            <w:r w:rsidRPr="002D1714">
              <w:rPr>
                <w:sz w:val="18"/>
                <w:szCs w:val="18"/>
              </w:rPr>
              <w:t>Interpretation and trial logic are determined by the ordered pair (</w:t>
            </w:r>
            <w:r w:rsidR="00476EDB">
              <w:rPr>
                <w:rFonts w:ascii="Cambria Math" w:hAnsi="Cambria Math" w:cs="Cambria Math"/>
                <w:sz w:val="18"/>
                <w:szCs w:val="18"/>
              </w:rPr>
              <w:t>∣Δα∣</w:t>
            </w:r>
            <w:r w:rsidRPr="002D1714">
              <w:rPr>
                <w:sz w:val="18"/>
                <w:szCs w:val="18"/>
              </w:rPr>
              <w:t>, β); different regions obey different rules of inference.</w:t>
            </w:r>
          </w:p>
        </w:tc>
        <w:tc>
          <w:tcPr>
            <w:tcW w:w="2250" w:type="dxa"/>
            <w:tcBorders>
              <w:top w:val="single" w:sz="6" w:space="0" w:color="D9D9D9" w:themeColor="background1" w:themeShade="D9"/>
              <w:left w:val="single" w:sz="6" w:space="0" w:color="E6E6E6"/>
              <w:bottom w:val="single" w:sz="6" w:space="0" w:color="D9D9D9" w:themeColor="background1" w:themeShade="D9"/>
              <w:right w:val="single" w:sz="6" w:space="0" w:color="E6E6E6"/>
            </w:tcBorders>
            <w:vAlign w:val="center"/>
            <w:hideMark/>
          </w:tcPr>
          <w:p w14:paraId="281AA0E8" w14:textId="1BF5AA2D" w:rsidR="00BF5DC4" w:rsidRPr="002D1714" w:rsidRDefault="00BF5DC4" w:rsidP="00430B63">
            <w:pPr>
              <w:keepNext/>
              <w:keepLines/>
              <w:spacing w:before="20" w:after="20" w:line="240" w:lineRule="auto"/>
              <w:ind w:left="144" w:right="144"/>
              <w:jc w:val="center"/>
              <w:rPr>
                <w:rFonts w:ascii="Aptos Narrow" w:hAnsi="Aptos Narrow"/>
                <w:sz w:val="18"/>
                <w:szCs w:val="18"/>
              </w:rPr>
            </w:pPr>
            <w:r w:rsidRPr="002D1714">
              <w:rPr>
                <w:sz w:val="18"/>
                <w:szCs w:val="18"/>
              </w:rPr>
              <w:t>A principled taxonomy of trial contexts with rule</w:t>
            </w:r>
            <w:r w:rsidR="00AB5CE1">
              <w:rPr>
                <w:sz w:val="18"/>
                <w:szCs w:val="18"/>
              </w:rPr>
              <w:t>-</w:t>
            </w:r>
            <w:r w:rsidRPr="002D1714">
              <w:rPr>
                <w:sz w:val="18"/>
                <w:szCs w:val="18"/>
              </w:rPr>
              <w:t>mediated consequences for decision and action.</w:t>
            </w:r>
          </w:p>
        </w:tc>
        <w:tc>
          <w:tcPr>
            <w:tcW w:w="1874" w:type="dxa"/>
            <w:tcBorders>
              <w:top w:val="single" w:sz="6" w:space="0" w:color="D9D9D9" w:themeColor="background1" w:themeShade="D9"/>
              <w:left w:val="single" w:sz="6" w:space="0" w:color="E6E6E6"/>
              <w:bottom w:val="single" w:sz="6" w:space="0" w:color="D9D9D9" w:themeColor="background1" w:themeShade="D9"/>
              <w:right w:val="single" w:sz="6" w:space="0" w:color="BFBFBF" w:themeColor="background1" w:themeShade="BF"/>
            </w:tcBorders>
            <w:vAlign w:val="center"/>
            <w:hideMark/>
          </w:tcPr>
          <w:p w14:paraId="209BA4A6" w14:textId="77777777" w:rsidR="00BF5DC4" w:rsidRPr="002D1714" w:rsidRDefault="00BF5DC4" w:rsidP="00430B63">
            <w:pPr>
              <w:keepNext/>
              <w:keepLines/>
              <w:spacing w:before="20" w:after="20" w:line="240" w:lineRule="auto"/>
              <w:ind w:left="144" w:right="144"/>
              <w:jc w:val="center"/>
              <w:rPr>
                <w:rFonts w:ascii="Aptos Narrow" w:hAnsi="Aptos Narrow"/>
                <w:sz w:val="18"/>
                <w:szCs w:val="18"/>
              </w:rPr>
            </w:pPr>
            <w:r w:rsidRPr="002D1714">
              <w:rPr>
                <w:sz w:val="18"/>
                <w:szCs w:val="18"/>
              </w:rPr>
              <w:t>Uniform interpretation of trials irrespective of effect structure.</w:t>
            </w:r>
          </w:p>
        </w:tc>
      </w:tr>
      <w:tr w:rsidR="00BF5DC4" w:rsidRPr="003942E7" w14:paraId="5A5716FC" w14:textId="77777777" w:rsidTr="00430B63">
        <w:trPr>
          <w:trHeight w:val="282"/>
          <w:jc w:val="center"/>
        </w:trPr>
        <w:tc>
          <w:tcPr>
            <w:tcW w:w="585" w:type="dxa"/>
            <w:tcBorders>
              <w:top w:val="single" w:sz="6" w:space="0" w:color="D9D9D9" w:themeColor="background1" w:themeShade="D9"/>
              <w:left w:val="single" w:sz="6" w:space="0" w:color="BFBFBF" w:themeColor="background1" w:themeShade="BF"/>
              <w:bottom w:val="single" w:sz="6" w:space="0" w:color="D9D9D9" w:themeColor="background1" w:themeShade="D9"/>
            </w:tcBorders>
            <w:shd w:val="clear" w:color="auto" w:fill="000000" w:themeFill="text1"/>
            <w:vAlign w:val="center"/>
          </w:tcPr>
          <w:p w14:paraId="6A161363" w14:textId="77777777" w:rsidR="00BF5DC4" w:rsidRPr="00D629B8" w:rsidRDefault="00BF5DC4" w:rsidP="00430B63">
            <w:pPr>
              <w:pStyle w:val="TableHeader"/>
              <w:spacing w:before="20" w:after="20"/>
              <w:rPr>
                <w:rStyle w:val="Strong"/>
                <w:color w:val="FFFFFF" w:themeColor="background1"/>
              </w:rPr>
            </w:pPr>
            <w:r w:rsidRPr="00D629B8">
              <w:rPr>
                <w:rStyle w:val="Strong"/>
                <w:color w:val="FFFFFF" w:themeColor="background1"/>
              </w:rPr>
              <w:t>A5</w:t>
            </w:r>
          </w:p>
        </w:tc>
        <w:tc>
          <w:tcPr>
            <w:tcW w:w="1672" w:type="dxa"/>
            <w:tcBorders>
              <w:top w:val="single" w:sz="6" w:space="0" w:color="D9D9D9" w:themeColor="background1" w:themeShade="D9"/>
              <w:left w:val="single" w:sz="6" w:space="0" w:color="E6E6E6"/>
              <w:bottom w:val="single" w:sz="6" w:space="0" w:color="D9D9D9" w:themeColor="background1" w:themeShade="D9"/>
              <w:right w:val="single" w:sz="6" w:space="0" w:color="BFBFBF" w:themeColor="background1" w:themeShade="BF"/>
            </w:tcBorders>
            <w:shd w:val="clear" w:color="auto" w:fill="F2F2F2" w:themeFill="background1" w:themeFillShade="F2"/>
            <w:vAlign w:val="center"/>
            <w:hideMark/>
          </w:tcPr>
          <w:p w14:paraId="6BF2A543" w14:textId="77777777" w:rsidR="00BF5DC4" w:rsidRPr="00C44093" w:rsidRDefault="00BF5DC4" w:rsidP="00430B63">
            <w:pPr>
              <w:pStyle w:val="TableHeader"/>
              <w:spacing w:before="20" w:after="20"/>
            </w:pPr>
            <w:r w:rsidRPr="00C44093">
              <w:rPr>
                <w:rStyle w:val="Strong"/>
                <w:sz w:val="24"/>
                <w:szCs w:val="24"/>
              </w:rPr>
              <w:t>Identifiability Before Optimization</w:t>
            </w:r>
          </w:p>
        </w:tc>
        <w:tc>
          <w:tcPr>
            <w:tcW w:w="2783" w:type="dxa"/>
            <w:tcBorders>
              <w:top w:val="single" w:sz="6" w:space="0" w:color="D9D9D9" w:themeColor="background1" w:themeShade="D9"/>
              <w:left w:val="single" w:sz="6" w:space="0" w:color="BFBFBF" w:themeColor="background1" w:themeShade="BF"/>
              <w:bottom w:val="single" w:sz="6" w:space="0" w:color="D9D9D9" w:themeColor="background1" w:themeShade="D9"/>
              <w:right w:val="single" w:sz="6" w:space="0" w:color="E6E6E6"/>
            </w:tcBorders>
            <w:vAlign w:val="center"/>
            <w:hideMark/>
          </w:tcPr>
          <w:p w14:paraId="56BAF58C" w14:textId="77777777" w:rsidR="00BF5DC4" w:rsidRPr="002D1714" w:rsidRDefault="00BF5DC4" w:rsidP="00430B63">
            <w:pPr>
              <w:keepNext/>
              <w:keepLines/>
              <w:spacing w:before="20" w:after="20" w:line="240" w:lineRule="auto"/>
              <w:ind w:left="144" w:right="144"/>
              <w:jc w:val="center"/>
              <w:rPr>
                <w:rFonts w:ascii="Aptos Narrow" w:hAnsi="Aptos Narrow"/>
                <w:sz w:val="18"/>
                <w:szCs w:val="18"/>
              </w:rPr>
            </w:pPr>
            <w:r w:rsidRPr="002D1714">
              <w:rPr>
                <w:sz w:val="18"/>
                <w:szCs w:val="18"/>
              </w:rPr>
              <w:t>Claims about α and β require satisfied identification conditions; estimation follows identifiability.</w:t>
            </w:r>
          </w:p>
        </w:tc>
        <w:tc>
          <w:tcPr>
            <w:tcW w:w="2250" w:type="dxa"/>
            <w:tcBorders>
              <w:top w:val="single" w:sz="6" w:space="0" w:color="D9D9D9" w:themeColor="background1" w:themeShade="D9"/>
              <w:left w:val="single" w:sz="6" w:space="0" w:color="E6E6E6"/>
              <w:bottom w:val="single" w:sz="6" w:space="0" w:color="D9D9D9" w:themeColor="background1" w:themeShade="D9"/>
              <w:right w:val="single" w:sz="6" w:space="0" w:color="E6E6E6"/>
            </w:tcBorders>
            <w:vAlign w:val="center"/>
            <w:hideMark/>
          </w:tcPr>
          <w:p w14:paraId="5D6ADF96" w14:textId="77777777" w:rsidR="00BF5DC4" w:rsidRPr="002D1714" w:rsidRDefault="00BF5DC4" w:rsidP="00430B63">
            <w:pPr>
              <w:keepNext/>
              <w:keepLines/>
              <w:spacing w:before="20" w:after="20" w:line="240" w:lineRule="auto"/>
              <w:ind w:left="144" w:right="144"/>
              <w:jc w:val="center"/>
              <w:rPr>
                <w:rFonts w:ascii="Aptos Narrow" w:hAnsi="Aptos Narrow"/>
                <w:sz w:val="18"/>
                <w:szCs w:val="18"/>
              </w:rPr>
            </w:pPr>
            <w:r w:rsidRPr="007A722B">
              <w:rPr>
                <w:sz w:val="18"/>
                <w:szCs w:val="18"/>
              </w:rPr>
              <w:t>Explicit identification diagnostics as prerequisites for inference.</w:t>
            </w:r>
          </w:p>
        </w:tc>
        <w:tc>
          <w:tcPr>
            <w:tcW w:w="1874" w:type="dxa"/>
            <w:tcBorders>
              <w:top w:val="single" w:sz="6" w:space="0" w:color="D9D9D9" w:themeColor="background1" w:themeShade="D9"/>
              <w:left w:val="single" w:sz="6" w:space="0" w:color="E6E6E6"/>
              <w:bottom w:val="single" w:sz="6" w:space="0" w:color="D9D9D9" w:themeColor="background1" w:themeShade="D9"/>
              <w:right w:val="single" w:sz="6" w:space="0" w:color="BFBFBF" w:themeColor="background1" w:themeShade="BF"/>
            </w:tcBorders>
            <w:vAlign w:val="center"/>
            <w:hideMark/>
          </w:tcPr>
          <w:p w14:paraId="681074A0" w14:textId="77777777" w:rsidR="00BF5DC4" w:rsidRPr="002D1714" w:rsidRDefault="00BF5DC4" w:rsidP="00430B63">
            <w:pPr>
              <w:keepNext/>
              <w:keepLines/>
              <w:spacing w:before="20" w:after="20" w:line="240" w:lineRule="auto"/>
              <w:ind w:left="144" w:right="144"/>
              <w:jc w:val="center"/>
              <w:rPr>
                <w:rFonts w:ascii="Aptos Narrow" w:hAnsi="Aptos Narrow"/>
                <w:sz w:val="18"/>
                <w:szCs w:val="18"/>
              </w:rPr>
            </w:pPr>
            <w:r w:rsidRPr="002D1714">
              <w:rPr>
                <w:sz w:val="18"/>
                <w:szCs w:val="18"/>
              </w:rPr>
              <w:t>Estimation or optimization without causal identifiability.</w:t>
            </w:r>
          </w:p>
        </w:tc>
      </w:tr>
      <w:tr w:rsidR="00BF5DC4" w:rsidRPr="003942E7" w14:paraId="5AABAF50" w14:textId="77777777" w:rsidTr="00430B63">
        <w:trPr>
          <w:trHeight w:val="20"/>
          <w:jc w:val="center"/>
        </w:trPr>
        <w:tc>
          <w:tcPr>
            <w:tcW w:w="585" w:type="dxa"/>
            <w:tcBorders>
              <w:top w:val="single" w:sz="6" w:space="0" w:color="D9D9D9" w:themeColor="background1" w:themeShade="D9"/>
              <w:left w:val="single" w:sz="6" w:space="0" w:color="BFBFBF" w:themeColor="background1" w:themeShade="BF"/>
              <w:bottom w:val="single" w:sz="6" w:space="0" w:color="BFBFBF" w:themeColor="background1" w:themeShade="BF"/>
            </w:tcBorders>
            <w:shd w:val="clear" w:color="auto" w:fill="000000" w:themeFill="text1"/>
            <w:vAlign w:val="center"/>
          </w:tcPr>
          <w:p w14:paraId="5A199ADC" w14:textId="77777777" w:rsidR="00BF5DC4" w:rsidRPr="00D629B8" w:rsidRDefault="00BF5DC4" w:rsidP="00430B63">
            <w:pPr>
              <w:pStyle w:val="TableHeader"/>
              <w:spacing w:before="20" w:after="20"/>
              <w:rPr>
                <w:rStyle w:val="Strong"/>
                <w:color w:val="FFFFFF" w:themeColor="background1"/>
              </w:rPr>
            </w:pPr>
            <w:r w:rsidRPr="00D629B8">
              <w:rPr>
                <w:rStyle w:val="Strong"/>
                <w:color w:val="FFFFFF" w:themeColor="background1"/>
              </w:rPr>
              <w:t>A6</w:t>
            </w:r>
          </w:p>
        </w:tc>
        <w:tc>
          <w:tcPr>
            <w:tcW w:w="1672" w:type="dxa"/>
            <w:tcBorders>
              <w:top w:val="single" w:sz="6" w:space="0" w:color="D9D9D9" w:themeColor="background1" w:themeShade="D9"/>
              <w:left w:val="single" w:sz="6" w:space="0" w:color="E6E6E6"/>
              <w:bottom w:val="single" w:sz="6" w:space="0" w:color="BFBFBF" w:themeColor="background1" w:themeShade="BF"/>
              <w:right w:val="single" w:sz="6" w:space="0" w:color="BFBFBF" w:themeColor="background1" w:themeShade="BF"/>
            </w:tcBorders>
            <w:shd w:val="clear" w:color="auto" w:fill="F2F2F2" w:themeFill="background1" w:themeFillShade="F2"/>
            <w:vAlign w:val="center"/>
            <w:hideMark/>
          </w:tcPr>
          <w:p w14:paraId="2356D78B" w14:textId="7D136F90" w:rsidR="00BF5DC4" w:rsidRPr="00C44093" w:rsidRDefault="00BF5DC4" w:rsidP="00430B63">
            <w:pPr>
              <w:pStyle w:val="TableHeader"/>
              <w:spacing w:before="20" w:after="20"/>
            </w:pPr>
            <w:r w:rsidRPr="00C44093">
              <w:rPr>
                <w:rStyle w:val="Strong"/>
                <w:sz w:val="24"/>
                <w:szCs w:val="24"/>
              </w:rPr>
              <w:t>Non</w:t>
            </w:r>
            <w:r w:rsidR="00AB5CE1">
              <w:rPr>
                <w:rStyle w:val="Strong"/>
                <w:sz w:val="24"/>
                <w:szCs w:val="24"/>
              </w:rPr>
              <w:t>-</w:t>
            </w:r>
            <w:r w:rsidRPr="00C44093">
              <w:rPr>
                <w:rStyle w:val="Strong"/>
                <w:sz w:val="24"/>
                <w:szCs w:val="24"/>
              </w:rPr>
              <w:br/>
              <w:t>Interference of Elicitation</w:t>
            </w:r>
          </w:p>
        </w:tc>
        <w:tc>
          <w:tcPr>
            <w:tcW w:w="2783" w:type="dxa"/>
            <w:tcBorders>
              <w:top w:val="single" w:sz="6" w:space="0" w:color="D9D9D9" w:themeColor="background1" w:themeShade="D9"/>
              <w:left w:val="single" w:sz="6" w:space="0" w:color="BFBFBF" w:themeColor="background1" w:themeShade="BF"/>
              <w:bottom w:val="single" w:sz="6" w:space="0" w:color="BFBFBF" w:themeColor="background1" w:themeShade="BF"/>
              <w:right w:val="single" w:sz="6" w:space="0" w:color="E6E6E6"/>
            </w:tcBorders>
            <w:vAlign w:val="center"/>
            <w:hideMark/>
          </w:tcPr>
          <w:p w14:paraId="5597BF5E" w14:textId="77777777" w:rsidR="00BF5DC4" w:rsidRPr="002D1714" w:rsidRDefault="00BF5DC4" w:rsidP="00430B63">
            <w:pPr>
              <w:keepNext/>
              <w:keepLines/>
              <w:spacing w:before="20" w:after="20" w:line="240" w:lineRule="auto"/>
              <w:ind w:left="144" w:right="144"/>
              <w:jc w:val="center"/>
              <w:rPr>
                <w:rFonts w:ascii="Aptos Narrow" w:hAnsi="Aptos Narrow"/>
                <w:sz w:val="18"/>
                <w:szCs w:val="18"/>
              </w:rPr>
            </w:pPr>
            <w:r w:rsidRPr="002D1714">
              <w:rPr>
                <w:sz w:val="18"/>
                <w:szCs w:val="18"/>
              </w:rPr>
              <w:t>Preference and literacy measurement must not function as an intervention.</w:t>
            </w:r>
          </w:p>
        </w:tc>
        <w:tc>
          <w:tcPr>
            <w:tcW w:w="2250" w:type="dxa"/>
            <w:tcBorders>
              <w:top w:val="single" w:sz="6" w:space="0" w:color="D9D9D9" w:themeColor="background1" w:themeShade="D9"/>
              <w:left w:val="single" w:sz="6" w:space="0" w:color="E6E6E6"/>
              <w:bottom w:val="single" w:sz="6" w:space="0" w:color="BFBFBF" w:themeColor="background1" w:themeShade="BF"/>
              <w:right w:val="single" w:sz="6" w:space="0" w:color="E6E6E6"/>
            </w:tcBorders>
            <w:vAlign w:val="center"/>
            <w:hideMark/>
          </w:tcPr>
          <w:p w14:paraId="39956B1D" w14:textId="5007569A" w:rsidR="00BF5DC4" w:rsidRPr="002D1714" w:rsidRDefault="005F469E" w:rsidP="00430B63">
            <w:pPr>
              <w:keepNext/>
              <w:keepLines/>
              <w:spacing w:before="20" w:after="20" w:line="240" w:lineRule="auto"/>
              <w:ind w:left="144" w:right="144"/>
              <w:jc w:val="center"/>
              <w:rPr>
                <w:rFonts w:ascii="Aptos Narrow" w:hAnsi="Aptos Narrow"/>
                <w:sz w:val="18"/>
                <w:szCs w:val="18"/>
              </w:rPr>
            </w:pPr>
            <w:r w:rsidRPr="005F469E">
              <w:rPr>
                <w:sz w:val="18"/>
                <w:szCs w:val="18"/>
              </w:rPr>
              <w:t>Preference measurement without effect on treatment uptake.</w:t>
            </w:r>
          </w:p>
        </w:tc>
        <w:tc>
          <w:tcPr>
            <w:tcW w:w="1874" w:type="dxa"/>
            <w:tcBorders>
              <w:top w:val="single" w:sz="6" w:space="0" w:color="D9D9D9" w:themeColor="background1" w:themeShade="D9"/>
              <w:left w:val="single" w:sz="6" w:space="0" w:color="E6E6E6"/>
              <w:bottom w:val="single" w:sz="6" w:space="0" w:color="BFBFBF" w:themeColor="background1" w:themeShade="BF"/>
              <w:right w:val="single" w:sz="6" w:space="0" w:color="BFBFBF" w:themeColor="background1" w:themeShade="BF"/>
            </w:tcBorders>
            <w:vAlign w:val="center"/>
            <w:hideMark/>
          </w:tcPr>
          <w:p w14:paraId="343B1BF1" w14:textId="5C4B93F4" w:rsidR="00BF5DC4" w:rsidRPr="002D1714" w:rsidRDefault="005F469E" w:rsidP="00430B63">
            <w:pPr>
              <w:keepNext/>
              <w:keepLines/>
              <w:spacing w:before="20" w:after="20" w:line="240" w:lineRule="auto"/>
              <w:ind w:left="144" w:right="144"/>
              <w:jc w:val="center"/>
              <w:rPr>
                <w:rFonts w:ascii="Aptos Narrow" w:hAnsi="Aptos Narrow"/>
                <w:sz w:val="18"/>
                <w:szCs w:val="18"/>
              </w:rPr>
            </w:pPr>
            <w:r w:rsidRPr="005F469E">
              <w:rPr>
                <w:sz w:val="18"/>
                <w:szCs w:val="18"/>
              </w:rPr>
              <w:t>Measurement that alters treatment uptake.</w:t>
            </w:r>
          </w:p>
        </w:tc>
      </w:tr>
    </w:tbl>
    <w:p w14:paraId="077163D6" w14:textId="743CE2F6" w:rsidR="00BF5DC4" w:rsidRDefault="00BF5DC4" w:rsidP="00BF5DC4">
      <w:pPr>
        <w:pStyle w:val="FigureCaption"/>
      </w:pPr>
      <w:r w:rsidRPr="003942E7">
        <w:rPr>
          <w:rStyle w:val="Strong"/>
          <w:b w:val="0"/>
          <w:bCs w:val="0"/>
        </w:rPr>
        <w:t>Minimal, invariant assumptions</w:t>
      </w:r>
      <w:r w:rsidRPr="003942E7">
        <w:t xml:space="preserve"> underlying </w:t>
      </w:r>
      <w:r w:rsidRPr="005F5837">
        <w:t>β</w:t>
      </w:r>
      <w:r w:rsidR="00AB5CE1">
        <w:t>-</w:t>
      </w:r>
      <w:r>
        <w:t>identifying</w:t>
      </w:r>
      <w:r w:rsidRPr="003942E7">
        <w:t xml:space="preserve"> trial interpretation</w:t>
      </w:r>
      <w:r>
        <w:t>.</w:t>
      </w:r>
      <w:r w:rsidRPr="003942E7">
        <w:t xml:space="preserve"> </w:t>
      </w:r>
      <w:r w:rsidRPr="007A722B">
        <w:t>These axioms define the conceptual space in which all subsequent canonical definitions</w:t>
      </w:r>
      <w:r w:rsidRPr="003942E7">
        <w:t xml:space="preserve"> (Table </w:t>
      </w:r>
      <w:r>
        <w:t>S2a</w:t>
      </w:r>
      <w:r w:rsidRPr="003942E7">
        <w:t xml:space="preserve">), methods (Table </w:t>
      </w:r>
      <w:r>
        <w:t>S3</w:t>
      </w:r>
      <w:r w:rsidRPr="003942E7">
        <w:t xml:space="preserve">), </w:t>
      </w:r>
      <w:r>
        <w:t>rules</w:t>
      </w:r>
      <w:r w:rsidRPr="003942E7">
        <w:t xml:space="preserve"> (Table </w:t>
      </w:r>
      <w:r>
        <w:t>S4</w:t>
      </w:r>
      <w:r w:rsidRPr="003942E7">
        <w:t>), and regimes (Table</w:t>
      </w:r>
      <w:r w:rsidRPr="003942E7">
        <w:rPr>
          <w:rFonts w:ascii="Arial" w:hAnsi="Arial" w:cs="Arial"/>
        </w:rPr>
        <w:t> </w:t>
      </w:r>
      <w:r>
        <w:t>S5</w:t>
      </w:r>
      <w:r w:rsidRPr="003942E7">
        <w:t>) operate</w:t>
      </w:r>
      <w:r>
        <w:t>.</w:t>
      </w:r>
      <w:r w:rsidRPr="003942E7">
        <w:t xml:space="preserve"> These axioms do not prescribe a specific trial design, estimator, or policy</w:t>
      </w:r>
      <w:r>
        <w:t>.</w:t>
      </w:r>
      <w:r w:rsidRPr="003942E7">
        <w:t xml:space="preserve"> Rather, they define the </w:t>
      </w:r>
      <w:r w:rsidRPr="003942E7">
        <w:rPr>
          <w:rStyle w:val="Emphasis"/>
          <w:i w:val="0"/>
          <w:iCs w:val="0"/>
        </w:rPr>
        <w:t>constraints under which interpretation is possible</w:t>
      </w:r>
      <w:r>
        <w:t>.</w:t>
      </w:r>
      <w:r w:rsidRPr="003942E7">
        <w:t xml:space="preserve"> The four regimes in Table</w:t>
      </w:r>
      <w:r w:rsidRPr="003942E7">
        <w:rPr>
          <w:rFonts w:ascii="Arial" w:hAnsi="Arial" w:cs="Arial"/>
        </w:rPr>
        <w:t> </w:t>
      </w:r>
      <w:r w:rsidRPr="003942E7">
        <w:t xml:space="preserve">3 </w:t>
      </w:r>
      <w:r>
        <w:t xml:space="preserve">(main text) </w:t>
      </w:r>
      <w:r w:rsidRPr="003942E7">
        <w:t xml:space="preserve">and the </w:t>
      </w:r>
      <w:r>
        <w:t xml:space="preserve">rules </w:t>
      </w:r>
      <w:r w:rsidRPr="003942E7">
        <w:t>governing interpretation and design follow logically from these axioms</w:t>
      </w:r>
      <w:r>
        <w:t>.</w:t>
      </w:r>
    </w:p>
    <w:p w14:paraId="0E7CEC58" w14:textId="33BBDB91" w:rsidR="00F92C2A" w:rsidRDefault="005F469E" w:rsidP="00F92C2A">
      <w:r w:rsidRPr="005F469E">
        <w:rPr>
          <w:b/>
          <w:bCs/>
        </w:rPr>
        <w:lastRenderedPageBreak/>
        <w:t>A6 Non</w:t>
      </w:r>
      <w:r w:rsidR="00AB5CE1">
        <w:rPr>
          <w:b/>
          <w:bCs/>
        </w:rPr>
        <w:t>-</w:t>
      </w:r>
      <w:r w:rsidRPr="005F469E">
        <w:rPr>
          <w:b/>
          <w:bCs/>
        </w:rPr>
        <w:t>Interference of Elicitation</w:t>
      </w:r>
      <w:r>
        <w:t xml:space="preserve">. </w:t>
      </w:r>
      <w:r w:rsidR="00F92C2A">
        <w:t xml:space="preserve">A6 sets a boundary between observation and intervention. In this framework, preference enters inference only through observed treatment choice, which defines β. This is </w:t>
      </w:r>
      <w:r w:rsidR="00F92C2A" w:rsidRPr="00F92C2A">
        <w:rPr>
          <w:i/>
          <w:iCs/>
        </w:rPr>
        <w:t>revealed</w:t>
      </w:r>
      <w:r w:rsidR="00F92C2A">
        <w:t xml:space="preserve"> preference—treatment received under randomization. Choice is therefore the causal channel and fixes the estimand.</w:t>
      </w:r>
    </w:p>
    <w:p w14:paraId="6983AB95" w14:textId="4DF8A390" w:rsidR="00F92C2A" w:rsidRDefault="00F92C2A" w:rsidP="00F92C2A">
      <w:r>
        <w:t xml:space="preserve">Preference can also be </w:t>
      </w:r>
      <w:r w:rsidRPr="00F92C2A">
        <w:rPr>
          <w:i/>
          <w:iCs/>
        </w:rPr>
        <w:t>elicited</w:t>
      </w:r>
      <w:r>
        <w:t>. Surveys, literacy assessments, decision aids, and structured shared decision</w:t>
      </w:r>
      <w:r w:rsidR="00AB5CE1">
        <w:t>-</w:t>
      </w:r>
      <w:r>
        <w:t>making produce stated or constructed preferences rather than observed choice. These are not passive measurements. They act on the decision process that generates treatment uptake.</w:t>
      </w:r>
    </w:p>
    <w:p w14:paraId="7B5A5522" w14:textId="77777777" w:rsidR="00F92C2A" w:rsidRDefault="00F92C2A" w:rsidP="00F92C2A">
      <w:r>
        <w:t>This establishes a governing distinction. Revealed preference defines β; elicited preference may alter it. If elicitation changes treatment uptake, observed choice no longer reflects the underlying decision process, and the estimand is altered.</w:t>
      </w:r>
    </w:p>
    <w:p w14:paraId="5380E9AB" w14:textId="77777777" w:rsidR="00F92C2A" w:rsidRDefault="00F92C2A" w:rsidP="00F92C2A">
      <w:r>
        <w:t>This distinguishes preference from biological effect. α is defined ex ante and is invariant to observation. β is realized through choice and is therefore susceptible to elicitation. If measuring preference alters treatment uptake—through framing, prompting, timing, or literacy intervention—the estimand itself changes. β then no longer corresponds to the effect of enacted choice under the observed decision process.</w:t>
      </w:r>
    </w:p>
    <w:p w14:paraId="139129C1" w14:textId="77777777" w:rsidR="00F92C2A" w:rsidRDefault="00F92C2A" w:rsidP="00F92C2A">
      <w:r>
        <w:t>This establishes the observer dependence of β. α remains invariant under observation; β depends on how the decision is constructed at choice. Measurement is valid only if it leaves that process unchanged. If elicitation acts as an intervention, β becomes a composite of preference and elicitation rather than the causal effect of choice.</w:t>
      </w:r>
    </w:p>
    <w:p w14:paraId="3BE4093C" w14:textId="7943B1A8" w:rsidR="005F469E" w:rsidRDefault="00F92C2A" w:rsidP="00F92C2A">
      <w:r>
        <w:t>A6 therefore requires that preference elicitation remain non</w:t>
      </w:r>
      <w:r w:rsidR="00AB5CE1">
        <w:t>-</w:t>
      </w:r>
      <w:r>
        <w:t>interfering: it must not alter treatment uptake. This is a condition of identifiability, not design preference. If violated, the α/β decomposition fails because the quantity attributed to choice is no longer invariant under observation.</w:t>
      </w:r>
    </w:p>
    <w:p w14:paraId="240FBF11" w14:textId="05CD29BE" w:rsidR="00BF5DC4" w:rsidRDefault="005F469E" w:rsidP="00BF5DC4">
      <w:r w:rsidRPr="005F469E">
        <w:rPr>
          <w:b/>
          <w:bCs/>
        </w:rPr>
        <w:t>Design Constraints</w:t>
      </w:r>
      <w:r>
        <w:t xml:space="preserve">. </w:t>
      </w:r>
      <w:r w:rsidR="00BF5DC4">
        <w:t>Where Table</w:t>
      </w:r>
      <w:r w:rsidR="00BF5DC4">
        <w:rPr>
          <w:rFonts w:ascii="Arial" w:hAnsi="Arial" w:cs="Arial"/>
        </w:rPr>
        <w:t> S1</w:t>
      </w:r>
      <w:r w:rsidR="00BF5DC4">
        <w:t>a defines structure, Table</w:t>
      </w:r>
      <w:r w:rsidR="00BF5DC4">
        <w:rPr>
          <w:rFonts w:ascii="Arial" w:hAnsi="Arial" w:cs="Arial"/>
        </w:rPr>
        <w:t> </w:t>
      </w:r>
      <w:r w:rsidR="00BF5DC4">
        <w:t xml:space="preserve">S1b defines validity, where the design constraints (D) specify the conditions under which the axioms can be implemented without bias or misidentification, governing identifiability, measurement discipline, and uncertainty reporting. These constraints do not introduce new causal assumptions; they state what must hold for estimates of </w:t>
      </w:r>
      <w:r w:rsidR="00BF5DC4">
        <w:rPr>
          <w:rFonts w:ascii="Aptos" w:hAnsi="Aptos" w:cs="Aptos"/>
        </w:rPr>
        <w:t>α</w:t>
      </w:r>
      <w:r w:rsidR="00BF5DC4">
        <w:t xml:space="preserve"> and </w:t>
      </w:r>
      <w:r w:rsidR="00BF5DC4">
        <w:rPr>
          <w:rFonts w:ascii="Aptos" w:hAnsi="Aptos" w:cs="Aptos"/>
        </w:rPr>
        <w:t>β</w:t>
      </w:r>
      <w:r w:rsidR="00BF5DC4">
        <w:t xml:space="preserve"> to be interpretable within the axiomatic framework.</w:t>
      </w:r>
    </w:p>
    <w:p w14:paraId="0B21BD1B" w14:textId="6FB70C77" w:rsidR="00BF5DC4" w:rsidRPr="003942E7" w:rsidRDefault="00BF5DC4" w:rsidP="00BF5DC4">
      <w:r>
        <w:t>This distinction matters. Failure to satisfy a design constraint limits permissible conclusions but does not contradict the underlying structure. Weak instruments, asymmetric elicitation, or inadequate uncertainty reporting do not deny the existence of preference</w:t>
      </w:r>
      <w:r w:rsidR="00AB5CE1">
        <w:rPr>
          <w:rFonts w:ascii="Cambria Math" w:hAnsi="Cambria Math" w:cs="Cambria Math"/>
        </w:rPr>
        <w:t>-</w:t>
      </w:r>
      <w:r>
        <w:t>mediated effects; they render those effects unidentifiable or uninterpretable, requiring decision</w:t>
      </w:r>
      <w:r w:rsidR="00AB5CE1">
        <w:rPr>
          <w:rFonts w:ascii="Cambria Math" w:hAnsi="Cambria Math" w:cs="Cambria Math"/>
        </w:rPr>
        <w:t>-</w:t>
      </w:r>
      <w:r>
        <w:t xml:space="preserve">limited ambiguity rather than rejection of the framework. By separating invariant structure </w:t>
      </w:r>
      <w:r>
        <w:lastRenderedPageBreak/>
        <w:t>from conditional validity, the framework avoids both overconfident inference and dismissal of causal structure as noise. Table</w:t>
      </w:r>
      <w:r>
        <w:rPr>
          <w:rFonts w:ascii="Arial" w:hAnsi="Arial" w:cs="Arial"/>
        </w:rPr>
        <w:t> S1b</w:t>
      </w:r>
      <w:r>
        <w:t xml:space="preserve"> therefore serves both an operational and a protective role: it identifies where inference can fail and prevents failures of design from being misread as failures of theory. </w:t>
      </w:r>
    </w:p>
    <w:p w14:paraId="286064B1" w14:textId="5580B825" w:rsidR="00BF5DC4" w:rsidRPr="00D363CA" w:rsidRDefault="00BF5DC4" w:rsidP="00BF5DC4">
      <w:pPr>
        <w:pStyle w:val="FigureTitle"/>
      </w:pPr>
      <w:r w:rsidRPr="00D363CA">
        <w:rPr>
          <w:rStyle w:val="Strong"/>
          <w:rFonts w:cs="Segoe UI"/>
        </w:rPr>
        <w:t>Table</w:t>
      </w:r>
      <w:r>
        <w:rPr>
          <w:rStyle w:val="Strong"/>
          <w:rFonts w:cs="Segoe UI"/>
        </w:rPr>
        <w:t xml:space="preserve"> S1b</w:t>
      </w:r>
      <w:r>
        <w:rPr>
          <w:rStyle w:val="Strong"/>
          <w:rFonts w:cs="Segoe UI"/>
          <w:b w:val="0"/>
          <w:bCs w:val="0"/>
        </w:rPr>
        <w:t>.</w:t>
      </w:r>
      <w:r w:rsidRPr="00D363CA">
        <w:rPr>
          <w:rStyle w:val="Strong"/>
          <w:rFonts w:cs="Segoe UI"/>
          <w:b w:val="0"/>
          <w:bCs w:val="0"/>
        </w:rPr>
        <w:t xml:space="preserve"> Design Constraints for Valid β</w:t>
      </w:r>
      <w:r w:rsidR="00AB5CE1">
        <w:rPr>
          <w:rStyle w:val="Strong"/>
          <w:rFonts w:cs="Segoe UI"/>
          <w:b w:val="0"/>
          <w:bCs w:val="0"/>
        </w:rPr>
        <w:t>-</w:t>
      </w:r>
      <w:r w:rsidRPr="00D363CA">
        <w:rPr>
          <w:rStyle w:val="Strong"/>
          <w:rFonts w:cs="Segoe UI"/>
          <w:b w:val="0"/>
          <w:bCs w:val="0"/>
        </w:rPr>
        <w:t>identifying Inference</w:t>
      </w:r>
    </w:p>
    <w:tbl>
      <w:tblPr>
        <w:tblW w:w="9352" w:type="dxa"/>
        <w:tblInd w:w="8" w:type="dxa"/>
        <w:tblLayout w:type="fixed"/>
        <w:tblCellMar>
          <w:top w:w="144" w:type="dxa"/>
          <w:left w:w="144" w:type="dxa"/>
          <w:bottom w:w="144" w:type="dxa"/>
          <w:right w:w="144" w:type="dxa"/>
        </w:tblCellMar>
        <w:tblLook w:val="04A0" w:firstRow="1" w:lastRow="0" w:firstColumn="1" w:lastColumn="0" w:noHBand="0" w:noVBand="1"/>
      </w:tblPr>
      <w:tblGrid>
        <w:gridCol w:w="622"/>
        <w:gridCol w:w="1620"/>
        <w:gridCol w:w="3150"/>
        <w:gridCol w:w="2070"/>
        <w:gridCol w:w="1890"/>
      </w:tblGrid>
      <w:tr w:rsidR="00BF5DC4" w:rsidRPr="003942E7" w14:paraId="62A39113" w14:textId="77777777" w:rsidTr="00430B63">
        <w:tc>
          <w:tcPr>
            <w:tcW w:w="2242" w:type="dxa"/>
            <w:gridSpan w:val="2"/>
            <w:tcBorders>
              <w:top w:val="single" w:sz="4" w:space="0" w:color="BFBFBF" w:themeColor="background1" w:themeShade="BF"/>
              <w:left w:val="single" w:sz="4" w:space="0" w:color="BFBFBF" w:themeColor="background1" w:themeShade="BF"/>
              <w:bottom w:val="single" w:sz="36" w:space="0" w:color="A6A6A6" w:themeColor="background1" w:themeShade="A6"/>
              <w:right w:val="single" w:sz="6" w:space="0" w:color="BFBFBF" w:themeColor="background1" w:themeShade="BF"/>
            </w:tcBorders>
            <w:shd w:val="clear" w:color="auto" w:fill="000000" w:themeFill="text1"/>
            <w:vAlign w:val="center"/>
          </w:tcPr>
          <w:p w14:paraId="15039067" w14:textId="77777777" w:rsidR="00BF5DC4" w:rsidRPr="008B7518" w:rsidRDefault="00BF5DC4" w:rsidP="00430B63">
            <w:pPr>
              <w:keepNext/>
              <w:keepLines/>
              <w:spacing w:after="0" w:line="240" w:lineRule="auto"/>
              <w:jc w:val="center"/>
              <w:rPr>
                <w:rFonts w:ascii="Aptos Narrow" w:hAnsi="Aptos Narrow" w:cs="Times New Roman"/>
                <w:b/>
                <w:bCs/>
                <w:color w:val="FFFFFF" w:themeColor="background1"/>
              </w:rPr>
            </w:pPr>
            <w:r w:rsidRPr="008B7518">
              <w:rPr>
                <w:rFonts w:ascii="Aptos Narrow" w:hAnsi="Aptos Narrow" w:cs="Times New Roman"/>
                <w:b/>
                <w:bCs/>
                <w:color w:val="FFFFFF" w:themeColor="background1"/>
              </w:rPr>
              <w:t>Constraint</w:t>
            </w:r>
          </w:p>
        </w:tc>
        <w:tc>
          <w:tcPr>
            <w:tcW w:w="3150" w:type="dxa"/>
            <w:tcBorders>
              <w:top w:val="single" w:sz="6" w:space="0" w:color="BFBFBF" w:themeColor="background1" w:themeShade="BF"/>
              <w:left w:val="single" w:sz="6" w:space="0" w:color="BFBFBF" w:themeColor="background1" w:themeShade="BF"/>
              <w:bottom w:val="single" w:sz="36" w:space="0" w:color="A6A6A6" w:themeColor="background1" w:themeShade="A6"/>
              <w:right w:val="single" w:sz="6" w:space="0" w:color="D9D9D9" w:themeColor="background1" w:themeShade="D9"/>
            </w:tcBorders>
            <w:shd w:val="clear" w:color="auto" w:fill="F5F5F5"/>
            <w:vAlign w:val="center"/>
            <w:hideMark/>
          </w:tcPr>
          <w:p w14:paraId="44C77870" w14:textId="77777777" w:rsidR="00BF5DC4" w:rsidRPr="00C44093" w:rsidRDefault="00BF5DC4" w:rsidP="00430B63">
            <w:pPr>
              <w:keepNext/>
              <w:keepLines/>
              <w:spacing w:after="0" w:line="240" w:lineRule="auto"/>
              <w:jc w:val="center"/>
              <w:rPr>
                <w:rFonts w:ascii="Aptos Narrow" w:hAnsi="Aptos Narrow"/>
              </w:rPr>
            </w:pPr>
            <w:r w:rsidRPr="00C44093">
              <w:rPr>
                <w:rStyle w:val="Strong"/>
                <w:rFonts w:ascii="Aptos Narrow" w:hAnsi="Aptos Narrow"/>
              </w:rPr>
              <w:t>Statement</w:t>
            </w:r>
            <w:r w:rsidRPr="00C44093">
              <w:rPr>
                <w:rStyle w:val="Strong"/>
                <w:rFonts w:ascii="Aptos Narrow" w:hAnsi="Aptos Narrow"/>
              </w:rPr>
              <w:br/>
            </w:r>
            <w:r w:rsidRPr="00CF3D37">
              <w:rPr>
                <w:rStyle w:val="Strong"/>
                <w:rFonts w:ascii="Aptos Narrow" w:hAnsi="Aptos Narrow"/>
                <w:b w:val="0"/>
                <w:bCs w:val="0"/>
                <w:sz w:val="22"/>
                <w:szCs w:val="22"/>
              </w:rPr>
              <w:t>(Condition of Validity)</w:t>
            </w:r>
          </w:p>
        </w:tc>
        <w:tc>
          <w:tcPr>
            <w:tcW w:w="2070" w:type="dxa"/>
            <w:tcBorders>
              <w:top w:val="single" w:sz="6" w:space="0" w:color="BFBFBF" w:themeColor="background1" w:themeShade="BF"/>
              <w:left w:val="single" w:sz="6" w:space="0" w:color="D9D9D9" w:themeColor="background1" w:themeShade="D9"/>
              <w:bottom w:val="single" w:sz="36" w:space="0" w:color="A6A6A6" w:themeColor="background1" w:themeShade="A6"/>
              <w:right w:val="single" w:sz="6" w:space="0" w:color="D9D9D9" w:themeColor="background1" w:themeShade="D9"/>
            </w:tcBorders>
            <w:shd w:val="clear" w:color="auto" w:fill="F5F5F5"/>
            <w:vAlign w:val="center"/>
            <w:hideMark/>
          </w:tcPr>
          <w:p w14:paraId="3364434B" w14:textId="77777777" w:rsidR="00BF5DC4" w:rsidRPr="00C44093" w:rsidRDefault="00BF5DC4" w:rsidP="00430B63">
            <w:pPr>
              <w:keepNext/>
              <w:keepLines/>
              <w:spacing w:after="0" w:line="240" w:lineRule="auto"/>
              <w:jc w:val="center"/>
              <w:rPr>
                <w:rFonts w:ascii="Aptos Narrow" w:hAnsi="Aptos Narrow"/>
              </w:rPr>
            </w:pPr>
            <w:r w:rsidRPr="00C44093">
              <w:rPr>
                <w:rStyle w:val="Strong"/>
                <w:rFonts w:ascii="Aptos Narrow" w:hAnsi="Aptos Narrow"/>
              </w:rPr>
              <w:t xml:space="preserve">Why It Is </w:t>
            </w:r>
            <w:r>
              <w:rPr>
                <w:rStyle w:val="Strong"/>
                <w:rFonts w:ascii="Aptos Narrow" w:hAnsi="Aptos Narrow"/>
              </w:rPr>
              <w:br/>
            </w:r>
            <w:r w:rsidRPr="00C44093">
              <w:rPr>
                <w:rStyle w:val="Strong"/>
                <w:rFonts w:ascii="Aptos Narrow" w:hAnsi="Aptos Narrow"/>
              </w:rPr>
              <w:t>Required</w:t>
            </w:r>
          </w:p>
        </w:tc>
        <w:tc>
          <w:tcPr>
            <w:tcW w:w="1890" w:type="dxa"/>
            <w:tcBorders>
              <w:top w:val="single" w:sz="6" w:space="0" w:color="BFBFBF" w:themeColor="background1" w:themeShade="BF"/>
              <w:left w:val="single" w:sz="6" w:space="0" w:color="D9D9D9" w:themeColor="background1" w:themeShade="D9"/>
              <w:bottom w:val="single" w:sz="36" w:space="0" w:color="A6A6A6" w:themeColor="background1" w:themeShade="A6"/>
              <w:right w:val="single" w:sz="6" w:space="0" w:color="BFBFBF" w:themeColor="background1" w:themeShade="BF"/>
            </w:tcBorders>
            <w:shd w:val="clear" w:color="auto" w:fill="F5F5F5"/>
            <w:vAlign w:val="center"/>
            <w:hideMark/>
          </w:tcPr>
          <w:p w14:paraId="28766F96" w14:textId="77777777" w:rsidR="00BF5DC4" w:rsidRPr="00C44093" w:rsidRDefault="00BF5DC4" w:rsidP="00430B63">
            <w:pPr>
              <w:pStyle w:val="TableHeader"/>
            </w:pPr>
            <w:r w:rsidRPr="00C44093">
              <w:rPr>
                <w:rStyle w:val="Strong"/>
                <w:sz w:val="24"/>
                <w:szCs w:val="24"/>
              </w:rPr>
              <w:t xml:space="preserve">What Fails </w:t>
            </w:r>
            <w:r>
              <w:rPr>
                <w:rStyle w:val="Strong"/>
                <w:sz w:val="24"/>
                <w:szCs w:val="24"/>
              </w:rPr>
              <w:br/>
            </w:r>
            <w:r w:rsidRPr="00C44093">
              <w:rPr>
                <w:rStyle w:val="Strong"/>
                <w:sz w:val="24"/>
                <w:szCs w:val="24"/>
              </w:rPr>
              <w:t>If Violated</w:t>
            </w:r>
          </w:p>
        </w:tc>
      </w:tr>
      <w:tr w:rsidR="00BF5DC4" w:rsidRPr="003942E7" w14:paraId="25D981AD" w14:textId="77777777" w:rsidTr="00430B63">
        <w:trPr>
          <w:trHeight w:val="1395"/>
        </w:trPr>
        <w:tc>
          <w:tcPr>
            <w:tcW w:w="622" w:type="dxa"/>
            <w:tcBorders>
              <w:top w:val="single" w:sz="36" w:space="0" w:color="A6A6A6" w:themeColor="background1" w:themeShade="A6"/>
              <w:left w:val="single" w:sz="6" w:space="0" w:color="BFBFBF" w:themeColor="background1" w:themeShade="BF"/>
              <w:bottom w:val="single" w:sz="6" w:space="0" w:color="BFBFBF" w:themeColor="background1" w:themeShade="BF"/>
            </w:tcBorders>
            <w:shd w:val="clear" w:color="auto" w:fill="000000" w:themeFill="text1"/>
            <w:vAlign w:val="center"/>
          </w:tcPr>
          <w:p w14:paraId="38017FF6" w14:textId="77777777" w:rsidR="00BF5DC4" w:rsidRPr="00D629B8" w:rsidRDefault="00BF5DC4" w:rsidP="00430B63">
            <w:pPr>
              <w:pStyle w:val="TableHeader"/>
              <w:rPr>
                <w:rStyle w:val="Strong"/>
                <w:color w:val="FFFFFF" w:themeColor="background1"/>
              </w:rPr>
            </w:pPr>
            <w:r w:rsidRPr="00D629B8">
              <w:rPr>
                <w:rStyle w:val="Strong"/>
                <w:color w:val="FFFFFF" w:themeColor="background1"/>
              </w:rPr>
              <w:t>D1</w:t>
            </w:r>
          </w:p>
        </w:tc>
        <w:tc>
          <w:tcPr>
            <w:tcW w:w="1620" w:type="dxa"/>
            <w:tcBorders>
              <w:top w:val="single" w:sz="36" w:space="0" w:color="A6A6A6" w:themeColor="background1" w:themeShade="A6"/>
              <w:left w:val="single" w:sz="6" w:space="0" w:color="E6E6E6"/>
              <w:bottom w:val="single" w:sz="6" w:space="0" w:color="BFBFBF" w:themeColor="background1" w:themeShade="BF"/>
              <w:right w:val="single" w:sz="6" w:space="0" w:color="BFBFBF" w:themeColor="background1" w:themeShade="BF"/>
            </w:tcBorders>
            <w:shd w:val="clear" w:color="auto" w:fill="F5F5F5"/>
            <w:vAlign w:val="center"/>
            <w:hideMark/>
          </w:tcPr>
          <w:p w14:paraId="2C96D616" w14:textId="77777777" w:rsidR="00BF5DC4" w:rsidRPr="00C44093" w:rsidRDefault="00BF5DC4" w:rsidP="00430B63">
            <w:pPr>
              <w:spacing w:after="0" w:line="240" w:lineRule="auto"/>
              <w:jc w:val="center"/>
              <w:rPr>
                <w:rFonts w:ascii="Aptos Narrow" w:hAnsi="Aptos Narrow"/>
              </w:rPr>
            </w:pPr>
            <w:r w:rsidRPr="00C44093">
              <w:rPr>
                <w:rStyle w:val="Strong"/>
                <w:rFonts w:ascii="Aptos Narrow" w:hAnsi="Aptos Narrow"/>
              </w:rPr>
              <w:t>Instrument Validity</w:t>
            </w:r>
          </w:p>
        </w:tc>
        <w:tc>
          <w:tcPr>
            <w:tcW w:w="3150" w:type="dxa"/>
            <w:tcBorders>
              <w:top w:val="single" w:sz="36" w:space="0" w:color="A6A6A6" w:themeColor="background1" w:themeShade="A6"/>
              <w:left w:val="single" w:sz="6" w:space="0" w:color="BFBFBF" w:themeColor="background1" w:themeShade="BF"/>
              <w:bottom w:val="single" w:sz="6" w:space="0" w:color="D9D9D9" w:themeColor="background1" w:themeShade="D9"/>
              <w:right w:val="single" w:sz="6" w:space="0" w:color="E6E6E6"/>
            </w:tcBorders>
            <w:vAlign w:val="center"/>
            <w:hideMark/>
          </w:tcPr>
          <w:p w14:paraId="319FDC0A" w14:textId="77777777" w:rsidR="00BF5DC4" w:rsidRPr="003B615A" w:rsidRDefault="00BF5DC4" w:rsidP="00430B63">
            <w:pPr>
              <w:pStyle w:val="TableText"/>
              <w:rPr>
                <w:sz w:val="22"/>
                <w:szCs w:val="22"/>
              </w:rPr>
            </w:pPr>
            <w:r w:rsidRPr="003B615A">
              <w:rPr>
                <w:sz w:val="22"/>
                <w:szCs w:val="22"/>
              </w:rPr>
              <w:t>Identification of α as LATE/CACE requires a valid instrument satisfying relevance, exclusion, independence, and monotonicity.</w:t>
            </w:r>
          </w:p>
        </w:tc>
        <w:tc>
          <w:tcPr>
            <w:tcW w:w="2070" w:type="dxa"/>
            <w:tcBorders>
              <w:top w:val="single" w:sz="36" w:space="0" w:color="A6A6A6" w:themeColor="background1" w:themeShade="A6"/>
              <w:left w:val="single" w:sz="6" w:space="0" w:color="E6E6E6"/>
              <w:bottom w:val="single" w:sz="6" w:space="0" w:color="D9D9D9" w:themeColor="background1" w:themeShade="D9"/>
              <w:right w:val="single" w:sz="6" w:space="0" w:color="E6E6E6"/>
            </w:tcBorders>
            <w:vAlign w:val="center"/>
            <w:hideMark/>
          </w:tcPr>
          <w:p w14:paraId="5CC94180" w14:textId="77777777" w:rsidR="00BF5DC4" w:rsidRPr="003B615A" w:rsidRDefault="00BF5DC4" w:rsidP="00430B63">
            <w:pPr>
              <w:pStyle w:val="TableText"/>
              <w:rPr>
                <w:sz w:val="22"/>
                <w:szCs w:val="22"/>
              </w:rPr>
            </w:pPr>
            <w:r w:rsidRPr="003B615A">
              <w:rPr>
                <w:sz w:val="22"/>
                <w:szCs w:val="22"/>
              </w:rPr>
              <w:t>Separates biological efficacy from selection.</w:t>
            </w:r>
          </w:p>
        </w:tc>
        <w:tc>
          <w:tcPr>
            <w:tcW w:w="1890" w:type="dxa"/>
            <w:tcBorders>
              <w:top w:val="single" w:sz="36" w:space="0" w:color="A6A6A6" w:themeColor="background1" w:themeShade="A6"/>
              <w:left w:val="single" w:sz="6" w:space="0" w:color="E6E6E6"/>
              <w:bottom w:val="single" w:sz="6" w:space="0" w:color="D9D9D9" w:themeColor="background1" w:themeShade="D9"/>
              <w:right w:val="single" w:sz="6" w:space="0" w:color="BFBFBF" w:themeColor="background1" w:themeShade="BF"/>
            </w:tcBorders>
            <w:vAlign w:val="center"/>
            <w:hideMark/>
          </w:tcPr>
          <w:p w14:paraId="2FE2AB7C" w14:textId="77777777" w:rsidR="00BF5DC4" w:rsidRPr="003B615A" w:rsidRDefault="00BF5DC4" w:rsidP="00430B63">
            <w:pPr>
              <w:pStyle w:val="TableText"/>
              <w:rPr>
                <w:sz w:val="22"/>
                <w:szCs w:val="22"/>
              </w:rPr>
            </w:pPr>
            <w:r w:rsidRPr="003B615A">
              <w:rPr>
                <w:sz w:val="22"/>
                <w:szCs w:val="22"/>
              </w:rPr>
              <w:t xml:space="preserve">α conflates biology with choice; </w:t>
            </w:r>
            <w:r w:rsidRPr="003B615A">
              <w:rPr>
                <w:sz w:val="22"/>
                <w:szCs w:val="22"/>
              </w:rPr>
              <w:br/>
              <w:t>β is uninterpretable.</w:t>
            </w:r>
          </w:p>
        </w:tc>
      </w:tr>
      <w:tr w:rsidR="00BF5DC4" w:rsidRPr="003942E7" w14:paraId="5E12FA3C" w14:textId="77777777" w:rsidTr="00430B63">
        <w:tc>
          <w:tcPr>
            <w:tcW w:w="622" w:type="dxa"/>
            <w:tcBorders>
              <w:top w:val="single" w:sz="6" w:space="0" w:color="BFBFBF" w:themeColor="background1" w:themeShade="BF"/>
              <w:left w:val="single" w:sz="6" w:space="0" w:color="BFBFBF" w:themeColor="background1" w:themeShade="BF"/>
              <w:bottom w:val="single" w:sz="6" w:space="0" w:color="BFBFBF" w:themeColor="background1" w:themeShade="BF"/>
            </w:tcBorders>
            <w:shd w:val="clear" w:color="auto" w:fill="000000" w:themeFill="text1"/>
            <w:vAlign w:val="center"/>
          </w:tcPr>
          <w:p w14:paraId="24508438" w14:textId="77777777" w:rsidR="00BF5DC4" w:rsidRPr="00D629B8" w:rsidRDefault="00BF5DC4" w:rsidP="00430B63">
            <w:pPr>
              <w:pStyle w:val="TableHeader"/>
              <w:rPr>
                <w:rStyle w:val="Strong"/>
                <w:color w:val="FFFFFF" w:themeColor="background1"/>
              </w:rPr>
            </w:pPr>
            <w:r w:rsidRPr="00D629B8">
              <w:rPr>
                <w:rStyle w:val="Strong"/>
                <w:color w:val="FFFFFF" w:themeColor="background1"/>
              </w:rPr>
              <w:t>D2</w:t>
            </w:r>
          </w:p>
        </w:tc>
        <w:tc>
          <w:tcPr>
            <w:tcW w:w="1620" w:type="dxa"/>
            <w:tcBorders>
              <w:top w:val="single" w:sz="6" w:space="0" w:color="BFBFBF" w:themeColor="background1" w:themeShade="BF"/>
              <w:left w:val="single" w:sz="6" w:space="0" w:color="E6E6E6"/>
              <w:bottom w:val="single" w:sz="6" w:space="0" w:color="BFBFBF" w:themeColor="background1" w:themeShade="BF"/>
              <w:right w:val="single" w:sz="6" w:space="0" w:color="BFBFBF" w:themeColor="background1" w:themeShade="BF"/>
            </w:tcBorders>
            <w:shd w:val="clear" w:color="auto" w:fill="F5F5F5"/>
            <w:vAlign w:val="center"/>
            <w:hideMark/>
          </w:tcPr>
          <w:p w14:paraId="3FED1EED" w14:textId="1EEBD67A" w:rsidR="00BF5DC4" w:rsidRPr="00C44093" w:rsidRDefault="00BF5DC4" w:rsidP="00430B63">
            <w:pPr>
              <w:spacing w:after="0" w:line="240" w:lineRule="auto"/>
              <w:jc w:val="center"/>
              <w:rPr>
                <w:rFonts w:ascii="Aptos Narrow" w:hAnsi="Aptos Narrow"/>
              </w:rPr>
            </w:pPr>
            <w:r w:rsidRPr="00C44093">
              <w:rPr>
                <w:rStyle w:val="Strong"/>
                <w:rFonts w:ascii="Aptos Narrow" w:hAnsi="Aptos Narrow"/>
              </w:rPr>
              <w:t xml:space="preserve">Elicitation </w:t>
            </w:r>
            <w:r>
              <w:rPr>
                <w:rStyle w:val="Strong"/>
                <w:rFonts w:ascii="Aptos Narrow" w:hAnsi="Aptos Narrow"/>
              </w:rPr>
              <w:br/>
            </w:r>
            <w:r w:rsidRPr="00C44093">
              <w:rPr>
                <w:rStyle w:val="Strong"/>
                <w:rFonts w:ascii="Aptos Narrow" w:hAnsi="Aptos Narrow"/>
              </w:rPr>
              <w:t>Non</w:t>
            </w:r>
            <w:r w:rsidR="00AB5CE1">
              <w:rPr>
                <w:rStyle w:val="Strong"/>
                <w:rFonts w:ascii="Aptos Narrow" w:hAnsi="Aptos Narrow"/>
              </w:rPr>
              <w:t>-</w:t>
            </w:r>
            <w:r w:rsidRPr="00C44093">
              <w:rPr>
                <w:rStyle w:val="Strong"/>
                <w:rFonts w:ascii="Aptos Narrow" w:hAnsi="Aptos Narrow"/>
              </w:rPr>
              <w:t>Interference</w:t>
            </w:r>
          </w:p>
        </w:tc>
        <w:tc>
          <w:tcPr>
            <w:tcW w:w="3150" w:type="dxa"/>
            <w:tcBorders>
              <w:top w:val="single" w:sz="6" w:space="0" w:color="D9D9D9" w:themeColor="background1" w:themeShade="D9"/>
              <w:left w:val="single" w:sz="6" w:space="0" w:color="BFBFBF" w:themeColor="background1" w:themeShade="BF"/>
              <w:bottom w:val="single" w:sz="6" w:space="0" w:color="D9D9D9" w:themeColor="background1" w:themeShade="D9"/>
              <w:right w:val="single" w:sz="6" w:space="0" w:color="E6E6E6"/>
            </w:tcBorders>
            <w:vAlign w:val="center"/>
            <w:hideMark/>
          </w:tcPr>
          <w:p w14:paraId="06C847FD" w14:textId="77777777" w:rsidR="00BF5DC4" w:rsidRPr="003B615A" w:rsidRDefault="00BF5DC4" w:rsidP="00430B63">
            <w:pPr>
              <w:pStyle w:val="TableText"/>
              <w:rPr>
                <w:sz w:val="22"/>
                <w:szCs w:val="22"/>
              </w:rPr>
            </w:pPr>
            <w:r w:rsidRPr="003B615A">
              <w:rPr>
                <w:sz w:val="22"/>
                <w:szCs w:val="22"/>
              </w:rPr>
              <w:t>Preference elicitation must be neutral, symmetric, and timed so as not to influence choice.</w:t>
            </w:r>
          </w:p>
        </w:tc>
        <w:tc>
          <w:tcPr>
            <w:tcW w:w="2070" w:type="dxa"/>
            <w:tcBorders>
              <w:top w:val="single" w:sz="6" w:space="0" w:color="D9D9D9" w:themeColor="background1" w:themeShade="D9"/>
              <w:left w:val="single" w:sz="6" w:space="0" w:color="E6E6E6"/>
              <w:bottom w:val="single" w:sz="6" w:space="0" w:color="D9D9D9" w:themeColor="background1" w:themeShade="D9"/>
              <w:right w:val="single" w:sz="6" w:space="0" w:color="E6E6E6"/>
            </w:tcBorders>
            <w:vAlign w:val="center"/>
            <w:hideMark/>
          </w:tcPr>
          <w:p w14:paraId="4C7E58E0" w14:textId="77777777" w:rsidR="00BF5DC4" w:rsidRPr="003B615A" w:rsidRDefault="00BF5DC4" w:rsidP="00430B63">
            <w:pPr>
              <w:pStyle w:val="TableText"/>
              <w:rPr>
                <w:sz w:val="22"/>
                <w:szCs w:val="22"/>
              </w:rPr>
            </w:pPr>
            <w:r w:rsidRPr="003B615A">
              <w:rPr>
                <w:sz w:val="22"/>
                <w:szCs w:val="22"/>
              </w:rPr>
              <w:t>Preserves exclusion by keeping measurement distinct from treatment.</w:t>
            </w:r>
          </w:p>
        </w:tc>
        <w:tc>
          <w:tcPr>
            <w:tcW w:w="1890" w:type="dxa"/>
            <w:tcBorders>
              <w:top w:val="single" w:sz="6" w:space="0" w:color="D9D9D9" w:themeColor="background1" w:themeShade="D9"/>
              <w:left w:val="single" w:sz="6" w:space="0" w:color="E6E6E6"/>
              <w:bottom w:val="single" w:sz="6" w:space="0" w:color="D9D9D9" w:themeColor="background1" w:themeShade="D9"/>
              <w:right w:val="single" w:sz="6" w:space="0" w:color="BFBFBF" w:themeColor="background1" w:themeShade="BF"/>
            </w:tcBorders>
            <w:vAlign w:val="center"/>
            <w:hideMark/>
          </w:tcPr>
          <w:p w14:paraId="26246A69" w14:textId="77777777" w:rsidR="00BF5DC4" w:rsidRPr="003B615A" w:rsidRDefault="00BF5DC4" w:rsidP="00430B63">
            <w:pPr>
              <w:pStyle w:val="TableText"/>
              <w:rPr>
                <w:sz w:val="22"/>
                <w:szCs w:val="22"/>
              </w:rPr>
            </w:pPr>
            <w:r w:rsidRPr="003B615A">
              <w:rPr>
                <w:sz w:val="22"/>
                <w:szCs w:val="22"/>
              </w:rPr>
              <w:t xml:space="preserve">β is contaminated by persuasion; </w:t>
            </w:r>
            <w:r w:rsidRPr="003B615A">
              <w:rPr>
                <w:sz w:val="22"/>
                <w:szCs w:val="22"/>
              </w:rPr>
              <w:br/>
              <w:t>literacy effects are misattributed.</w:t>
            </w:r>
          </w:p>
        </w:tc>
      </w:tr>
      <w:tr w:rsidR="00BF5DC4" w:rsidRPr="003942E7" w14:paraId="45EB229C" w14:textId="77777777" w:rsidTr="00430B63">
        <w:tc>
          <w:tcPr>
            <w:tcW w:w="622" w:type="dxa"/>
            <w:tcBorders>
              <w:top w:val="single" w:sz="6" w:space="0" w:color="BFBFBF" w:themeColor="background1" w:themeShade="BF"/>
              <w:left w:val="single" w:sz="6" w:space="0" w:color="BFBFBF" w:themeColor="background1" w:themeShade="BF"/>
              <w:bottom w:val="single" w:sz="6" w:space="0" w:color="BFBFBF" w:themeColor="background1" w:themeShade="BF"/>
            </w:tcBorders>
            <w:shd w:val="clear" w:color="auto" w:fill="000000" w:themeFill="text1"/>
            <w:vAlign w:val="center"/>
          </w:tcPr>
          <w:p w14:paraId="1916C390" w14:textId="77777777" w:rsidR="00BF5DC4" w:rsidRPr="00D629B8" w:rsidRDefault="00BF5DC4" w:rsidP="00430B63">
            <w:pPr>
              <w:pStyle w:val="TableHeader"/>
              <w:rPr>
                <w:rStyle w:val="Strong"/>
                <w:color w:val="FFFFFF" w:themeColor="background1"/>
              </w:rPr>
            </w:pPr>
            <w:r w:rsidRPr="00D629B8">
              <w:rPr>
                <w:rStyle w:val="Strong"/>
                <w:color w:val="FFFFFF" w:themeColor="background1"/>
              </w:rPr>
              <w:t>D3</w:t>
            </w:r>
          </w:p>
        </w:tc>
        <w:tc>
          <w:tcPr>
            <w:tcW w:w="1620" w:type="dxa"/>
            <w:tcBorders>
              <w:top w:val="single" w:sz="6" w:space="0" w:color="BFBFBF" w:themeColor="background1" w:themeShade="BF"/>
              <w:left w:val="single" w:sz="6" w:space="0" w:color="E6E6E6"/>
              <w:bottom w:val="single" w:sz="6" w:space="0" w:color="BFBFBF" w:themeColor="background1" w:themeShade="BF"/>
              <w:right w:val="single" w:sz="6" w:space="0" w:color="BFBFBF" w:themeColor="background1" w:themeShade="BF"/>
            </w:tcBorders>
            <w:shd w:val="clear" w:color="auto" w:fill="F5F5F5"/>
            <w:vAlign w:val="center"/>
            <w:hideMark/>
          </w:tcPr>
          <w:p w14:paraId="19593725" w14:textId="77777777" w:rsidR="00BF5DC4" w:rsidRPr="00C44093" w:rsidRDefault="00BF5DC4" w:rsidP="00430B63">
            <w:pPr>
              <w:spacing w:after="0" w:line="240" w:lineRule="auto"/>
              <w:jc w:val="center"/>
              <w:rPr>
                <w:rFonts w:ascii="Aptos Narrow" w:hAnsi="Aptos Narrow"/>
              </w:rPr>
            </w:pPr>
            <w:r w:rsidRPr="00C44093">
              <w:rPr>
                <w:rStyle w:val="Strong"/>
                <w:rFonts w:ascii="Aptos Narrow" w:hAnsi="Aptos Narrow"/>
              </w:rPr>
              <w:t>Provenance &amp; Uncertainty Discipline</w:t>
            </w:r>
          </w:p>
        </w:tc>
        <w:tc>
          <w:tcPr>
            <w:tcW w:w="3150" w:type="dxa"/>
            <w:tcBorders>
              <w:top w:val="single" w:sz="6" w:space="0" w:color="D9D9D9" w:themeColor="background1" w:themeShade="D9"/>
              <w:left w:val="single" w:sz="6" w:space="0" w:color="BFBFBF" w:themeColor="background1" w:themeShade="BF"/>
              <w:bottom w:val="single" w:sz="6" w:space="0" w:color="BFBFBF" w:themeColor="background1" w:themeShade="BF"/>
              <w:right w:val="single" w:sz="6" w:space="0" w:color="E6E6E6"/>
            </w:tcBorders>
            <w:vAlign w:val="center"/>
            <w:hideMark/>
          </w:tcPr>
          <w:p w14:paraId="0EA53307" w14:textId="77777777" w:rsidR="00BF5DC4" w:rsidRPr="003B615A" w:rsidRDefault="00BF5DC4" w:rsidP="00430B63">
            <w:pPr>
              <w:pStyle w:val="TableText"/>
              <w:rPr>
                <w:sz w:val="22"/>
                <w:szCs w:val="22"/>
              </w:rPr>
            </w:pPr>
            <w:r w:rsidRPr="003B615A">
              <w:rPr>
                <w:sz w:val="22"/>
                <w:szCs w:val="22"/>
              </w:rPr>
              <w:t>Estimates must declare assumptions, diagnostics, and sensitivity.</w:t>
            </w:r>
          </w:p>
        </w:tc>
        <w:tc>
          <w:tcPr>
            <w:tcW w:w="2070" w:type="dxa"/>
            <w:tcBorders>
              <w:top w:val="single" w:sz="6" w:space="0" w:color="D9D9D9" w:themeColor="background1" w:themeShade="D9"/>
              <w:left w:val="single" w:sz="6" w:space="0" w:color="E6E6E6"/>
              <w:bottom w:val="single" w:sz="6" w:space="0" w:color="BFBFBF" w:themeColor="background1" w:themeShade="BF"/>
              <w:right w:val="single" w:sz="6" w:space="0" w:color="E6E6E6"/>
            </w:tcBorders>
            <w:vAlign w:val="center"/>
            <w:hideMark/>
          </w:tcPr>
          <w:p w14:paraId="72A349F0" w14:textId="77777777" w:rsidR="00BF5DC4" w:rsidRPr="003B615A" w:rsidRDefault="00BF5DC4" w:rsidP="00430B63">
            <w:pPr>
              <w:pStyle w:val="TableText"/>
              <w:rPr>
                <w:sz w:val="22"/>
                <w:szCs w:val="22"/>
              </w:rPr>
            </w:pPr>
            <w:r w:rsidRPr="003B615A">
              <w:rPr>
                <w:sz w:val="22"/>
                <w:szCs w:val="22"/>
              </w:rPr>
              <w:t>Prevents misclassification due to weak identification or overconfidence.</w:t>
            </w:r>
          </w:p>
        </w:tc>
        <w:tc>
          <w:tcPr>
            <w:tcW w:w="1890" w:type="dxa"/>
            <w:tcBorders>
              <w:top w:val="single" w:sz="6" w:space="0" w:color="D9D9D9" w:themeColor="background1" w:themeShade="D9"/>
              <w:left w:val="single" w:sz="6" w:space="0" w:color="E6E6E6"/>
              <w:bottom w:val="single" w:sz="6" w:space="0" w:color="BFBFBF" w:themeColor="background1" w:themeShade="BF"/>
              <w:right w:val="single" w:sz="6" w:space="0" w:color="BFBFBF" w:themeColor="background1" w:themeShade="BF"/>
            </w:tcBorders>
            <w:vAlign w:val="center"/>
            <w:hideMark/>
          </w:tcPr>
          <w:p w14:paraId="7D587771" w14:textId="7A1D9346" w:rsidR="00BF5DC4" w:rsidRPr="003B615A" w:rsidRDefault="00BF5DC4" w:rsidP="00430B63">
            <w:pPr>
              <w:pStyle w:val="TableText"/>
              <w:rPr>
                <w:sz w:val="22"/>
                <w:szCs w:val="22"/>
              </w:rPr>
            </w:pPr>
            <w:r w:rsidRPr="003B615A">
              <w:rPr>
                <w:sz w:val="22"/>
                <w:szCs w:val="22"/>
              </w:rPr>
              <w:t xml:space="preserve">Spurious </w:t>
            </w:r>
            <w:r w:rsidRPr="003B615A">
              <w:rPr>
                <w:sz w:val="22"/>
                <w:szCs w:val="22"/>
              </w:rPr>
              <w:br/>
              <w:t>α</w:t>
            </w:r>
            <w:r w:rsidR="00AB5CE1">
              <w:rPr>
                <w:rFonts w:ascii="Cambria Math" w:hAnsi="Cambria Math" w:cs="Cambria Math"/>
                <w:sz w:val="22"/>
                <w:szCs w:val="22"/>
              </w:rPr>
              <w:t>-</w:t>
            </w:r>
            <w:r w:rsidRPr="003B615A">
              <w:rPr>
                <w:sz w:val="22"/>
                <w:szCs w:val="22"/>
              </w:rPr>
              <w:t xml:space="preserve"> or </w:t>
            </w:r>
            <w:r w:rsidRPr="003B615A">
              <w:rPr>
                <w:rFonts w:cs="Aptos Narrow"/>
                <w:sz w:val="22"/>
                <w:szCs w:val="22"/>
              </w:rPr>
              <w:t>β</w:t>
            </w:r>
            <w:r w:rsidR="00AB5CE1">
              <w:rPr>
                <w:rFonts w:ascii="Cambria Math" w:hAnsi="Cambria Math" w:cs="Cambria Math"/>
                <w:sz w:val="22"/>
                <w:szCs w:val="22"/>
              </w:rPr>
              <w:t>-</w:t>
            </w:r>
            <w:r w:rsidRPr="003B615A">
              <w:rPr>
                <w:sz w:val="22"/>
                <w:szCs w:val="22"/>
              </w:rPr>
              <w:t>dominance.</w:t>
            </w:r>
          </w:p>
        </w:tc>
      </w:tr>
    </w:tbl>
    <w:p w14:paraId="689B9E8D" w14:textId="3715A99A" w:rsidR="00BF5DC4" w:rsidRPr="00E940D7" w:rsidRDefault="00BF5DC4" w:rsidP="00BF5DC4">
      <w:pPr>
        <w:pStyle w:val="FigureCaption"/>
      </w:pPr>
      <w:r w:rsidRPr="002D1714">
        <w:t>These constraints specify the conditions under which the axioms in Table</w:t>
      </w:r>
      <w:r w:rsidRPr="002D1714">
        <w:rPr>
          <w:rFonts w:ascii="Arial" w:hAnsi="Arial" w:cs="Arial"/>
        </w:rPr>
        <w:t> </w:t>
      </w:r>
      <w:r>
        <w:t>S1a</w:t>
      </w:r>
      <w:r w:rsidRPr="002D1714">
        <w:t xml:space="preserve"> can be operationalized without bias, misidentification, or over</w:t>
      </w:r>
      <w:r w:rsidR="00AB5CE1">
        <w:rPr>
          <w:rFonts w:ascii="Cambria Math" w:hAnsi="Cambria Math" w:cs="Cambria Math"/>
        </w:rPr>
        <w:t>-</w:t>
      </w:r>
      <w:r w:rsidRPr="002D1714">
        <w:t>interpretation. While the axioms describe the structure of preference</w:t>
      </w:r>
      <w:r w:rsidR="00AB5CE1">
        <w:rPr>
          <w:rFonts w:ascii="Cambria Math" w:hAnsi="Cambria Math" w:cs="Cambria Math"/>
        </w:rPr>
        <w:t>-</w:t>
      </w:r>
      <w:r w:rsidRPr="002D1714">
        <w:t>sensitive outcomes, the constraints govern when that structure can be reliably inferred from data. Violations do not falsify the axioms; they limit the conclusions that may be drawn.</w:t>
      </w:r>
    </w:p>
    <w:p w14:paraId="351E65EF" w14:textId="77777777" w:rsidR="00BF5DC4" w:rsidRPr="00730EFA" w:rsidRDefault="00BF5DC4" w:rsidP="005F469E">
      <w:pPr>
        <w:pStyle w:val="Heading1"/>
        <w:pageBreakBefore w:val="0"/>
        <w:jc w:val="left"/>
        <w:rPr>
          <w:sz w:val="36"/>
          <w:szCs w:val="36"/>
        </w:rPr>
      </w:pPr>
      <w:bookmarkStart w:id="1" w:name="_Toc230299590"/>
      <w:r>
        <w:rPr>
          <w:b/>
          <w:bCs/>
        </w:rPr>
        <w:t xml:space="preserve">S2 </w:t>
      </w:r>
      <w:r w:rsidRPr="00D65076">
        <w:rPr>
          <w:sz w:val="36"/>
          <w:szCs w:val="36"/>
        </w:rPr>
        <w:t>Canonical Estimands</w:t>
      </w:r>
      <w:bookmarkEnd w:id="1"/>
    </w:p>
    <w:p w14:paraId="6A394C13" w14:textId="22B688FA" w:rsidR="00BF5DC4" w:rsidRDefault="00BF5DC4" w:rsidP="00BF5DC4">
      <w:r>
        <w:t>We define a set of canonical causal estimands, listed in Table S2a, that render the axioms (A1–A5) operational while preserving clinical interpretability under the design constraints (D1–D3). These estimands separate biological and preference</w:t>
      </w:r>
      <w:r>
        <w:rPr>
          <w:rFonts w:ascii="Cambria Math" w:hAnsi="Cambria Math" w:cs="Cambria Math"/>
        </w:rPr>
        <w:t>‑</w:t>
      </w:r>
      <w:r>
        <w:t>mediated contributions to outcomes (Dual Causation A1), enforce alignment between estimand and observable data under nonadherence (Estimand</w:t>
      </w:r>
      <w:r w:rsidR="00AB5CE1">
        <w:t>-</w:t>
      </w:r>
      <w:r>
        <w:t>Data Concordance A2), and ensure that interpretation can proceed on a common clinical outcome scale (MCID Discipline A3).</w:t>
      </w:r>
    </w:p>
    <w:p w14:paraId="33287555" w14:textId="77777777" w:rsidR="00BF5DC4" w:rsidRDefault="00BF5DC4" w:rsidP="00BF5DC4">
      <w:r>
        <w:t>The biological treatment effect (α) is reported as the intention</w:t>
      </w:r>
      <w:r>
        <w:rPr>
          <w:rFonts w:ascii="Cambria Math" w:hAnsi="Cambria Math" w:cs="Cambria Math"/>
        </w:rPr>
        <w:t>‑</w:t>
      </w:r>
      <w:r>
        <w:t>to</w:t>
      </w:r>
      <w:r>
        <w:rPr>
          <w:rFonts w:ascii="Cambria Math" w:hAnsi="Cambria Math" w:cs="Cambria Math"/>
        </w:rPr>
        <w:t>‑</w:t>
      </w:r>
      <w:r>
        <w:t xml:space="preserve">treat (ITT) effect and, when nonadherence is present, as the local average treatment effect (LATE/CACE) identified using </w:t>
      </w:r>
      <w:r>
        <w:lastRenderedPageBreak/>
        <w:t>instrumental variables, subject to instrument validity and diagnostic requirements (Identifiability Before Optimization A5; Instrument Validity D1).</w:t>
      </w:r>
      <w:r>
        <w:rPr>
          <w:vertAlign w:val="superscript"/>
        </w:rPr>
        <w:t>S2</w:t>
      </w:r>
      <w:r>
        <w:t xml:space="preserve"> The net biological contrast (Δα) is defined as the difference between competing options on the same causal scale and represents the comparative effect targeted in randomized trials.</w:t>
      </w:r>
    </w:p>
    <w:p w14:paraId="3229FE18" w14:textId="77777777" w:rsidR="00BF5DC4" w:rsidRPr="003942E7" w:rsidRDefault="00BF5DC4" w:rsidP="00BF5DC4">
      <w:r>
        <w:t>The preference</w:t>
      </w:r>
      <w:r>
        <w:rPr>
          <w:rFonts w:ascii="Cambria Math" w:hAnsi="Cambria Math" w:cs="Cambria Math"/>
        </w:rPr>
        <w:t>‑</w:t>
      </w:r>
      <w:r>
        <w:t>mediated effect (</w:t>
      </w:r>
      <w:r>
        <w:rPr>
          <w:rFonts w:ascii="Aptos" w:hAnsi="Aptos" w:cs="Aptos"/>
        </w:rPr>
        <w:t>β</w:t>
      </w:r>
      <w:r>
        <w:t>) is defined as the residual divergence between the observational (as</w:t>
      </w:r>
      <w:r>
        <w:rPr>
          <w:rFonts w:ascii="Cambria Math" w:hAnsi="Cambria Math" w:cs="Cambria Math"/>
        </w:rPr>
        <w:t>‑</w:t>
      </w:r>
      <w:r>
        <w:t>treated) contrast and the causally identified biological contrast:</w:t>
      </w:r>
      <w:r w:rsidRPr="00DC4CD2">
        <w:rPr>
          <w:vertAlign w:val="superscript"/>
        </w:rPr>
        <w:t>S3,S4</w:t>
      </w:r>
    </w:p>
    <w:p w14:paraId="1005ABC0" w14:textId="77777777" w:rsidR="00BF5DC4" w:rsidRPr="00D629B8" w:rsidRDefault="00BF5DC4" w:rsidP="00BF5DC4">
      <w:pPr>
        <w:rPr>
          <w:rFonts w:ascii="Times New Roman" w:eastAsiaTheme="minorEastAsia" w:hAnsi="Times New Roman" w:cs="Times New Roman"/>
          <w:sz w:val="28"/>
          <w:szCs w:val="28"/>
        </w:rPr>
      </w:pPr>
      <m:oMathPara>
        <m:oMath>
          <m:r>
            <w:rPr>
              <w:rFonts w:ascii="Cambria Math" w:hAnsi="Cambria Math" w:cs="Times New Roman"/>
              <w:sz w:val="28"/>
              <w:szCs w:val="28"/>
            </w:rPr>
            <m:t xml:space="preserve">β = ∆OBS - </m:t>
          </m:r>
          <m:r>
            <m:rPr>
              <m:sty m:val="p"/>
            </m:rPr>
            <w:rPr>
              <w:rFonts w:ascii="Cambria Math" w:hAnsi="Cambria Math" w:cs="Times New Roman"/>
              <w:sz w:val="28"/>
              <w:szCs w:val="28"/>
            </w:rPr>
            <m:t>Δ</m:t>
          </m:r>
          <m:sSub>
            <m:sSubPr>
              <m:ctrlPr>
                <w:rPr>
                  <w:rFonts w:ascii="Cambria Math" w:hAnsi="Cambria Math" w:cs="Times New Roman"/>
                  <w:sz w:val="28"/>
                  <w:szCs w:val="28"/>
                </w:rPr>
              </m:ctrlPr>
            </m:sSubPr>
            <m:e>
              <m:r>
                <w:rPr>
                  <w:rFonts w:ascii="Cambria Math" w:hAnsi="Cambria Math" w:cs="Times New Roman"/>
                  <w:sz w:val="28"/>
                  <w:szCs w:val="28"/>
                </w:rPr>
                <m:t>α</m:t>
              </m:r>
            </m:e>
            <m:sub>
              <m:r>
                <m:rPr>
                  <m:nor/>
                </m:rPr>
                <w:rPr>
                  <w:rFonts w:ascii="Times New Roman" w:hAnsi="Times New Roman" w:cs="Times New Roman"/>
                  <w:sz w:val="28"/>
                  <w:szCs w:val="28"/>
                </w:rPr>
                <m:t>causal</m:t>
              </m:r>
            </m:sub>
          </m:sSub>
        </m:oMath>
      </m:oMathPara>
    </w:p>
    <w:p w14:paraId="449A8DBC" w14:textId="6BD5CD4D" w:rsidR="00BF5DC4" w:rsidRDefault="00BF5DC4" w:rsidP="00BF5DC4">
      <w:r>
        <w:t>β therefore captures the outcome</w:t>
      </w:r>
      <w:r>
        <w:rPr>
          <w:rFonts w:ascii="Cambria Math" w:hAnsi="Cambria Math" w:cs="Cambria Math"/>
        </w:rPr>
        <w:t>‑</w:t>
      </w:r>
      <w:r>
        <w:t xml:space="preserve">relevant contribution of treatment selection under preference (Dual Causation A1), conditional on valid identification of </w:t>
      </w:r>
      <w:r>
        <w:rPr>
          <w:rFonts w:ascii="Aptos" w:hAnsi="Aptos" w:cs="Aptos"/>
        </w:rPr>
        <w:t>α</w:t>
      </w:r>
      <w:r>
        <w:t xml:space="preserve"> and concordance of causal and observational contrasts (Estimand</w:t>
      </w:r>
      <w:r w:rsidR="00AB5CE1">
        <w:t>-</w:t>
      </w:r>
      <w:r>
        <w:t xml:space="preserve">Data Concordance A2, Identifiability Before Optimization A5). Because </w:t>
      </w:r>
      <w:r>
        <w:rPr>
          <w:rFonts w:ascii="Aptos" w:hAnsi="Aptos" w:cs="Aptos"/>
        </w:rPr>
        <w:t>β</w:t>
      </w:r>
      <w:r>
        <w:t xml:space="preserve"> depends on the same outcome scale, its interpretation requires valid measurement conditions, including neutrality of elicitation and absence of confounding in the observational contrast (D2</w:t>
      </w:r>
      <w:r>
        <w:rPr>
          <w:rFonts w:ascii="Aptos" w:hAnsi="Aptos" w:cs="Aptos"/>
        </w:rPr>
        <w:t>–</w:t>
      </w:r>
      <w:r>
        <w:t>D3).</w:t>
      </w:r>
    </w:p>
    <w:p w14:paraId="783C4CD8" w14:textId="77777777" w:rsidR="00BF5DC4" w:rsidRDefault="00BF5DC4" w:rsidP="00BF5DC4">
      <w:r>
        <w:t>All estimands are reported on a common clinical outcome scale—using continuous or time</w:t>
      </w:r>
      <w:r>
        <w:rPr>
          <w:rFonts w:ascii="Cambria Math" w:hAnsi="Cambria Math" w:cs="Cambria Math"/>
        </w:rPr>
        <w:t>‑</w:t>
      </w:r>
      <w:r>
        <w:t>to</w:t>
      </w:r>
      <w:r>
        <w:rPr>
          <w:rFonts w:ascii="Cambria Math" w:hAnsi="Cambria Math" w:cs="Cambria Math"/>
        </w:rPr>
        <w:t>‑</w:t>
      </w:r>
      <w:r>
        <w:t>event endpoints</w:t>
      </w:r>
      <w:r>
        <w:rPr>
          <w:rFonts w:ascii="Aptos" w:hAnsi="Aptos" w:cs="Aptos"/>
        </w:rPr>
        <w:t>—</w:t>
      </w:r>
      <w:r>
        <w:t xml:space="preserve">so that </w:t>
      </w:r>
      <w:r>
        <w:rPr>
          <w:rFonts w:ascii="Aptos" w:hAnsi="Aptos" w:cs="Aptos"/>
        </w:rPr>
        <w:t>α</w:t>
      </w:r>
      <w:r>
        <w:t xml:space="preserve">, </w:t>
      </w:r>
      <w:r>
        <w:rPr>
          <w:rFonts w:ascii="Aptos" w:hAnsi="Aptos" w:cs="Aptos"/>
        </w:rPr>
        <w:t>Δα</w:t>
      </w:r>
      <w:r>
        <w:t xml:space="preserve">, and </w:t>
      </w:r>
      <w:r>
        <w:rPr>
          <w:rFonts w:ascii="Aptos" w:hAnsi="Aptos" w:cs="Aptos"/>
        </w:rPr>
        <w:t>β</w:t>
      </w:r>
      <w:r>
        <w:t xml:space="preserve"> are directly comparable and interpretable relative to a prespecified minimal clinically important difference (MCID), ensuring clinical materiality (A3). This alignment allows the joint structure (Δα, β) to be evaluated and routed according to the Regime Rule (A4).</w:t>
      </w:r>
    </w:p>
    <w:p w14:paraId="3C5CFBB8" w14:textId="77777777" w:rsidR="00BF5DC4" w:rsidRPr="003942E7" w:rsidRDefault="00BF5DC4" w:rsidP="00BF5DC4">
      <w:r>
        <w:t>This formulation replaces fragmented ITT, per</w:t>
      </w:r>
      <w:r>
        <w:rPr>
          <w:rFonts w:ascii="Cambria Math" w:hAnsi="Cambria Math" w:cs="Cambria Math"/>
        </w:rPr>
        <w:t>‑</w:t>
      </w:r>
      <w:r>
        <w:t>protocol, and observational reporting by making explicit the causal quantities that enter regime classification. Interpretation is subsequently governed by diagnostic and rule</w:t>
      </w:r>
      <w:r>
        <w:rPr>
          <w:rFonts w:ascii="Cambria Math" w:hAnsi="Cambria Math" w:cs="Cambria Math"/>
        </w:rPr>
        <w:t>‑</w:t>
      </w:r>
      <w:r>
        <w:t>based criteria anchored in identifiability (A5), measurement validity (D2), and uncertainty discipline (D3), rather than by estimands alone.</w:t>
      </w:r>
    </w:p>
    <w:p w14:paraId="5631A86B" w14:textId="77777777" w:rsidR="00BF5DC4" w:rsidRPr="003942E7" w:rsidRDefault="00BF5DC4" w:rsidP="00BF5DC4"/>
    <w:p w14:paraId="4A170443" w14:textId="0E040346" w:rsidR="00BF5DC4" w:rsidRPr="00D363CA" w:rsidRDefault="00BF5DC4" w:rsidP="00BF5DC4">
      <w:pPr>
        <w:pStyle w:val="FigureTitle"/>
      </w:pPr>
      <w:r w:rsidRPr="00D363CA">
        <w:rPr>
          <w:rStyle w:val="Strong"/>
        </w:rPr>
        <w:lastRenderedPageBreak/>
        <w:t xml:space="preserve">Table </w:t>
      </w:r>
      <w:r>
        <w:rPr>
          <w:rStyle w:val="Strong"/>
        </w:rPr>
        <w:t>S2a</w:t>
      </w:r>
      <w:r>
        <w:rPr>
          <w:rStyle w:val="Strong"/>
          <w:b w:val="0"/>
          <w:bCs w:val="0"/>
        </w:rPr>
        <w:t>.</w:t>
      </w:r>
      <w:r w:rsidRPr="00D363CA">
        <w:rPr>
          <w:rStyle w:val="Strong"/>
          <w:b w:val="0"/>
          <w:bCs w:val="0"/>
        </w:rPr>
        <w:t xml:space="preserve"> Canonical Co</w:t>
      </w:r>
      <w:r w:rsidR="00AB5CE1">
        <w:rPr>
          <w:rStyle w:val="Strong"/>
          <w:b w:val="0"/>
          <w:bCs w:val="0"/>
        </w:rPr>
        <w:t>-</w:t>
      </w:r>
      <w:r w:rsidRPr="00D363CA">
        <w:rPr>
          <w:rStyle w:val="Strong"/>
          <w:b w:val="0"/>
          <w:bCs w:val="0"/>
        </w:rPr>
        <w:t xml:space="preserve">Estimands: </w:t>
      </w:r>
      <w:r>
        <w:rPr>
          <w:rStyle w:val="Strong"/>
          <w:b w:val="0"/>
          <w:bCs w:val="0"/>
        </w:rPr>
        <w:br/>
        <w:t>t</w:t>
      </w:r>
      <w:r w:rsidRPr="00D363CA">
        <w:rPr>
          <w:rStyle w:val="Strong"/>
          <w:b w:val="0"/>
          <w:bCs w:val="0"/>
        </w:rPr>
        <w:t xml:space="preserve">he </w:t>
      </w:r>
      <w:r>
        <w:rPr>
          <w:rStyle w:val="Strong"/>
          <w:b w:val="0"/>
          <w:bCs w:val="0"/>
        </w:rPr>
        <w:t>B</w:t>
      </w:r>
      <w:r w:rsidRPr="00D363CA">
        <w:rPr>
          <w:rStyle w:val="Strong"/>
          <w:b w:val="0"/>
          <w:bCs w:val="0"/>
        </w:rPr>
        <w:t xml:space="preserve">iological </w:t>
      </w:r>
      <w:r>
        <w:rPr>
          <w:rStyle w:val="Strong"/>
          <w:b w:val="0"/>
          <w:bCs w:val="0"/>
        </w:rPr>
        <w:t>E</w:t>
      </w:r>
      <w:r w:rsidRPr="00D363CA">
        <w:rPr>
          <w:rStyle w:val="Strong"/>
          <w:b w:val="0"/>
          <w:bCs w:val="0"/>
        </w:rPr>
        <w:t xml:space="preserve">ffect (α), the </w:t>
      </w:r>
      <w:r>
        <w:rPr>
          <w:rStyle w:val="Strong"/>
          <w:b w:val="0"/>
          <w:bCs w:val="0"/>
        </w:rPr>
        <w:t>N</w:t>
      </w:r>
      <w:r w:rsidRPr="00D363CA">
        <w:rPr>
          <w:rStyle w:val="Strong"/>
          <w:b w:val="0"/>
          <w:bCs w:val="0"/>
        </w:rPr>
        <w:t xml:space="preserve">et </w:t>
      </w:r>
      <w:r>
        <w:rPr>
          <w:rStyle w:val="Strong"/>
          <w:b w:val="0"/>
          <w:bCs w:val="0"/>
        </w:rPr>
        <w:t>C</w:t>
      </w:r>
      <w:r w:rsidRPr="00D363CA">
        <w:rPr>
          <w:rStyle w:val="Strong"/>
          <w:b w:val="0"/>
          <w:bCs w:val="0"/>
        </w:rPr>
        <w:t>ontrast (</w:t>
      </w:r>
      <w:r w:rsidR="00476EDB">
        <w:rPr>
          <w:rStyle w:val="Strong"/>
          <w:rFonts w:ascii="Cambria Math" w:hAnsi="Cambria Math" w:cs="Cambria Math"/>
          <w:b w:val="0"/>
          <w:bCs w:val="0"/>
        </w:rPr>
        <w:t>∣Δα∣</w:t>
      </w:r>
      <w:r w:rsidRPr="00D363CA">
        <w:rPr>
          <w:rStyle w:val="Strong"/>
          <w:b w:val="0"/>
          <w:bCs w:val="0"/>
        </w:rPr>
        <w:t xml:space="preserve">), and the </w:t>
      </w:r>
      <w:r>
        <w:rPr>
          <w:rStyle w:val="Strong"/>
          <w:b w:val="0"/>
          <w:bCs w:val="0"/>
        </w:rPr>
        <w:t>C</w:t>
      </w:r>
      <w:r w:rsidRPr="00D363CA">
        <w:rPr>
          <w:rStyle w:val="Strong"/>
          <w:b w:val="0"/>
          <w:bCs w:val="0"/>
        </w:rPr>
        <w:t xml:space="preserve">hoice </w:t>
      </w:r>
      <w:r>
        <w:rPr>
          <w:rStyle w:val="Strong"/>
          <w:b w:val="0"/>
          <w:bCs w:val="0"/>
        </w:rPr>
        <w:t>E</w:t>
      </w:r>
      <w:r w:rsidRPr="00D363CA">
        <w:rPr>
          <w:rStyle w:val="Strong"/>
          <w:b w:val="0"/>
          <w:bCs w:val="0"/>
        </w:rPr>
        <w:t>ffect (β)</w:t>
      </w:r>
    </w:p>
    <w:tbl>
      <w:tblPr>
        <w:tblW w:w="0" w:type="auto"/>
        <w:jc w:val="center"/>
        <w:tblBorders>
          <w:top w:val="single" w:sz="6" w:space="0" w:color="auto"/>
          <w:left w:val="single" w:sz="6" w:space="0" w:color="auto"/>
          <w:bottom w:val="single" w:sz="6" w:space="0" w:color="auto"/>
          <w:right w:val="single" w:sz="6" w:space="0" w:color="auto"/>
        </w:tblBorders>
        <w:tblLayout w:type="fixed"/>
        <w:tblCellMar>
          <w:top w:w="15" w:type="dxa"/>
          <w:left w:w="15" w:type="dxa"/>
          <w:bottom w:w="15" w:type="dxa"/>
          <w:right w:w="15" w:type="dxa"/>
        </w:tblCellMar>
        <w:tblLook w:val="04A0" w:firstRow="1" w:lastRow="0" w:firstColumn="1" w:lastColumn="0" w:noHBand="0" w:noVBand="1"/>
      </w:tblPr>
      <w:tblGrid>
        <w:gridCol w:w="1342"/>
        <w:gridCol w:w="2265"/>
        <w:gridCol w:w="1875"/>
        <w:gridCol w:w="1718"/>
        <w:gridCol w:w="2144"/>
      </w:tblGrid>
      <w:tr w:rsidR="00BF5DC4" w:rsidRPr="003942E7" w14:paraId="66D4D322" w14:textId="77777777" w:rsidTr="00430B63">
        <w:trPr>
          <w:jc w:val="center"/>
        </w:trPr>
        <w:tc>
          <w:tcPr>
            <w:tcW w:w="1342" w:type="dxa"/>
            <w:tcBorders>
              <w:top w:val="single" w:sz="6" w:space="0" w:color="A6A6A6" w:themeColor="background1" w:themeShade="A6"/>
              <w:left w:val="single" w:sz="6" w:space="0" w:color="A6A6A6" w:themeColor="background1" w:themeShade="A6"/>
              <w:bottom w:val="single" w:sz="36" w:space="0" w:color="A6A6A6" w:themeColor="background1" w:themeShade="A6"/>
            </w:tcBorders>
            <w:shd w:val="clear" w:color="auto" w:fill="F5F5F5"/>
            <w:vAlign w:val="bottom"/>
            <w:hideMark/>
          </w:tcPr>
          <w:p w14:paraId="700B4DB0" w14:textId="77777777" w:rsidR="00BF5DC4" w:rsidRPr="00230053" w:rsidRDefault="00BF5DC4" w:rsidP="00430B63">
            <w:pPr>
              <w:pStyle w:val="TableHeader"/>
              <w:spacing w:before="120" w:after="120"/>
              <w:rPr>
                <w:rFonts w:cs="Times New Roman"/>
              </w:rPr>
            </w:pPr>
            <w:r w:rsidRPr="00230053">
              <w:rPr>
                <w:rStyle w:val="Strong"/>
              </w:rPr>
              <w:t>Quantity</w:t>
            </w:r>
          </w:p>
        </w:tc>
        <w:tc>
          <w:tcPr>
            <w:tcW w:w="2265" w:type="dxa"/>
            <w:tcBorders>
              <w:top w:val="single" w:sz="6" w:space="0" w:color="A6A6A6" w:themeColor="background1" w:themeShade="A6"/>
              <w:bottom w:val="single" w:sz="36" w:space="0" w:color="A6A6A6" w:themeColor="background1" w:themeShade="A6"/>
            </w:tcBorders>
            <w:shd w:val="clear" w:color="auto" w:fill="F5F5F5"/>
            <w:vAlign w:val="bottom"/>
            <w:hideMark/>
          </w:tcPr>
          <w:p w14:paraId="7CB0407C" w14:textId="77777777" w:rsidR="00BF5DC4" w:rsidRPr="003942E7" w:rsidRDefault="00BF5DC4" w:rsidP="00430B63">
            <w:pPr>
              <w:pStyle w:val="TableHeader"/>
              <w:spacing w:before="120" w:after="120"/>
            </w:pPr>
            <w:r w:rsidRPr="00230053">
              <w:rPr>
                <w:rStyle w:val="Strong"/>
              </w:rPr>
              <w:t>Definition</w:t>
            </w:r>
            <w:r w:rsidRPr="003942E7">
              <w:rPr>
                <w:rStyle w:val="Strong"/>
                <w:b w:val="0"/>
                <w:bCs w:val="0"/>
                <w:sz w:val="22"/>
                <w:szCs w:val="22"/>
              </w:rPr>
              <w:br/>
              <w:t>(clinical scale)</w:t>
            </w:r>
          </w:p>
        </w:tc>
        <w:tc>
          <w:tcPr>
            <w:tcW w:w="1875" w:type="dxa"/>
            <w:tcBorders>
              <w:top w:val="single" w:sz="6" w:space="0" w:color="A6A6A6" w:themeColor="background1" w:themeShade="A6"/>
              <w:bottom w:val="single" w:sz="36" w:space="0" w:color="A6A6A6" w:themeColor="background1" w:themeShade="A6"/>
            </w:tcBorders>
            <w:shd w:val="clear" w:color="auto" w:fill="F5F5F5"/>
            <w:vAlign w:val="bottom"/>
            <w:hideMark/>
          </w:tcPr>
          <w:p w14:paraId="10A6D674" w14:textId="77777777" w:rsidR="00BF5DC4" w:rsidRPr="00230053" w:rsidRDefault="00BF5DC4" w:rsidP="00430B63">
            <w:pPr>
              <w:pStyle w:val="TableHeader"/>
              <w:spacing w:before="120" w:after="120"/>
            </w:pPr>
            <w:r w:rsidRPr="00230053">
              <w:rPr>
                <w:rStyle w:val="Strong"/>
              </w:rPr>
              <w:t>Estimator(s)</w:t>
            </w:r>
          </w:p>
        </w:tc>
        <w:tc>
          <w:tcPr>
            <w:tcW w:w="1718" w:type="dxa"/>
            <w:tcBorders>
              <w:top w:val="single" w:sz="6" w:space="0" w:color="A6A6A6" w:themeColor="background1" w:themeShade="A6"/>
              <w:bottom w:val="single" w:sz="36" w:space="0" w:color="A6A6A6" w:themeColor="background1" w:themeShade="A6"/>
            </w:tcBorders>
            <w:shd w:val="clear" w:color="auto" w:fill="F5F5F5"/>
            <w:vAlign w:val="bottom"/>
            <w:hideMark/>
          </w:tcPr>
          <w:p w14:paraId="6B7DC7ED" w14:textId="77777777" w:rsidR="00BF5DC4" w:rsidRPr="00230053" w:rsidRDefault="00BF5DC4" w:rsidP="00430B63">
            <w:pPr>
              <w:pStyle w:val="TableHeader"/>
              <w:spacing w:before="120" w:after="120"/>
            </w:pPr>
            <w:r w:rsidRPr="00230053">
              <w:rPr>
                <w:rStyle w:val="Strong"/>
              </w:rPr>
              <w:t xml:space="preserve">Key </w:t>
            </w:r>
            <w:r w:rsidRPr="00230053">
              <w:rPr>
                <w:rStyle w:val="Strong"/>
              </w:rPr>
              <w:br/>
              <w:t>Diagnostics</w:t>
            </w:r>
          </w:p>
        </w:tc>
        <w:tc>
          <w:tcPr>
            <w:tcW w:w="2144" w:type="dxa"/>
            <w:tcBorders>
              <w:top w:val="single" w:sz="6" w:space="0" w:color="A6A6A6" w:themeColor="background1" w:themeShade="A6"/>
              <w:bottom w:val="single" w:sz="36" w:space="0" w:color="A6A6A6" w:themeColor="background1" w:themeShade="A6"/>
              <w:right w:val="single" w:sz="6" w:space="0" w:color="A6A6A6" w:themeColor="background1" w:themeShade="A6"/>
            </w:tcBorders>
            <w:shd w:val="clear" w:color="auto" w:fill="F5F5F5"/>
            <w:vAlign w:val="bottom"/>
            <w:hideMark/>
          </w:tcPr>
          <w:p w14:paraId="536BBA3F" w14:textId="77777777" w:rsidR="00BF5DC4" w:rsidRPr="00230053" w:rsidRDefault="00BF5DC4" w:rsidP="00430B63">
            <w:pPr>
              <w:pStyle w:val="TableHeader"/>
              <w:spacing w:before="120" w:after="120"/>
            </w:pPr>
            <w:r w:rsidRPr="00230053">
              <w:rPr>
                <w:rStyle w:val="Strong"/>
              </w:rPr>
              <w:t>Interpretive Role</w:t>
            </w:r>
          </w:p>
        </w:tc>
      </w:tr>
      <w:tr w:rsidR="00BF5DC4" w:rsidRPr="00230053" w14:paraId="677C3AE8" w14:textId="77777777" w:rsidTr="00430B63">
        <w:trPr>
          <w:jc w:val="center"/>
        </w:trPr>
        <w:tc>
          <w:tcPr>
            <w:tcW w:w="9344" w:type="dxa"/>
            <w:gridSpan w:val="5"/>
            <w:tcBorders>
              <w:top w:val="single" w:sz="36" w:space="0" w:color="A6A6A6" w:themeColor="background1" w:themeShade="A6"/>
              <w:bottom w:val="single" w:sz="6" w:space="0" w:color="A6A6A6" w:themeColor="background1" w:themeShade="A6"/>
            </w:tcBorders>
            <w:shd w:val="clear" w:color="auto" w:fill="000000" w:themeFill="text1"/>
            <w:vAlign w:val="center"/>
          </w:tcPr>
          <w:p w14:paraId="0DB4ADCD" w14:textId="77777777" w:rsidR="00BF5DC4" w:rsidRPr="00230053" w:rsidRDefault="00BF5DC4" w:rsidP="00430B63">
            <w:pPr>
              <w:pStyle w:val="TableText"/>
              <w:spacing w:beforeLines="40" w:before="96" w:afterLines="40" w:after="96"/>
              <w:rPr>
                <w:b/>
                <w:bCs/>
                <w:color w:val="FFFFFF" w:themeColor="background1"/>
                <w:sz w:val="24"/>
                <w:szCs w:val="24"/>
              </w:rPr>
            </w:pPr>
            <w:r>
              <w:rPr>
                <w:b/>
                <w:bCs/>
                <w:color w:val="FFFFFF" w:themeColor="background1"/>
                <w:sz w:val="24"/>
                <w:szCs w:val="24"/>
              </w:rPr>
              <w:t xml:space="preserve">Biological (Treatment) </w:t>
            </w:r>
            <w:r w:rsidRPr="002E5764">
              <w:rPr>
                <w:color w:val="FFFFFF" w:themeColor="background1"/>
                <w:sz w:val="24"/>
                <w:szCs w:val="24"/>
              </w:rPr>
              <w:t>Estimands</w:t>
            </w:r>
          </w:p>
        </w:tc>
      </w:tr>
      <w:tr w:rsidR="00BF5DC4" w:rsidRPr="00230053" w14:paraId="48607F26" w14:textId="77777777" w:rsidTr="00430B63">
        <w:trPr>
          <w:jc w:val="center"/>
        </w:trPr>
        <w:tc>
          <w:tcPr>
            <w:tcW w:w="1342" w:type="dxa"/>
            <w:tcBorders>
              <w:top w:val="single" w:sz="6" w:space="0" w:color="A6A6A6" w:themeColor="background1" w:themeShade="A6"/>
              <w:bottom w:val="single" w:sz="6" w:space="0" w:color="F2F2F2" w:themeColor="background1" w:themeShade="F2"/>
              <w:right w:val="single" w:sz="6" w:space="0" w:color="F2F2F2" w:themeColor="background1" w:themeShade="F2"/>
            </w:tcBorders>
            <w:shd w:val="clear" w:color="auto" w:fill="000000" w:themeFill="text1"/>
            <w:vAlign w:val="center"/>
            <w:hideMark/>
          </w:tcPr>
          <w:p w14:paraId="23ECC148" w14:textId="77777777" w:rsidR="00BF5DC4" w:rsidRPr="0039205C" w:rsidRDefault="00BF5DC4" w:rsidP="00430B63">
            <w:pPr>
              <w:pStyle w:val="TableHeader"/>
              <w:spacing w:beforeLines="40" w:before="96" w:afterLines="40" w:after="96"/>
              <w:ind w:left="144" w:right="144"/>
              <w:rPr>
                <w:color w:val="FFFFFF" w:themeColor="background1"/>
              </w:rPr>
            </w:pPr>
            <w:r w:rsidRPr="0039205C">
              <w:rPr>
                <w:rStyle w:val="Strong"/>
                <w:color w:val="FFFFFF" w:themeColor="background1"/>
              </w:rPr>
              <w:t xml:space="preserve">α </w:t>
            </w:r>
            <w:r>
              <w:rPr>
                <w:rStyle w:val="Strong"/>
                <w:color w:val="FFFFFF" w:themeColor="background1"/>
              </w:rPr>
              <w:br/>
            </w:r>
            <w:r w:rsidRPr="0039205C">
              <w:rPr>
                <w:rStyle w:val="Strong"/>
                <w:color w:val="FFFFFF" w:themeColor="background1"/>
              </w:rPr>
              <w:t>(ITT)</w:t>
            </w:r>
          </w:p>
        </w:tc>
        <w:tc>
          <w:tcPr>
            <w:tcW w:w="2265" w:type="dxa"/>
            <w:tcBorders>
              <w:top w:val="single" w:sz="6" w:space="0" w:color="A6A6A6" w:themeColor="background1" w:themeShade="A6"/>
              <w:left w:val="single" w:sz="6" w:space="0" w:color="F2F2F2" w:themeColor="background1" w:themeShade="F2"/>
              <w:bottom w:val="single" w:sz="6" w:space="0" w:color="F2F2F2" w:themeColor="background1" w:themeShade="F2"/>
              <w:right w:val="single" w:sz="6" w:space="0" w:color="F2F2F2" w:themeColor="background1" w:themeShade="F2"/>
            </w:tcBorders>
            <w:shd w:val="clear" w:color="auto" w:fill="000000" w:themeFill="text1"/>
            <w:vAlign w:val="center"/>
            <w:hideMark/>
          </w:tcPr>
          <w:p w14:paraId="4CBFA951" w14:textId="77777777" w:rsidR="00BF5DC4" w:rsidRPr="0039205C" w:rsidRDefault="00BF5DC4" w:rsidP="00430B63">
            <w:pPr>
              <w:pStyle w:val="TableText"/>
              <w:spacing w:beforeLines="40" w:before="96" w:afterLines="40" w:after="96"/>
              <w:ind w:left="144" w:right="144"/>
              <w:rPr>
                <w:color w:val="FFFFFF" w:themeColor="background1"/>
                <w:sz w:val="22"/>
                <w:szCs w:val="22"/>
              </w:rPr>
            </w:pPr>
            <w:r w:rsidRPr="0039205C">
              <w:rPr>
                <w:color w:val="FFFFFF" w:themeColor="background1"/>
                <w:sz w:val="22"/>
                <w:szCs w:val="22"/>
              </w:rPr>
              <w:t xml:space="preserve">Effect of </w:t>
            </w:r>
            <w:r w:rsidRPr="0039205C">
              <w:rPr>
                <w:color w:val="FFFFFF" w:themeColor="background1"/>
                <w:sz w:val="22"/>
                <w:szCs w:val="22"/>
              </w:rPr>
              <w:br/>
              <w:t xml:space="preserve">assignment </w:t>
            </w:r>
            <w:r w:rsidRPr="0039205C">
              <w:rPr>
                <w:color w:val="FFFFFF" w:themeColor="background1"/>
                <w:sz w:val="22"/>
                <w:szCs w:val="22"/>
              </w:rPr>
              <w:br/>
              <w:t>to treatment</w:t>
            </w:r>
          </w:p>
        </w:tc>
        <w:tc>
          <w:tcPr>
            <w:tcW w:w="1875" w:type="dxa"/>
            <w:tcBorders>
              <w:top w:val="single" w:sz="6" w:space="0" w:color="A6A6A6" w:themeColor="background1" w:themeShade="A6"/>
              <w:left w:val="single" w:sz="6" w:space="0" w:color="F2F2F2" w:themeColor="background1" w:themeShade="F2"/>
              <w:bottom w:val="single" w:sz="6" w:space="0" w:color="F2F2F2" w:themeColor="background1" w:themeShade="F2"/>
              <w:right w:val="single" w:sz="6" w:space="0" w:color="F2F2F2" w:themeColor="background1" w:themeShade="F2"/>
            </w:tcBorders>
            <w:shd w:val="clear" w:color="auto" w:fill="000000" w:themeFill="text1"/>
            <w:vAlign w:val="center"/>
            <w:hideMark/>
          </w:tcPr>
          <w:p w14:paraId="6FCF712C" w14:textId="77777777" w:rsidR="00BF5DC4" w:rsidRPr="0039205C" w:rsidRDefault="00BF5DC4" w:rsidP="00430B63">
            <w:pPr>
              <w:pStyle w:val="TableText"/>
              <w:spacing w:beforeLines="40" w:before="96" w:afterLines="40" w:after="96"/>
              <w:ind w:left="144" w:right="144"/>
              <w:rPr>
                <w:color w:val="FFFFFF" w:themeColor="background1"/>
                <w:sz w:val="22"/>
                <w:szCs w:val="22"/>
              </w:rPr>
            </w:pPr>
            <w:r w:rsidRPr="0039205C">
              <w:rPr>
                <w:color w:val="FFFFFF" w:themeColor="background1"/>
                <w:sz w:val="22"/>
                <w:szCs w:val="22"/>
              </w:rPr>
              <w:t xml:space="preserve">Difference in means; </w:t>
            </w:r>
            <w:r w:rsidRPr="0039205C">
              <w:rPr>
                <w:color w:val="FFFFFF" w:themeColor="background1"/>
                <w:sz w:val="22"/>
                <w:szCs w:val="22"/>
              </w:rPr>
              <w:br/>
              <w:t>Cox, GLM</w:t>
            </w:r>
          </w:p>
        </w:tc>
        <w:tc>
          <w:tcPr>
            <w:tcW w:w="1718" w:type="dxa"/>
            <w:tcBorders>
              <w:top w:val="single" w:sz="6" w:space="0" w:color="A6A6A6" w:themeColor="background1" w:themeShade="A6"/>
              <w:left w:val="single" w:sz="6" w:space="0" w:color="F2F2F2" w:themeColor="background1" w:themeShade="F2"/>
              <w:bottom w:val="single" w:sz="6" w:space="0" w:color="F2F2F2" w:themeColor="background1" w:themeShade="F2"/>
              <w:right w:val="single" w:sz="6" w:space="0" w:color="F2F2F2" w:themeColor="background1" w:themeShade="F2"/>
            </w:tcBorders>
            <w:shd w:val="clear" w:color="auto" w:fill="000000" w:themeFill="text1"/>
            <w:vAlign w:val="center"/>
            <w:hideMark/>
          </w:tcPr>
          <w:p w14:paraId="0435A2A5" w14:textId="77777777" w:rsidR="00BF5DC4" w:rsidRPr="0039205C" w:rsidRDefault="00BF5DC4" w:rsidP="00430B63">
            <w:pPr>
              <w:pStyle w:val="TableText"/>
              <w:spacing w:beforeLines="40" w:before="96" w:afterLines="40" w:after="96"/>
              <w:ind w:left="144" w:right="144"/>
              <w:rPr>
                <w:color w:val="FFFFFF" w:themeColor="background1"/>
                <w:sz w:val="22"/>
                <w:szCs w:val="22"/>
              </w:rPr>
            </w:pPr>
            <w:r w:rsidRPr="0039205C">
              <w:rPr>
                <w:color w:val="FFFFFF" w:themeColor="background1"/>
                <w:sz w:val="22"/>
                <w:szCs w:val="22"/>
              </w:rPr>
              <w:t xml:space="preserve">Randomization </w:t>
            </w:r>
            <w:r w:rsidRPr="0039205C">
              <w:rPr>
                <w:color w:val="FFFFFF" w:themeColor="background1"/>
                <w:sz w:val="22"/>
                <w:szCs w:val="22"/>
              </w:rPr>
              <w:br/>
              <w:t>balance</w:t>
            </w:r>
          </w:p>
        </w:tc>
        <w:tc>
          <w:tcPr>
            <w:tcW w:w="2144" w:type="dxa"/>
            <w:tcBorders>
              <w:top w:val="single" w:sz="6" w:space="0" w:color="A6A6A6" w:themeColor="background1" w:themeShade="A6"/>
              <w:left w:val="single" w:sz="6" w:space="0" w:color="F2F2F2" w:themeColor="background1" w:themeShade="F2"/>
              <w:bottom w:val="single" w:sz="6" w:space="0" w:color="F2F2F2" w:themeColor="background1" w:themeShade="F2"/>
            </w:tcBorders>
            <w:shd w:val="clear" w:color="auto" w:fill="000000" w:themeFill="text1"/>
            <w:vAlign w:val="center"/>
            <w:hideMark/>
          </w:tcPr>
          <w:p w14:paraId="18AD3896" w14:textId="77777777" w:rsidR="00BF5DC4" w:rsidRPr="0039205C" w:rsidRDefault="00BF5DC4" w:rsidP="00430B63">
            <w:pPr>
              <w:pStyle w:val="TableText"/>
              <w:spacing w:beforeLines="40" w:before="96" w:afterLines="40" w:after="96"/>
              <w:ind w:left="144" w:right="144"/>
              <w:rPr>
                <w:color w:val="FFFFFF" w:themeColor="background1"/>
                <w:sz w:val="22"/>
                <w:szCs w:val="22"/>
              </w:rPr>
            </w:pPr>
            <w:r w:rsidRPr="0039205C">
              <w:rPr>
                <w:color w:val="FFFFFF" w:themeColor="background1"/>
                <w:sz w:val="22"/>
                <w:szCs w:val="22"/>
              </w:rPr>
              <w:t>Programmatic effectiveness</w:t>
            </w:r>
          </w:p>
        </w:tc>
      </w:tr>
      <w:tr w:rsidR="00BF5DC4" w:rsidRPr="00230053" w14:paraId="23914F69" w14:textId="77777777" w:rsidTr="00430B63">
        <w:trPr>
          <w:jc w:val="center"/>
        </w:trPr>
        <w:tc>
          <w:tcPr>
            <w:tcW w:w="1342" w:type="dxa"/>
            <w:tcBorders>
              <w:top w:val="single" w:sz="6" w:space="0" w:color="F2F2F2" w:themeColor="background1" w:themeShade="F2"/>
              <w:bottom w:val="single" w:sz="6" w:space="0" w:color="F2F2F2" w:themeColor="background1" w:themeShade="F2"/>
              <w:right w:val="single" w:sz="6" w:space="0" w:color="F2F2F2" w:themeColor="background1" w:themeShade="F2"/>
            </w:tcBorders>
            <w:shd w:val="clear" w:color="auto" w:fill="000000" w:themeFill="text1"/>
            <w:vAlign w:val="center"/>
            <w:hideMark/>
          </w:tcPr>
          <w:p w14:paraId="38FAB889" w14:textId="77777777" w:rsidR="00BF5DC4" w:rsidRPr="0039205C" w:rsidRDefault="00BF5DC4" w:rsidP="00430B63">
            <w:pPr>
              <w:pStyle w:val="TableHeader"/>
              <w:spacing w:beforeLines="40" w:before="96" w:afterLines="40" w:after="96"/>
              <w:ind w:left="144" w:right="144"/>
              <w:rPr>
                <w:color w:val="FFFFFF" w:themeColor="background1"/>
              </w:rPr>
            </w:pPr>
            <w:r w:rsidRPr="0039205C">
              <w:rPr>
                <w:rStyle w:val="Strong"/>
                <w:color w:val="FFFFFF" w:themeColor="background1"/>
              </w:rPr>
              <w:t xml:space="preserve">α </w:t>
            </w:r>
            <w:r>
              <w:rPr>
                <w:rStyle w:val="Strong"/>
                <w:color w:val="FFFFFF" w:themeColor="background1"/>
              </w:rPr>
              <w:br/>
            </w:r>
            <w:r w:rsidRPr="0039205C">
              <w:rPr>
                <w:rStyle w:val="Strong"/>
                <w:color w:val="FFFFFF" w:themeColor="background1"/>
              </w:rPr>
              <w:t>(LATE / CACE)</w:t>
            </w:r>
          </w:p>
        </w:tc>
        <w:tc>
          <w:tcPr>
            <w:tcW w:w="2265" w:type="dxa"/>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shd w:val="clear" w:color="auto" w:fill="000000" w:themeFill="text1"/>
            <w:vAlign w:val="center"/>
            <w:hideMark/>
          </w:tcPr>
          <w:p w14:paraId="0586308C" w14:textId="77777777" w:rsidR="00BF5DC4" w:rsidRPr="0039205C" w:rsidRDefault="00BF5DC4" w:rsidP="00430B63">
            <w:pPr>
              <w:pStyle w:val="TableText"/>
              <w:spacing w:beforeLines="40" w:before="96" w:afterLines="40" w:after="96"/>
              <w:ind w:left="144" w:right="144"/>
              <w:rPr>
                <w:color w:val="FFFFFF" w:themeColor="background1"/>
                <w:sz w:val="22"/>
                <w:szCs w:val="22"/>
              </w:rPr>
            </w:pPr>
            <w:r w:rsidRPr="0039205C">
              <w:rPr>
                <w:color w:val="FFFFFF" w:themeColor="background1"/>
                <w:sz w:val="22"/>
                <w:szCs w:val="22"/>
              </w:rPr>
              <w:t xml:space="preserve">Biological effect </w:t>
            </w:r>
            <w:r w:rsidRPr="0039205C">
              <w:rPr>
                <w:color w:val="FFFFFF" w:themeColor="background1"/>
                <w:sz w:val="22"/>
                <w:szCs w:val="22"/>
              </w:rPr>
              <w:br/>
              <w:t>among compliers</w:t>
            </w:r>
          </w:p>
        </w:tc>
        <w:tc>
          <w:tcPr>
            <w:tcW w:w="1875" w:type="dxa"/>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shd w:val="clear" w:color="auto" w:fill="000000" w:themeFill="text1"/>
            <w:vAlign w:val="center"/>
            <w:hideMark/>
          </w:tcPr>
          <w:p w14:paraId="080116FF" w14:textId="77777777" w:rsidR="00BF5DC4" w:rsidRPr="0039205C" w:rsidRDefault="00BF5DC4" w:rsidP="00430B63">
            <w:pPr>
              <w:pStyle w:val="TableText"/>
              <w:spacing w:beforeLines="40" w:before="96" w:afterLines="40" w:after="96"/>
              <w:ind w:left="144" w:right="144"/>
              <w:rPr>
                <w:color w:val="FFFFFF" w:themeColor="background1"/>
                <w:sz w:val="22"/>
                <w:szCs w:val="22"/>
              </w:rPr>
            </w:pPr>
            <w:r w:rsidRPr="0039205C">
              <w:rPr>
                <w:color w:val="FFFFFF" w:themeColor="background1"/>
                <w:sz w:val="22"/>
                <w:szCs w:val="22"/>
              </w:rPr>
              <w:t>IV / 2SLS;</w:t>
            </w:r>
            <w:r w:rsidRPr="0039205C">
              <w:rPr>
                <w:color w:val="FFFFFF" w:themeColor="background1"/>
                <w:sz w:val="22"/>
                <w:szCs w:val="22"/>
              </w:rPr>
              <w:br/>
              <w:t xml:space="preserve"> CACE</w:t>
            </w:r>
          </w:p>
        </w:tc>
        <w:tc>
          <w:tcPr>
            <w:tcW w:w="1718" w:type="dxa"/>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shd w:val="clear" w:color="auto" w:fill="000000" w:themeFill="text1"/>
            <w:vAlign w:val="center"/>
            <w:hideMark/>
          </w:tcPr>
          <w:p w14:paraId="2CDBE797" w14:textId="175E895D" w:rsidR="00BF5DC4" w:rsidRPr="0039205C" w:rsidRDefault="00BF5DC4" w:rsidP="00430B63">
            <w:pPr>
              <w:pStyle w:val="TableText"/>
              <w:spacing w:beforeLines="40" w:before="96" w:afterLines="40" w:after="96"/>
              <w:ind w:left="144" w:right="144"/>
              <w:rPr>
                <w:color w:val="FFFFFF" w:themeColor="background1"/>
                <w:sz w:val="22"/>
                <w:szCs w:val="22"/>
              </w:rPr>
            </w:pPr>
            <w:r w:rsidRPr="0039205C">
              <w:rPr>
                <w:color w:val="FFFFFF" w:themeColor="background1"/>
                <w:sz w:val="22"/>
                <w:szCs w:val="22"/>
              </w:rPr>
              <w:t>First</w:t>
            </w:r>
            <w:r w:rsidR="00AB5CE1">
              <w:rPr>
                <w:color w:val="FFFFFF" w:themeColor="background1"/>
                <w:sz w:val="22"/>
                <w:szCs w:val="22"/>
              </w:rPr>
              <w:t>-</w:t>
            </w:r>
            <w:r w:rsidRPr="0039205C">
              <w:rPr>
                <w:color w:val="FFFFFF" w:themeColor="background1"/>
                <w:sz w:val="22"/>
                <w:szCs w:val="22"/>
              </w:rPr>
              <w:t xml:space="preserve">stage </w:t>
            </w:r>
            <w:r w:rsidRPr="0039205C">
              <w:rPr>
                <w:i/>
                <w:iCs/>
                <w:color w:val="FFFFFF" w:themeColor="background1"/>
                <w:sz w:val="22"/>
                <w:szCs w:val="22"/>
              </w:rPr>
              <w:t>F</w:t>
            </w:r>
            <w:r w:rsidRPr="0039205C">
              <w:rPr>
                <w:color w:val="FFFFFF" w:themeColor="background1"/>
                <w:sz w:val="22"/>
                <w:szCs w:val="22"/>
              </w:rPr>
              <w:t xml:space="preserve">, </w:t>
            </w:r>
            <w:r w:rsidRPr="0039205C">
              <w:rPr>
                <w:color w:val="FFFFFF" w:themeColor="background1"/>
                <w:sz w:val="22"/>
                <w:szCs w:val="22"/>
              </w:rPr>
              <w:br/>
              <w:t xml:space="preserve">partial </w:t>
            </w:r>
            <w:r w:rsidRPr="0039205C">
              <w:rPr>
                <w:i/>
                <w:iCs/>
                <w:color w:val="FFFFFF" w:themeColor="background1"/>
                <w:sz w:val="22"/>
                <w:szCs w:val="22"/>
              </w:rPr>
              <w:t>R</w:t>
            </w:r>
            <w:r w:rsidRPr="0039205C">
              <w:rPr>
                <w:color w:val="FFFFFF" w:themeColor="background1"/>
                <w:sz w:val="22"/>
                <w:szCs w:val="22"/>
              </w:rPr>
              <w:t xml:space="preserve">²; </w:t>
            </w:r>
            <w:r w:rsidRPr="0039205C">
              <w:rPr>
                <w:color w:val="FFFFFF" w:themeColor="background1"/>
                <w:sz w:val="22"/>
                <w:szCs w:val="22"/>
              </w:rPr>
              <w:br/>
              <w:t>monotonicity</w:t>
            </w:r>
          </w:p>
        </w:tc>
        <w:tc>
          <w:tcPr>
            <w:tcW w:w="2144" w:type="dxa"/>
            <w:tcBorders>
              <w:top w:val="single" w:sz="6" w:space="0" w:color="F2F2F2" w:themeColor="background1" w:themeShade="F2"/>
              <w:left w:val="single" w:sz="6" w:space="0" w:color="F2F2F2" w:themeColor="background1" w:themeShade="F2"/>
              <w:bottom w:val="single" w:sz="6" w:space="0" w:color="F2F2F2" w:themeColor="background1" w:themeShade="F2"/>
            </w:tcBorders>
            <w:shd w:val="clear" w:color="auto" w:fill="000000" w:themeFill="text1"/>
            <w:vAlign w:val="center"/>
            <w:hideMark/>
          </w:tcPr>
          <w:p w14:paraId="0B50531E" w14:textId="77777777" w:rsidR="00BF5DC4" w:rsidRPr="0039205C" w:rsidRDefault="00BF5DC4" w:rsidP="00430B63">
            <w:pPr>
              <w:pStyle w:val="TableText"/>
              <w:spacing w:beforeLines="40" w:before="96" w:afterLines="40" w:after="96"/>
              <w:ind w:left="144" w:right="144"/>
              <w:rPr>
                <w:color w:val="FFFFFF" w:themeColor="background1"/>
                <w:sz w:val="22"/>
                <w:szCs w:val="22"/>
              </w:rPr>
            </w:pPr>
            <w:r w:rsidRPr="0039205C">
              <w:rPr>
                <w:color w:val="FFFFFF" w:themeColor="background1"/>
                <w:sz w:val="22"/>
                <w:szCs w:val="22"/>
              </w:rPr>
              <w:t>True biological efficacy</w:t>
            </w:r>
          </w:p>
        </w:tc>
      </w:tr>
      <w:tr w:rsidR="00BF5DC4" w:rsidRPr="00230053" w14:paraId="3ABAEE14" w14:textId="77777777" w:rsidTr="00430B63">
        <w:trPr>
          <w:jc w:val="center"/>
        </w:trPr>
        <w:tc>
          <w:tcPr>
            <w:tcW w:w="1342" w:type="dxa"/>
            <w:tcBorders>
              <w:top w:val="single" w:sz="6" w:space="0" w:color="F2F2F2" w:themeColor="background1" w:themeShade="F2"/>
              <w:bottom w:val="single" w:sz="6" w:space="0" w:color="F2F2F2" w:themeColor="background1" w:themeShade="F2"/>
              <w:right w:val="single" w:sz="6" w:space="0" w:color="F2F2F2" w:themeColor="background1" w:themeShade="F2"/>
            </w:tcBorders>
            <w:shd w:val="clear" w:color="auto" w:fill="000000" w:themeFill="text1"/>
            <w:vAlign w:val="center"/>
            <w:hideMark/>
          </w:tcPr>
          <w:p w14:paraId="18A03AC0" w14:textId="77777777" w:rsidR="00BF5DC4" w:rsidRPr="0039205C" w:rsidRDefault="00BF5DC4" w:rsidP="00430B63">
            <w:pPr>
              <w:pStyle w:val="TableHeader"/>
              <w:spacing w:beforeLines="40" w:before="96" w:afterLines="40" w:after="96"/>
              <w:ind w:left="144" w:right="144"/>
              <w:rPr>
                <w:color w:val="FFFFFF" w:themeColor="background1"/>
              </w:rPr>
            </w:pPr>
            <w:r w:rsidRPr="0039205C">
              <w:rPr>
                <w:rStyle w:val="Strong"/>
                <w:color w:val="FFFFFF" w:themeColor="background1"/>
              </w:rPr>
              <w:t>Δα</w:t>
            </w:r>
          </w:p>
        </w:tc>
        <w:tc>
          <w:tcPr>
            <w:tcW w:w="2265" w:type="dxa"/>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shd w:val="clear" w:color="auto" w:fill="000000" w:themeFill="text1"/>
            <w:vAlign w:val="center"/>
            <w:hideMark/>
          </w:tcPr>
          <w:p w14:paraId="55FA95CA" w14:textId="77777777" w:rsidR="00BF5DC4" w:rsidRPr="0039205C" w:rsidRDefault="00BF5DC4" w:rsidP="00430B63">
            <w:pPr>
              <w:pStyle w:val="TableText"/>
              <w:spacing w:beforeLines="40" w:before="96" w:afterLines="40" w:after="96"/>
              <w:ind w:left="144" w:right="144"/>
              <w:rPr>
                <w:color w:val="FFFFFF" w:themeColor="background1"/>
                <w:sz w:val="22"/>
                <w:szCs w:val="22"/>
              </w:rPr>
            </w:pPr>
            <w:r w:rsidRPr="0039205C">
              <w:rPr>
                <w:color w:val="FFFFFF" w:themeColor="background1"/>
                <w:sz w:val="22"/>
                <w:szCs w:val="22"/>
              </w:rPr>
              <w:t xml:space="preserve">Net biological </w:t>
            </w:r>
            <w:r w:rsidRPr="0039205C">
              <w:rPr>
                <w:color w:val="FFFFFF" w:themeColor="background1"/>
                <w:sz w:val="22"/>
                <w:szCs w:val="22"/>
              </w:rPr>
              <w:br/>
              <w:t xml:space="preserve">difference </w:t>
            </w:r>
            <w:r w:rsidRPr="0039205C">
              <w:rPr>
                <w:color w:val="FFFFFF" w:themeColor="background1"/>
                <w:sz w:val="22"/>
                <w:szCs w:val="22"/>
              </w:rPr>
              <w:br/>
              <w:t>between options</w:t>
            </w:r>
          </w:p>
        </w:tc>
        <w:tc>
          <w:tcPr>
            <w:tcW w:w="1875" w:type="dxa"/>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shd w:val="clear" w:color="auto" w:fill="000000" w:themeFill="text1"/>
            <w:vAlign w:val="center"/>
            <w:hideMark/>
          </w:tcPr>
          <w:p w14:paraId="09514F83" w14:textId="77777777" w:rsidR="00BF5DC4" w:rsidRPr="00230053" w:rsidRDefault="00BF5DC4" w:rsidP="00430B63">
            <w:pPr>
              <w:pStyle w:val="TableText"/>
              <w:spacing w:beforeLines="40" w:before="96" w:afterLines="40" w:after="96"/>
              <w:ind w:left="144" w:right="144"/>
              <w:rPr>
                <w:color w:val="FFFFFF" w:themeColor="background1"/>
              </w:rPr>
            </w:pPr>
            <w:r w:rsidRPr="00E07569">
              <w:rPr>
                <w:color w:val="FFFFFF" w:themeColor="background1"/>
                <w:sz w:val="24"/>
                <w:szCs w:val="24"/>
              </w:rPr>
              <w:t xml:space="preserve">α₁ − α₀ </w:t>
            </w:r>
            <w:r w:rsidRPr="00E07569">
              <w:rPr>
                <w:color w:val="FFFFFF" w:themeColor="background1"/>
                <w:sz w:val="24"/>
                <w:szCs w:val="24"/>
              </w:rPr>
              <w:br/>
            </w:r>
            <w:r w:rsidRPr="0039205C">
              <w:rPr>
                <w:color w:val="FFFFFF" w:themeColor="background1"/>
              </w:rPr>
              <w:t>same clinical scale</w:t>
            </w:r>
          </w:p>
        </w:tc>
        <w:tc>
          <w:tcPr>
            <w:tcW w:w="1718" w:type="dxa"/>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shd w:val="clear" w:color="auto" w:fill="000000" w:themeFill="text1"/>
            <w:vAlign w:val="center"/>
            <w:hideMark/>
          </w:tcPr>
          <w:p w14:paraId="0F640200" w14:textId="77777777" w:rsidR="00BF5DC4" w:rsidRPr="0039205C" w:rsidRDefault="00BF5DC4" w:rsidP="00430B63">
            <w:pPr>
              <w:pStyle w:val="TableText"/>
              <w:spacing w:beforeLines="40" w:before="96" w:afterLines="40" w:after="96"/>
              <w:ind w:left="144" w:right="144"/>
              <w:rPr>
                <w:color w:val="FFFFFF" w:themeColor="background1"/>
                <w:sz w:val="22"/>
                <w:szCs w:val="22"/>
              </w:rPr>
            </w:pPr>
            <w:r w:rsidRPr="0039205C">
              <w:rPr>
                <w:color w:val="FFFFFF" w:themeColor="background1"/>
                <w:sz w:val="22"/>
                <w:szCs w:val="22"/>
              </w:rPr>
              <w:t>CI vs MCID</w:t>
            </w:r>
          </w:p>
        </w:tc>
        <w:tc>
          <w:tcPr>
            <w:tcW w:w="2144" w:type="dxa"/>
            <w:tcBorders>
              <w:top w:val="single" w:sz="6" w:space="0" w:color="F2F2F2" w:themeColor="background1" w:themeShade="F2"/>
              <w:left w:val="single" w:sz="6" w:space="0" w:color="F2F2F2" w:themeColor="background1" w:themeShade="F2"/>
              <w:bottom w:val="single" w:sz="6" w:space="0" w:color="F2F2F2" w:themeColor="background1" w:themeShade="F2"/>
            </w:tcBorders>
            <w:shd w:val="clear" w:color="auto" w:fill="000000" w:themeFill="text1"/>
            <w:vAlign w:val="center"/>
            <w:hideMark/>
          </w:tcPr>
          <w:p w14:paraId="0AAD7054" w14:textId="432985F4" w:rsidR="00BF5DC4" w:rsidRPr="0039205C" w:rsidRDefault="00BF5DC4" w:rsidP="00430B63">
            <w:pPr>
              <w:pStyle w:val="TableText"/>
              <w:spacing w:beforeLines="40" w:before="96" w:afterLines="40" w:after="96"/>
              <w:ind w:left="144" w:right="144"/>
              <w:rPr>
                <w:color w:val="FFFFFF" w:themeColor="background1"/>
                <w:sz w:val="22"/>
                <w:szCs w:val="22"/>
              </w:rPr>
            </w:pPr>
            <w:r w:rsidRPr="0039205C">
              <w:rPr>
                <w:color w:val="FFFFFF" w:themeColor="background1"/>
                <w:sz w:val="22"/>
                <w:szCs w:val="22"/>
              </w:rPr>
              <w:t xml:space="preserve">Determines </w:t>
            </w:r>
            <w:r>
              <w:rPr>
                <w:color w:val="FFFFFF" w:themeColor="background1"/>
                <w:sz w:val="22"/>
                <w:szCs w:val="22"/>
              </w:rPr>
              <w:br/>
            </w:r>
            <w:r w:rsidRPr="0039205C">
              <w:rPr>
                <w:color w:val="FFFFFF" w:themeColor="background1"/>
                <w:sz w:val="22"/>
                <w:szCs w:val="22"/>
              </w:rPr>
              <w:t>α</w:t>
            </w:r>
            <w:r w:rsidR="00AB5CE1">
              <w:rPr>
                <w:color w:val="FFFFFF" w:themeColor="background1"/>
                <w:sz w:val="22"/>
                <w:szCs w:val="22"/>
              </w:rPr>
              <w:t>-</w:t>
            </w:r>
            <w:r w:rsidRPr="0039205C">
              <w:rPr>
                <w:color w:val="FFFFFF" w:themeColor="background1"/>
                <w:sz w:val="22"/>
                <w:szCs w:val="22"/>
              </w:rPr>
              <w:t>dominance</w:t>
            </w:r>
          </w:p>
        </w:tc>
      </w:tr>
      <w:tr w:rsidR="00BF5DC4" w:rsidRPr="00230053" w14:paraId="188FC341" w14:textId="77777777" w:rsidTr="00430B63">
        <w:trPr>
          <w:jc w:val="center"/>
        </w:trPr>
        <w:tc>
          <w:tcPr>
            <w:tcW w:w="1342" w:type="dxa"/>
            <w:tcBorders>
              <w:top w:val="single" w:sz="6" w:space="0" w:color="F2F2F2" w:themeColor="background1" w:themeShade="F2"/>
              <w:bottom w:val="nil"/>
              <w:right w:val="single" w:sz="6" w:space="0" w:color="F2F2F2" w:themeColor="background1" w:themeShade="F2"/>
            </w:tcBorders>
            <w:shd w:val="clear" w:color="auto" w:fill="000000" w:themeFill="text1"/>
            <w:vAlign w:val="center"/>
            <w:hideMark/>
          </w:tcPr>
          <w:p w14:paraId="304C4B82" w14:textId="77777777" w:rsidR="00BF5DC4" w:rsidRPr="0039205C" w:rsidRDefault="00BF5DC4" w:rsidP="00430B63">
            <w:pPr>
              <w:pStyle w:val="TableHeader"/>
              <w:spacing w:beforeLines="40" w:before="96" w:afterLines="40" w:after="96"/>
              <w:ind w:left="144" w:right="144"/>
              <w:rPr>
                <w:color w:val="FFFFFF" w:themeColor="background1"/>
              </w:rPr>
            </w:pPr>
            <w:r w:rsidRPr="0039205C">
              <w:rPr>
                <w:rStyle w:val="Strong"/>
                <w:color w:val="FFFFFF" w:themeColor="background1"/>
              </w:rPr>
              <w:t>Δ</w:t>
            </w:r>
            <w:r w:rsidRPr="0039205C">
              <w:rPr>
                <w:rStyle w:val="Strong"/>
                <w:color w:val="FFFFFF" w:themeColor="background1"/>
                <w:vertAlign w:val="subscript"/>
              </w:rPr>
              <w:t>OBS</w:t>
            </w:r>
          </w:p>
        </w:tc>
        <w:tc>
          <w:tcPr>
            <w:tcW w:w="2265" w:type="dxa"/>
            <w:tcBorders>
              <w:top w:val="single" w:sz="6" w:space="0" w:color="F2F2F2" w:themeColor="background1" w:themeShade="F2"/>
              <w:left w:val="single" w:sz="6" w:space="0" w:color="F2F2F2" w:themeColor="background1" w:themeShade="F2"/>
              <w:bottom w:val="nil"/>
              <w:right w:val="single" w:sz="6" w:space="0" w:color="F2F2F2" w:themeColor="background1" w:themeShade="F2"/>
            </w:tcBorders>
            <w:shd w:val="clear" w:color="auto" w:fill="000000" w:themeFill="text1"/>
            <w:vAlign w:val="center"/>
            <w:hideMark/>
          </w:tcPr>
          <w:p w14:paraId="79F996AF" w14:textId="6D4BE9DD" w:rsidR="00BF5DC4" w:rsidRPr="0039205C" w:rsidRDefault="00BF5DC4" w:rsidP="00430B63">
            <w:pPr>
              <w:pStyle w:val="TableText"/>
              <w:spacing w:beforeLines="40" w:before="96" w:afterLines="40" w:after="96"/>
              <w:ind w:left="144" w:right="144"/>
              <w:rPr>
                <w:color w:val="FFFFFF" w:themeColor="background1"/>
                <w:sz w:val="22"/>
                <w:szCs w:val="22"/>
              </w:rPr>
            </w:pPr>
            <w:r w:rsidRPr="0039205C">
              <w:rPr>
                <w:color w:val="FFFFFF" w:themeColor="background1"/>
                <w:sz w:val="22"/>
                <w:szCs w:val="22"/>
              </w:rPr>
              <w:t xml:space="preserve">Observational </w:t>
            </w:r>
            <w:r w:rsidRPr="0039205C">
              <w:rPr>
                <w:color w:val="FFFFFF" w:themeColor="background1"/>
                <w:sz w:val="22"/>
                <w:szCs w:val="22"/>
              </w:rPr>
              <w:br/>
              <w:t>(as</w:t>
            </w:r>
            <w:r w:rsidR="00AB5CE1">
              <w:rPr>
                <w:color w:val="FFFFFF" w:themeColor="background1"/>
                <w:sz w:val="22"/>
                <w:szCs w:val="22"/>
              </w:rPr>
              <w:t>-</w:t>
            </w:r>
            <w:r w:rsidRPr="0039205C">
              <w:rPr>
                <w:color w:val="FFFFFF" w:themeColor="background1"/>
                <w:sz w:val="22"/>
                <w:szCs w:val="22"/>
              </w:rPr>
              <w:t xml:space="preserve">treated) </w:t>
            </w:r>
            <w:r w:rsidRPr="0039205C">
              <w:rPr>
                <w:color w:val="FFFFFF" w:themeColor="background1"/>
                <w:sz w:val="22"/>
                <w:szCs w:val="22"/>
              </w:rPr>
              <w:br/>
              <w:t>contrast</w:t>
            </w:r>
          </w:p>
        </w:tc>
        <w:tc>
          <w:tcPr>
            <w:tcW w:w="1875" w:type="dxa"/>
            <w:tcBorders>
              <w:top w:val="single" w:sz="6" w:space="0" w:color="F2F2F2" w:themeColor="background1" w:themeShade="F2"/>
              <w:left w:val="single" w:sz="6" w:space="0" w:color="F2F2F2" w:themeColor="background1" w:themeShade="F2"/>
              <w:bottom w:val="nil"/>
              <w:right w:val="single" w:sz="6" w:space="0" w:color="F2F2F2" w:themeColor="background1" w:themeShade="F2"/>
            </w:tcBorders>
            <w:shd w:val="clear" w:color="auto" w:fill="000000" w:themeFill="text1"/>
            <w:vAlign w:val="center"/>
            <w:hideMark/>
          </w:tcPr>
          <w:p w14:paraId="7716BD51" w14:textId="0601C370" w:rsidR="00BF5DC4" w:rsidRPr="0039205C" w:rsidRDefault="00BF5DC4" w:rsidP="00430B63">
            <w:pPr>
              <w:pStyle w:val="TableText"/>
              <w:spacing w:beforeLines="40" w:before="96" w:afterLines="40" w:after="96"/>
              <w:ind w:left="144" w:right="144"/>
              <w:rPr>
                <w:color w:val="FFFFFF" w:themeColor="background1"/>
                <w:sz w:val="22"/>
                <w:szCs w:val="22"/>
              </w:rPr>
            </w:pPr>
            <w:r w:rsidRPr="0039205C">
              <w:rPr>
                <w:color w:val="FFFFFF" w:themeColor="background1"/>
                <w:sz w:val="22"/>
                <w:szCs w:val="22"/>
              </w:rPr>
              <w:t>Regression</w:t>
            </w:r>
            <w:r w:rsidR="00AB5CE1">
              <w:rPr>
                <w:color w:val="FFFFFF" w:themeColor="background1"/>
                <w:sz w:val="22"/>
                <w:szCs w:val="22"/>
              </w:rPr>
              <w:t>-</w:t>
            </w:r>
            <w:r w:rsidRPr="0039205C">
              <w:rPr>
                <w:color w:val="FFFFFF" w:themeColor="background1"/>
                <w:sz w:val="22"/>
                <w:szCs w:val="22"/>
              </w:rPr>
              <w:br/>
              <w:t>adjusted</w:t>
            </w:r>
          </w:p>
        </w:tc>
        <w:tc>
          <w:tcPr>
            <w:tcW w:w="1718" w:type="dxa"/>
            <w:tcBorders>
              <w:top w:val="single" w:sz="6" w:space="0" w:color="F2F2F2" w:themeColor="background1" w:themeShade="F2"/>
              <w:left w:val="single" w:sz="6" w:space="0" w:color="F2F2F2" w:themeColor="background1" w:themeShade="F2"/>
              <w:bottom w:val="nil"/>
              <w:right w:val="single" w:sz="6" w:space="0" w:color="F2F2F2" w:themeColor="background1" w:themeShade="F2"/>
            </w:tcBorders>
            <w:shd w:val="clear" w:color="auto" w:fill="000000" w:themeFill="text1"/>
            <w:vAlign w:val="center"/>
            <w:hideMark/>
          </w:tcPr>
          <w:p w14:paraId="3E69D578" w14:textId="77777777" w:rsidR="00BF5DC4" w:rsidRPr="0039205C" w:rsidRDefault="00BF5DC4" w:rsidP="00430B63">
            <w:pPr>
              <w:pStyle w:val="TableText"/>
              <w:spacing w:beforeLines="40" w:before="96" w:afterLines="40" w:after="96"/>
              <w:ind w:left="144" w:right="144"/>
              <w:rPr>
                <w:color w:val="FFFFFF" w:themeColor="background1"/>
                <w:sz w:val="22"/>
                <w:szCs w:val="22"/>
              </w:rPr>
            </w:pPr>
            <w:r w:rsidRPr="0039205C">
              <w:rPr>
                <w:color w:val="FFFFFF" w:themeColor="background1"/>
                <w:sz w:val="22"/>
                <w:szCs w:val="22"/>
              </w:rPr>
              <w:t xml:space="preserve">Confounding </w:t>
            </w:r>
            <w:r w:rsidRPr="0039205C">
              <w:rPr>
                <w:color w:val="FFFFFF" w:themeColor="background1"/>
                <w:sz w:val="22"/>
                <w:szCs w:val="22"/>
              </w:rPr>
              <w:br/>
              <w:t>sensitivity</w:t>
            </w:r>
          </w:p>
        </w:tc>
        <w:tc>
          <w:tcPr>
            <w:tcW w:w="2144" w:type="dxa"/>
            <w:tcBorders>
              <w:top w:val="single" w:sz="6" w:space="0" w:color="F2F2F2" w:themeColor="background1" w:themeShade="F2"/>
              <w:left w:val="single" w:sz="6" w:space="0" w:color="F2F2F2" w:themeColor="background1" w:themeShade="F2"/>
              <w:bottom w:val="nil"/>
            </w:tcBorders>
            <w:shd w:val="clear" w:color="auto" w:fill="000000" w:themeFill="text1"/>
            <w:vAlign w:val="center"/>
            <w:hideMark/>
          </w:tcPr>
          <w:p w14:paraId="7D2F3EF9" w14:textId="77777777" w:rsidR="00BF5DC4" w:rsidRPr="0039205C" w:rsidRDefault="00BF5DC4" w:rsidP="00430B63">
            <w:pPr>
              <w:pStyle w:val="TableText"/>
              <w:spacing w:beforeLines="40" w:before="96" w:afterLines="40" w:after="96"/>
              <w:ind w:left="144" w:right="144"/>
              <w:rPr>
                <w:color w:val="FFFFFF" w:themeColor="background1"/>
                <w:sz w:val="22"/>
                <w:szCs w:val="22"/>
              </w:rPr>
            </w:pPr>
            <w:r w:rsidRPr="0039205C">
              <w:rPr>
                <w:color w:val="FFFFFF" w:themeColor="background1"/>
                <w:sz w:val="22"/>
                <w:szCs w:val="22"/>
              </w:rPr>
              <w:t>Raw outcome divergence</w:t>
            </w:r>
          </w:p>
        </w:tc>
      </w:tr>
      <w:tr w:rsidR="00BF5DC4" w:rsidRPr="00230053" w14:paraId="3418BAE2" w14:textId="77777777" w:rsidTr="00430B63">
        <w:trPr>
          <w:jc w:val="center"/>
        </w:trPr>
        <w:tc>
          <w:tcPr>
            <w:tcW w:w="9344" w:type="dxa"/>
            <w:gridSpan w:val="5"/>
            <w:tcBorders>
              <w:top w:val="nil"/>
              <w:bottom w:val="single" w:sz="6" w:space="0" w:color="A6A6A6" w:themeColor="background1" w:themeShade="A6"/>
            </w:tcBorders>
            <w:shd w:val="clear" w:color="auto" w:fill="7030A0"/>
            <w:vAlign w:val="center"/>
          </w:tcPr>
          <w:p w14:paraId="5E42648F" w14:textId="77777777" w:rsidR="00BF5DC4" w:rsidRPr="00230053" w:rsidRDefault="00BF5DC4" w:rsidP="00430B63">
            <w:pPr>
              <w:pStyle w:val="TableText"/>
              <w:spacing w:beforeLines="40" w:before="96" w:afterLines="40" w:after="96"/>
              <w:ind w:left="144" w:right="144"/>
              <w:rPr>
                <w:b/>
                <w:bCs/>
                <w:color w:val="FFFFFF" w:themeColor="background1"/>
                <w:sz w:val="24"/>
                <w:szCs w:val="24"/>
              </w:rPr>
            </w:pPr>
            <w:r w:rsidRPr="00230053">
              <w:rPr>
                <w:b/>
                <w:bCs/>
                <w:color w:val="FFFFFF" w:themeColor="background1"/>
                <w:sz w:val="24"/>
                <w:szCs w:val="24"/>
              </w:rPr>
              <w:t xml:space="preserve">Preference </w:t>
            </w:r>
            <w:r w:rsidRPr="002E5764">
              <w:rPr>
                <w:color w:val="FFFFFF" w:themeColor="background1"/>
                <w:sz w:val="24"/>
                <w:szCs w:val="24"/>
              </w:rPr>
              <w:t>Estimands</w:t>
            </w:r>
          </w:p>
        </w:tc>
      </w:tr>
      <w:tr w:rsidR="00BF5DC4" w:rsidRPr="00230053" w14:paraId="2F63DF13" w14:textId="77777777" w:rsidTr="00430B63">
        <w:trPr>
          <w:jc w:val="center"/>
        </w:trPr>
        <w:tc>
          <w:tcPr>
            <w:tcW w:w="1342" w:type="dxa"/>
            <w:tcBorders>
              <w:top w:val="single" w:sz="6" w:space="0" w:color="A6A6A6" w:themeColor="background1" w:themeShade="A6"/>
              <w:bottom w:val="single" w:sz="6" w:space="0" w:color="F2F2F2" w:themeColor="background1" w:themeShade="F2"/>
              <w:right w:val="single" w:sz="6" w:space="0" w:color="F2F2F2" w:themeColor="background1" w:themeShade="F2"/>
            </w:tcBorders>
            <w:shd w:val="clear" w:color="auto" w:fill="7030A0"/>
            <w:vAlign w:val="center"/>
            <w:hideMark/>
          </w:tcPr>
          <w:p w14:paraId="33C65063" w14:textId="77777777" w:rsidR="00BF5DC4" w:rsidRPr="0039205C" w:rsidRDefault="00BF5DC4" w:rsidP="00430B63">
            <w:pPr>
              <w:pStyle w:val="TableHeader"/>
              <w:spacing w:beforeLines="40" w:before="96" w:afterLines="40" w:after="96"/>
              <w:ind w:left="144" w:right="144"/>
              <w:rPr>
                <w:color w:val="FFFFFF" w:themeColor="background1"/>
              </w:rPr>
            </w:pPr>
            <w:r w:rsidRPr="0039205C">
              <w:rPr>
                <w:rStyle w:val="Strong"/>
                <w:color w:val="FFFFFF" w:themeColor="background1"/>
              </w:rPr>
              <w:t>β</w:t>
            </w:r>
          </w:p>
        </w:tc>
        <w:tc>
          <w:tcPr>
            <w:tcW w:w="2265" w:type="dxa"/>
            <w:tcBorders>
              <w:top w:val="single" w:sz="6" w:space="0" w:color="A6A6A6" w:themeColor="background1" w:themeShade="A6"/>
              <w:left w:val="single" w:sz="6" w:space="0" w:color="F2F2F2" w:themeColor="background1" w:themeShade="F2"/>
              <w:bottom w:val="single" w:sz="6" w:space="0" w:color="F2F2F2" w:themeColor="background1" w:themeShade="F2"/>
              <w:right w:val="single" w:sz="6" w:space="0" w:color="F2F2F2" w:themeColor="background1" w:themeShade="F2"/>
            </w:tcBorders>
            <w:shd w:val="clear" w:color="auto" w:fill="7030A0"/>
            <w:vAlign w:val="center"/>
            <w:hideMark/>
          </w:tcPr>
          <w:p w14:paraId="5A06A919" w14:textId="5922460E" w:rsidR="00BF5DC4" w:rsidRPr="0039205C" w:rsidRDefault="00BF5DC4" w:rsidP="00430B63">
            <w:pPr>
              <w:pStyle w:val="TableText"/>
              <w:spacing w:beforeLines="40" w:before="96" w:afterLines="40" w:after="96"/>
              <w:ind w:left="144" w:right="144"/>
              <w:rPr>
                <w:color w:val="FFFFFF" w:themeColor="background1"/>
                <w:sz w:val="22"/>
                <w:szCs w:val="22"/>
              </w:rPr>
            </w:pPr>
            <w:r w:rsidRPr="0039205C">
              <w:rPr>
                <w:color w:val="FFFFFF" w:themeColor="background1"/>
                <w:sz w:val="22"/>
                <w:szCs w:val="22"/>
              </w:rPr>
              <w:t>Preference</w:t>
            </w:r>
            <w:r w:rsidR="00AB5CE1">
              <w:rPr>
                <w:color w:val="FFFFFF" w:themeColor="background1"/>
                <w:sz w:val="22"/>
                <w:szCs w:val="22"/>
              </w:rPr>
              <w:t>-</w:t>
            </w:r>
            <w:r w:rsidRPr="0039205C">
              <w:rPr>
                <w:color w:val="FFFFFF" w:themeColor="background1"/>
                <w:sz w:val="22"/>
                <w:szCs w:val="22"/>
              </w:rPr>
              <w:br/>
              <w:t>mediated effect</w:t>
            </w:r>
          </w:p>
        </w:tc>
        <w:tc>
          <w:tcPr>
            <w:tcW w:w="1875" w:type="dxa"/>
            <w:tcBorders>
              <w:top w:val="single" w:sz="6" w:space="0" w:color="A6A6A6" w:themeColor="background1" w:themeShade="A6"/>
              <w:left w:val="single" w:sz="6" w:space="0" w:color="F2F2F2" w:themeColor="background1" w:themeShade="F2"/>
              <w:bottom w:val="single" w:sz="6" w:space="0" w:color="F2F2F2" w:themeColor="background1" w:themeShade="F2"/>
              <w:right w:val="single" w:sz="6" w:space="0" w:color="F2F2F2" w:themeColor="background1" w:themeShade="F2"/>
            </w:tcBorders>
            <w:shd w:val="clear" w:color="auto" w:fill="7030A0"/>
            <w:vAlign w:val="center"/>
            <w:hideMark/>
          </w:tcPr>
          <w:p w14:paraId="4C921AB1" w14:textId="77777777" w:rsidR="00BF5DC4" w:rsidRPr="00E07569" w:rsidRDefault="00BF5DC4" w:rsidP="00430B63">
            <w:pPr>
              <w:pStyle w:val="TableText"/>
              <w:spacing w:beforeLines="40" w:before="96" w:afterLines="40" w:after="96"/>
              <w:ind w:left="144" w:right="144"/>
              <w:rPr>
                <w:color w:val="FFFFFF" w:themeColor="background1"/>
                <w:sz w:val="24"/>
                <w:szCs w:val="24"/>
              </w:rPr>
            </w:pPr>
            <w:r w:rsidRPr="00E07569">
              <w:rPr>
                <w:color w:val="FFFFFF" w:themeColor="background1"/>
                <w:sz w:val="24"/>
                <w:szCs w:val="24"/>
              </w:rPr>
              <w:t>Δ</w:t>
            </w:r>
            <w:r w:rsidRPr="00A03AE4">
              <w:rPr>
                <w:color w:val="FFFFFF" w:themeColor="background1"/>
                <w:sz w:val="24"/>
                <w:szCs w:val="24"/>
              </w:rPr>
              <w:t>OBS</w:t>
            </w:r>
            <w:r w:rsidRPr="00E07569">
              <w:rPr>
                <w:color w:val="FFFFFF" w:themeColor="background1"/>
                <w:sz w:val="24"/>
                <w:szCs w:val="24"/>
              </w:rPr>
              <w:t xml:space="preserve"> − Δα</w:t>
            </w:r>
            <w:r w:rsidRPr="00E07569">
              <w:rPr>
                <w:color w:val="FFFFFF" w:themeColor="background1"/>
                <w:sz w:val="24"/>
                <w:szCs w:val="24"/>
                <w:vertAlign w:val="subscript"/>
              </w:rPr>
              <w:t>causal</w:t>
            </w:r>
          </w:p>
        </w:tc>
        <w:tc>
          <w:tcPr>
            <w:tcW w:w="1718" w:type="dxa"/>
            <w:tcBorders>
              <w:top w:val="single" w:sz="6" w:space="0" w:color="A6A6A6" w:themeColor="background1" w:themeShade="A6"/>
              <w:left w:val="single" w:sz="6" w:space="0" w:color="F2F2F2" w:themeColor="background1" w:themeShade="F2"/>
              <w:bottom w:val="single" w:sz="6" w:space="0" w:color="F2F2F2" w:themeColor="background1" w:themeShade="F2"/>
              <w:right w:val="single" w:sz="6" w:space="0" w:color="F2F2F2" w:themeColor="background1" w:themeShade="F2"/>
            </w:tcBorders>
            <w:shd w:val="clear" w:color="auto" w:fill="7030A0"/>
            <w:vAlign w:val="center"/>
            <w:hideMark/>
          </w:tcPr>
          <w:p w14:paraId="1C16E6BF" w14:textId="77777777" w:rsidR="00BF5DC4" w:rsidRPr="0039205C" w:rsidRDefault="00BF5DC4" w:rsidP="00430B63">
            <w:pPr>
              <w:pStyle w:val="TableText"/>
              <w:spacing w:beforeLines="40" w:before="96" w:afterLines="40" w:after="96"/>
              <w:ind w:left="144" w:right="144"/>
              <w:rPr>
                <w:color w:val="FFFFFF" w:themeColor="background1"/>
                <w:sz w:val="22"/>
                <w:szCs w:val="22"/>
              </w:rPr>
            </w:pPr>
            <w:r w:rsidRPr="0039205C">
              <w:rPr>
                <w:color w:val="FFFFFF" w:themeColor="background1"/>
                <w:sz w:val="22"/>
                <w:szCs w:val="22"/>
              </w:rPr>
              <w:t xml:space="preserve">Consistency across </w:t>
            </w:r>
            <w:r w:rsidRPr="0039205C">
              <w:rPr>
                <w:color w:val="FFFFFF" w:themeColor="background1"/>
                <w:sz w:val="22"/>
                <w:szCs w:val="22"/>
              </w:rPr>
              <w:br/>
              <w:t>β estimators</w:t>
            </w:r>
          </w:p>
        </w:tc>
        <w:tc>
          <w:tcPr>
            <w:tcW w:w="2144" w:type="dxa"/>
            <w:tcBorders>
              <w:top w:val="single" w:sz="6" w:space="0" w:color="A6A6A6" w:themeColor="background1" w:themeShade="A6"/>
              <w:left w:val="single" w:sz="6" w:space="0" w:color="F2F2F2" w:themeColor="background1" w:themeShade="F2"/>
              <w:bottom w:val="single" w:sz="6" w:space="0" w:color="F2F2F2" w:themeColor="background1" w:themeShade="F2"/>
            </w:tcBorders>
            <w:shd w:val="clear" w:color="auto" w:fill="7030A0"/>
            <w:vAlign w:val="center"/>
            <w:hideMark/>
          </w:tcPr>
          <w:p w14:paraId="359EFD30" w14:textId="77777777" w:rsidR="00BF5DC4" w:rsidRPr="0039205C" w:rsidRDefault="00BF5DC4" w:rsidP="00430B63">
            <w:pPr>
              <w:pStyle w:val="TableText"/>
              <w:spacing w:beforeLines="40" w:before="96" w:afterLines="40" w:after="96"/>
              <w:ind w:left="144" w:right="144"/>
              <w:rPr>
                <w:color w:val="FFFFFF" w:themeColor="background1"/>
                <w:sz w:val="22"/>
                <w:szCs w:val="22"/>
              </w:rPr>
            </w:pPr>
            <w:r w:rsidRPr="0039205C">
              <w:rPr>
                <w:color w:val="FFFFFF" w:themeColor="background1"/>
                <w:sz w:val="22"/>
                <w:szCs w:val="22"/>
              </w:rPr>
              <w:t xml:space="preserve">Quantifies the </w:t>
            </w:r>
            <w:r w:rsidRPr="0039205C">
              <w:rPr>
                <w:color w:val="FFFFFF" w:themeColor="background1"/>
                <w:sz w:val="22"/>
                <w:szCs w:val="22"/>
              </w:rPr>
              <w:br/>
              <w:t>role of choice</w:t>
            </w:r>
          </w:p>
        </w:tc>
      </w:tr>
      <w:tr w:rsidR="00BF5DC4" w:rsidRPr="00230053" w14:paraId="70022777" w14:textId="77777777" w:rsidTr="00430B63">
        <w:trPr>
          <w:jc w:val="center"/>
        </w:trPr>
        <w:tc>
          <w:tcPr>
            <w:tcW w:w="1342" w:type="dxa"/>
            <w:tcBorders>
              <w:top w:val="single" w:sz="6" w:space="0" w:color="F2F2F2" w:themeColor="background1" w:themeShade="F2"/>
              <w:bottom w:val="nil"/>
              <w:right w:val="single" w:sz="6" w:space="0" w:color="F2F2F2" w:themeColor="background1" w:themeShade="F2"/>
            </w:tcBorders>
            <w:shd w:val="clear" w:color="auto" w:fill="7030A0"/>
            <w:vAlign w:val="center"/>
            <w:hideMark/>
          </w:tcPr>
          <w:p w14:paraId="25719E11" w14:textId="77777777" w:rsidR="00BF5DC4" w:rsidRPr="0039205C" w:rsidRDefault="00BF5DC4" w:rsidP="00430B63">
            <w:pPr>
              <w:pStyle w:val="TableHeader"/>
              <w:spacing w:beforeLines="40" w:before="96" w:afterLines="40" w:after="96"/>
              <w:ind w:left="144" w:right="144"/>
              <w:rPr>
                <w:color w:val="FFFFFF" w:themeColor="background1"/>
              </w:rPr>
            </w:pPr>
            <w:r w:rsidRPr="0039205C">
              <w:rPr>
                <w:rStyle w:val="Strong"/>
                <w:color w:val="FFFFFF" w:themeColor="background1"/>
              </w:rPr>
              <w:t>Δβ</w:t>
            </w:r>
          </w:p>
        </w:tc>
        <w:tc>
          <w:tcPr>
            <w:tcW w:w="2265" w:type="dxa"/>
            <w:tcBorders>
              <w:top w:val="single" w:sz="6" w:space="0" w:color="F2F2F2" w:themeColor="background1" w:themeShade="F2"/>
              <w:left w:val="single" w:sz="6" w:space="0" w:color="F2F2F2" w:themeColor="background1" w:themeShade="F2"/>
              <w:bottom w:val="nil"/>
              <w:right w:val="single" w:sz="6" w:space="0" w:color="F2F2F2" w:themeColor="background1" w:themeShade="F2"/>
            </w:tcBorders>
            <w:shd w:val="clear" w:color="auto" w:fill="7030A0"/>
            <w:vAlign w:val="center"/>
            <w:hideMark/>
          </w:tcPr>
          <w:p w14:paraId="12C9B491" w14:textId="55452A46" w:rsidR="00BF5DC4" w:rsidRPr="0039205C" w:rsidRDefault="00BF5DC4" w:rsidP="00430B63">
            <w:pPr>
              <w:pStyle w:val="TableText"/>
              <w:spacing w:beforeLines="40" w:before="96" w:afterLines="40" w:after="96"/>
              <w:ind w:left="144" w:right="144"/>
              <w:rPr>
                <w:color w:val="FFFFFF" w:themeColor="background1"/>
                <w:sz w:val="22"/>
                <w:szCs w:val="22"/>
              </w:rPr>
            </w:pPr>
            <w:r w:rsidRPr="0039205C">
              <w:rPr>
                <w:color w:val="FFFFFF" w:themeColor="background1"/>
                <w:sz w:val="22"/>
                <w:szCs w:val="22"/>
              </w:rPr>
              <w:t xml:space="preserve">Change in β </w:t>
            </w:r>
            <w:r w:rsidRPr="0039205C">
              <w:rPr>
                <w:color w:val="FFFFFF" w:themeColor="background1"/>
                <w:sz w:val="22"/>
                <w:szCs w:val="22"/>
              </w:rPr>
              <w:br/>
              <w:t xml:space="preserve">across contexts </w:t>
            </w:r>
            <w:r w:rsidRPr="0039205C">
              <w:rPr>
                <w:color w:val="FFFFFF" w:themeColor="background1"/>
                <w:sz w:val="22"/>
                <w:szCs w:val="22"/>
              </w:rPr>
              <w:br/>
              <w:t>(e.g., high</w:t>
            </w:r>
            <w:r w:rsidR="00AB5CE1">
              <w:rPr>
                <w:color w:val="FFFFFF" w:themeColor="background1"/>
                <w:sz w:val="22"/>
                <w:szCs w:val="22"/>
              </w:rPr>
              <w:t>-</w:t>
            </w:r>
            <w:r w:rsidRPr="0039205C">
              <w:rPr>
                <w:color w:val="FFFFFF" w:themeColor="background1"/>
                <w:sz w:val="22"/>
                <w:szCs w:val="22"/>
              </w:rPr>
              <w:t xml:space="preserve">ML </w:t>
            </w:r>
            <w:r w:rsidRPr="0039205C">
              <w:rPr>
                <w:color w:val="FFFFFF" w:themeColor="background1"/>
                <w:sz w:val="22"/>
                <w:szCs w:val="22"/>
              </w:rPr>
              <w:br/>
              <w:t>vs low</w:t>
            </w:r>
            <w:r w:rsidR="00AB5CE1">
              <w:rPr>
                <w:color w:val="FFFFFF" w:themeColor="background1"/>
                <w:sz w:val="22"/>
                <w:szCs w:val="22"/>
              </w:rPr>
              <w:t>-</w:t>
            </w:r>
            <w:r w:rsidRPr="0039205C">
              <w:rPr>
                <w:color w:val="FFFFFF" w:themeColor="background1"/>
                <w:sz w:val="22"/>
                <w:szCs w:val="22"/>
              </w:rPr>
              <w:t>ML)</w:t>
            </w:r>
          </w:p>
        </w:tc>
        <w:tc>
          <w:tcPr>
            <w:tcW w:w="1875" w:type="dxa"/>
            <w:tcBorders>
              <w:top w:val="single" w:sz="6" w:space="0" w:color="F2F2F2" w:themeColor="background1" w:themeShade="F2"/>
              <w:left w:val="single" w:sz="6" w:space="0" w:color="F2F2F2" w:themeColor="background1" w:themeShade="F2"/>
              <w:bottom w:val="nil"/>
              <w:right w:val="single" w:sz="6" w:space="0" w:color="F2F2F2" w:themeColor="background1" w:themeShade="F2"/>
            </w:tcBorders>
            <w:shd w:val="clear" w:color="auto" w:fill="7030A0"/>
            <w:vAlign w:val="center"/>
            <w:hideMark/>
          </w:tcPr>
          <w:p w14:paraId="5F20CF9A" w14:textId="77777777" w:rsidR="00BF5DC4" w:rsidRPr="00230053" w:rsidRDefault="00BF5DC4" w:rsidP="00430B63">
            <w:pPr>
              <w:pStyle w:val="TableText"/>
              <w:spacing w:beforeLines="40" w:before="96" w:afterLines="40" w:after="96"/>
              <w:ind w:left="144" w:right="144"/>
              <w:rPr>
                <w:color w:val="FFFFFF" w:themeColor="background1"/>
              </w:rPr>
            </w:pPr>
            <w:r w:rsidRPr="00E07569">
              <w:rPr>
                <w:color w:val="FFFFFF" w:themeColor="background1"/>
                <w:sz w:val="24"/>
                <w:szCs w:val="24"/>
              </w:rPr>
              <w:t xml:space="preserve">β₁ − β₀ </w:t>
            </w:r>
            <w:r w:rsidRPr="00E07569">
              <w:rPr>
                <w:color w:val="FFFFFF" w:themeColor="background1"/>
                <w:sz w:val="24"/>
                <w:szCs w:val="24"/>
              </w:rPr>
              <w:br/>
            </w:r>
            <w:r w:rsidRPr="0039205C">
              <w:rPr>
                <w:color w:val="FFFFFF" w:themeColor="background1"/>
              </w:rPr>
              <w:t>same clinical scale</w:t>
            </w:r>
          </w:p>
        </w:tc>
        <w:tc>
          <w:tcPr>
            <w:tcW w:w="1718" w:type="dxa"/>
            <w:tcBorders>
              <w:top w:val="single" w:sz="6" w:space="0" w:color="F2F2F2" w:themeColor="background1" w:themeShade="F2"/>
              <w:left w:val="single" w:sz="6" w:space="0" w:color="F2F2F2" w:themeColor="background1" w:themeShade="F2"/>
              <w:bottom w:val="nil"/>
              <w:right w:val="single" w:sz="6" w:space="0" w:color="F2F2F2" w:themeColor="background1" w:themeShade="F2"/>
            </w:tcBorders>
            <w:shd w:val="clear" w:color="auto" w:fill="7030A0"/>
            <w:vAlign w:val="center"/>
            <w:hideMark/>
          </w:tcPr>
          <w:p w14:paraId="08C9383E" w14:textId="77777777" w:rsidR="00BF5DC4" w:rsidRPr="0039205C" w:rsidRDefault="00BF5DC4" w:rsidP="00430B63">
            <w:pPr>
              <w:pStyle w:val="TableText"/>
              <w:spacing w:beforeLines="40" w:before="96" w:afterLines="40" w:after="96"/>
              <w:ind w:left="144" w:right="144"/>
              <w:rPr>
                <w:color w:val="FFFFFF" w:themeColor="background1"/>
                <w:sz w:val="22"/>
                <w:szCs w:val="22"/>
              </w:rPr>
            </w:pPr>
            <w:r w:rsidRPr="0039205C">
              <w:rPr>
                <w:color w:val="FFFFFF" w:themeColor="background1"/>
                <w:sz w:val="22"/>
                <w:szCs w:val="22"/>
              </w:rPr>
              <w:t xml:space="preserve">Balance / uptake checks; </w:t>
            </w:r>
            <w:r w:rsidRPr="0039205C">
              <w:rPr>
                <w:color w:val="FFFFFF" w:themeColor="background1"/>
                <w:sz w:val="22"/>
                <w:szCs w:val="22"/>
              </w:rPr>
              <w:br/>
              <w:t>CI vs MCID</w:t>
            </w:r>
          </w:p>
        </w:tc>
        <w:tc>
          <w:tcPr>
            <w:tcW w:w="2144" w:type="dxa"/>
            <w:tcBorders>
              <w:top w:val="single" w:sz="6" w:space="0" w:color="F2F2F2" w:themeColor="background1" w:themeShade="F2"/>
              <w:left w:val="single" w:sz="6" w:space="0" w:color="F2F2F2" w:themeColor="background1" w:themeShade="F2"/>
              <w:bottom w:val="nil"/>
            </w:tcBorders>
            <w:shd w:val="clear" w:color="auto" w:fill="7030A0"/>
            <w:vAlign w:val="center"/>
            <w:hideMark/>
          </w:tcPr>
          <w:p w14:paraId="2A7F4837" w14:textId="77777777" w:rsidR="00BF5DC4" w:rsidRPr="0039205C" w:rsidRDefault="00BF5DC4" w:rsidP="00430B63">
            <w:pPr>
              <w:pStyle w:val="TableText"/>
              <w:spacing w:beforeLines="40" w:before="96" w:afterLines="40" w:after="96"/>
              <w:ind w:left="144" w:right="144"/>
              <w:rPr>
                <w:color w:val="FFFFFF" w:themeColor="background1"/>
                <w:sz w:val="22"/>
                <w:szCs w:val="22"/>
              </w:rPr>
            </w:pPr>
            <w:r w:rsidRPr="0039205C">
              <w:rPr>
                <w:color w:val="FFFFFF" w:themeColor="background1"/>
                <w:sz w:val="22"/>
                <w:szCs w:val="22"/>
              </w:rPr>
              <w:t xml:space="preserve">Quantifies effect </w:t>
            </w:r>
            <w:r w:rsidRPr="0039205C">
              <w:rPr>
                <w:color w:val="FFFFFF" w:themeColor="background1"/>
                <w:sz w:val="22"/>
                <w:szCs w:val="22"/>
              </w:rPr>
              <w:br/>
              <w:t xml:space="preserve">of </w:t>
            </w:r>
            <w:r w:rsidRPr="0039205C">
              <w:rPr>
                <w:color w:val="FFFFFF" w:themeColor="background1"/>
                <w:sz w:val="22"/>
                <w:szCs w:val="22"/>
              </w:rPr>
              <w:br/>
              <w:t>informed choice</w:t>
            </w:r>
          </w:p>
        </w:tc>
      </w:tr>
    </w:tbl>
    <w:p w14:paraId="1DB0F6FF" w14:textId="0C489E4B" w:rsidR="00BF5DC4" w:rsidRDefault="00BF5DC4" w:rsidP="00BF5DC4">
      <w:pPr>
        <w:pStyle w:val="FigureCaption"/>
      </w:pPr>
      <w:r w:rsidRPr="003942E7">
        <w:t xml:space="preserve">To report, on a </w:t>
      </w:r>
      <w:r w:rsidRPr="003942E7">
        <w:rPr>
          <w:rStyle w:val="Strong"/>
          <w:b w:val="0"/>
          <w:bCs w:val="0"/>
        </w:rPr>
        <w:t>single clinical scale</w:t>
      </w:r>
      <w:r w:rsidRPr="003942E7">
        <w:t>, the biological effect (</w:t>
      </w:r>
      <w:r w:rsidRPr="005F5837">
        <w:rPr>
          <w:rStyle w:val="Strong"/>
          <w:b w:val="0"/>
          <w:bCs w:val="0"/>
        </w:rPr>
        <w:t>α</w:t>
      </w:r>
      <w:r w:rsidRPr="003942E7">
        <w:t>), the net treatment contrast (</w:t>
      </w:r>
      <w:r w:rsidR="00476EDB">
        <w:rPr>
          <w:rFonts w:ascii="Cambria Math" w:hAnsi="Cambria Math" w:cs="Cambria Math"/>
        </w:rPr>
        <w:t>∣Δα∣</w:t>
      </w:r>
      <w:r w:rsidRPr="003942E7">
        <w:t>), and the preference</w:t>
      </w:r>
      <w:r w:rsidR="00AB5CE1">
        <w:t>-</w:t>
      </w:r>
      <w:r w:rsidRPr="003942E7">
        <w:t>mediated effect (</w:t>
      </w:r>
      <w:r w:rsidRPr="005F5837">
        <w:rPr>
          <w:rStyle w:val="Strong"/>
          <w:b w:val="0"/>
          <w:bCs w:val="0"/>
        </w:rPr>
        <w:t>β</w:t>
      </w:r>
      <w:r w:rsidRPr="003942E7">
        <w:t>), together with diagnostics and the implied regime</w:t>
      </w:r>
      <w:r>
        <w:t>.</w:t>
      </w:r>
      <w:r w:rsidRPr="003942E7">
        <w:t xml:space="preserve"> This table </w:t>
      </w:r>
      <w:r w:rsidRPr="003942E7">
        <w:rPr>
          <w:rStyle w:val="Strong"/>
          <w:b w:val="0"/>
          <w:bCs w:val="0"/>
        </w:rPr>
        <w:t>replaces fragmented ITT / per</w:t>
      </w:r>
      <w:r w:rsidR="00AB5CE1">
        <w:rPr>
          <w:rStyle w:val="Strong"/>
          <w:b w:val="0"/>
          <w:bCs w:val="0"/>
        </w:rPr>
        <w:t>-</w:t>
      </w:r>
      <w:r w:rsidRPr="003942E7">
        <w:rPr>
          <w:rStyle w:val="Strong"/>
          <w:b w:val="0"/>
          <w:bCs w:val="0"/>
        </w:rPr>
        <w:t>protocol / observational comparisons</w:t>
      </w:r>
      <w:r w:rsidRPr="003942E7">
        <w:t xml:space="preserve"> by presenting all estimands side</w:t>
      </w:r>
      <w:r w:rsidR="00AB5CE1">
        <w:t>-</w:t>
      </w:r>
      <w:r w:rsidRPr="003942E7">
        <w:t>by</w:t>
      </w:r>
      <w:r w:rsidR="00AB5CE1">
        <w:t>-</w:t>
      </w:r>
      <w:r w:rsidRPr="003942E7">
        <w:t>side, aligned to clinical interpretation</w:t>
      </w:r>
      <w:r>
        <w:t>.</w:t>
      </w:r>
      <w:r w:rsidRPr="003942E7">
        <w:t xml:space="preserve"> Regime classification is performed using Table </w:t>
      </w:r>
      <w:r>
        <w:t>3 in the main text</w:t>
      </w:r>
      <w:r w:rsidRPr="003942E7">
        <w:t>; this table reports estimands only</w:t>
      </w:r>
      <w:r>
        <w:t>.</w:t>
      </w:r>
      <w:r w:rsidRPr="003942E7">
        <w:t xml:space="preserve"> </w:t>
      </w:r>
      <w:r w:rsidRPr="003942E7">
        <w:rPr>
          <w:rStyle w:val="Strong"/>
          <w:b w:val="0"/>
          <w:bCs w:val="0"/>
        </w:rPr>
        <w:t>All quantities are reported on the same outcome scale</w:t>
      </w:r>
      <w:r w:rsidRPr="003942E7">
        <w:t xml:space="preserve"> (e</w:t>
      </w:r>
      <w:r>
        <w:t>.</w:t>
      </w:r>
      <w:r w:rsidRPr="003942E7">
        <w:t>g</w:t>
      </w:r>
      <w:r>
        <w:t>.</w:t>
      </w:r>
      <w:r w:rsidRPr="003942E7">
        <w:t>, AFT log</w:t>
      </w:r>
      <w:r w:rsidR="00AB5CE1">
        <w:t>-</w:t>
      </w:r>
      <w:r w:rsidRPr="003942E7">
        <w:t>time, ODI points), enabling direct clinical comparison across estimands</w:t>
      </w:r>
      <w:r>
        <w:t>.</w:t>
      </w:r>
      <w:r w:rsidRPr="003942E7">
        <w:t xml:space="preserve"> </w:t>
      </w:r>
      <w:r w:rsidRPr="005F5837">
        <w:rPr>
          <w:rStyle w:val="Strong"/>
          <w:b w:val="0"/>
          <w:bCs w:val="0"/>
        </w:rPr>
        <w:t>β</w:t>
      </w:r>
      <w:r w:rsidRPr="003942E7">
        <w:rPr>
          <w:rStyle w:val="Strong"/>
          <w:b w:val="0"/>
          <w:bCs w:val="0"/>
        </w:rPr>
        <w:t xml:space="preserve"> is not inferred from attitudes or surveys</w:t>
      </w:r>
      <w:r w:rsidRPr="00716903">
        <w:rPr>
          <w:rStyle w:val="Strong"/>
          <w:b w:val="0"/>
          <w:bCs w:val="0"/>
          <w:vertAlign w:val="superscript"/>
        </w:rPr>
        <w:t>S3,S4</w:t>
      </w:r>
      <w:r w:rsidRPr="003942E7">
        <w:t>; it is estimated from outcome data as the residual divergence between observational and causal contrasts</w:t>
      </w:r>
      <w:r>
        <w:t>.</w:t>
      </w:r>
      <w:r w:rsidRPr="003942E7">
        <w:t xml:space="preserve"> </w:t>
      </w:r>
      <w:r w:rsidRPr="003942E7">
        <w:rPr>
          <w:rStyle w:val="Strong"/>
          <w:b w:val="0"/>
          <w:bCs w:val="0"/>
        </w:rPr>
        <w:t>Δ</w:t>
      </w:r>
      <w:r w:rsidRPr="005F5837">
        <w:rPr>
          <w:rStyle w:val="Strong"/>
          <w:b w:val="0"/>
          <w:bCs w:val="0"/>
        </w:rPr>
        <w:t>β</w:t>
      </w:r>
      <w:r w:rsidRPr="003942E7">
        <w:rPr>
          <w:rStyle w:val="Strong"/>
          <w:b w:val="0"/>
          <w:bCs w:val="0"/>
        </w:rPr>
        <w:t xml:space="preserve"> captures the incremental physical benefit of informed choice</w:t>
      </w:r>
      <w:r w:rsidRPr="003942E7">
        <w:t>, net of biology</w:t>
      </w:r>
      <w:r>
        <w:t>, for example high medical literacy (ML) vs. low medical literacy.</w:t>
      </w:r>
      <w:r w:rsidRPr="001753BB">
        <w:rPr>
          <w:vertAlign w:val="superscript"/>
        </w:rPr>
        <w:t>S5</w:t>
      </w:r>
      <w:r>
        <w:t xml:space="preserve"> I</w:t>
      </w:r>
      <w:r w:rsidRPr="003942E7">
        <w:t xml:space="preserve">t does </w:t>
      </w:r>
      <w:r w:rsidRPr="003942E7">
        <w:rPr>
          <w:rStyle w:val="Strong"/>
          <w:b w:val="0"/>
          <w:bCs w:val="0"/>
        </w:rPr>
        <w:t>not</w:t>
      </w:r>
      <w:r w:rsidRPr="003942E7">
        <w:t xml:space="preserve"> imply a change in </w:t>
      </w:r>
      <w:r w:rsidRPr="005F5837">
        <w:t>α</w:t>
      </w:r>
      <w:r>
        <w:t>.</w:t>
      </w:r>
    </w:p>
    <w:p w14:paraId="2900445E" w14:textId="23B78DCC" w:rsidR="00BF5DC4" w:rsidRPr="00141583" w:rsidRDefault="00BF5DC4" w:rsidP="00BF5DC4">
      <w:r w:rsidRPr="00141583">
        <w:t>Interpretation of the estimands in Table</w:t>
      </w:r>
      <w:r w:rsidRPr="00141583">
        <w:rPr>
          <w:rFonts w:ascii="Arial" w:hAnsi="Arial" w:cs="Arial"/>
        </w:rPr>
        <w:t> </w:t>
      </w:r>
      <w:r>
        <w:t>S2a</w:t>
      </w:r>
      <w:r w:rsidRPr="00141583">
        <w:t xml:space="preserve"> is governed by a small set of interpretive and diagnostic quantities</w:t>
      </w:r>
      <w:r>
        <w:t xml:space="preserve">, tabulated in Table S2b, </w:t>
      </w:r>
      <w:r w:rsidRPr="00141583">
        <w:t>familiar to clinical trialists but made explicit and rule</w:t>
      </w:r>
      <w:r w:rsidR="00AB5CE1">
        <w:t>-</w:t>
      </w:r>
      <w:r w:rsidRPr="00141583">
        <w:t>based.</w:t>
      </w:r>
    </w:p>
    <w:p w14:paraId="0A4B98AD" w14:textId="77777777" w:rsidR="00BF5DC4" w:rsidRDefault="00BF5DC4" w:rsidP="00BF5DC4"/>
    <w:p w14:paraId="112CE61D" w14:textId="77777777" w:rsidR="00BF5DC4" w:rsidRPr="00D363CA" w:rsidRDefault="00BF5DC4" w:rsidP="00BF5DC4">
      <w:pPr>
        <w:pStyle w:val="FigureTitle"/>
      </w:pPr>
      <w:r w:rsidRPr="00D363CA">
        <w:rPr>
          <w:rStyle w:val="Strong"/>
        </w:rPr>
        <w:t xml:space="preserve">Table </w:t>
      </w:r>
      <w:r>
        <w:rPr>
          <w:rStyle w:val="Strong"/>
        </w:rPr>
        <w:t>S2b</w:t>
      </w:r>
      <w:r>
        <w:rPr>
          <w:rStyle w:val="Strong"/>
          <w:b w:val="0"/>
          <w:bCs w:val="0"/>
        </w:rPr>
        <w:t>.</w:t>
      </w:r>
      <w:r w:rsidRPr="00D363CA">
        <w:rPr>
          <w:rStyle w:val="Strong"/>
          <w:b w:val="0"/>
          <w:bCs w:val="0"/>
        </w:rPr>
        <w:t xml:space="preserve"> </w:t>
      </w:r>
      <w:r w:rsidRPr="009302C6">
        <w:rPr>
          <w:rStyle w:val="Strong"/>
          <w:b w:val="0"/>
          <w:bCs w:val="0"/>
        </w:rPr>
        <w:t>Interpretive and Diagnostic Quantities</w:t>
      </w:r>
    </w:p>
    <w:tbl>
      <w:tblPr>
        <w:tblW w:w="0" w:type="auto"/>
        <w:jc w:val="center"/>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861"/>
        <w:gridCol w:w="1641"/>
        <w:gridCol w:w="2274"/>
        <w:gridCol w:w="1858"/>
        <w:gridCol w:w="1718"/>
      </w:tblGrid>
      <w:tr w:rsidR="00BF5DC4" w:rsidRPr="003942E7" w14:paraId="0571B149" w14:textId="77777777" w:rsidTr="00430B63">
        <w:trPr>
          <w:jc w:val="center"/>
        </w:trPr>
        <w:tc>
          <w:tcPr>
            <w:tcW w:w="1861" w:type="dxa"/>
            <w:tcBorders>
              <w:top w:val="nil"/>
              <w:left w:val="nil"/>
              <w:bottom w:val="single" w:sz="36" w:space="0" w:color="A6A6A6" w:themeColor="background1" w:themeShade="A6"/>
              <w:right w:val="single" w:sz="6" w:space="0" w:color="BFBFBF" w:themeColor="background1" w:themeShade="BF"/>
            </w:tcBorders>
            <w:vAlign w:val="bottom"/>
            <w:hideMark/>
          </w:tcPr>
          <w:p w14:paraId="0284A208" w14:textId="77777777" w:rsidR="00BF5DC4" w:rsidRPr="00230053" w:rsidRDefault="00BF5DC4" w:rsidP="00430B63">
            <w:pPr>
              <w:pStyle w:val="TableHeader"/>
              <w:spacing w:before="120" w:after="120"/>
              <w:rPr>
                <w:rFonts w:cs="Times New Roman"/>
              </w:rPr>
            </w:pPr>
          </w:p>
        </w:tc>
        <w:tc>
          <w:tcPr>
            <w:tcW w:w="1641" w:type="dxa"/>
            <w:tcBorders>
              <w:top w:val="single" w:sz="6" w:space="0" w:color="BFBFBF" w:themeColor="background1" w:themeShade="BF"/>
              <w:left w:val="single" w:sz="6" w:space="0" w:color="BFBFBF" w:themeColor="background1" w:themeShade="BF"/>
              <w:bottom w:val="single" w:sz="36" w:space="0" w:color="A6A6A6" w:themeColor="background1" w:themeShade="A6"/>
              <w:right w:val="single" w:sz="6" w:space="0" w:color="A6A6A6" w:themeColor="background1" w:themeShade="A6"/>
            </w:tcBorders>
            <w:shd w:val="clear" w:color="auto" w:fill="F5F5F5"/>
            <w:vAlign w:val="bottom"/>
            <w:hideMark/>
          </w:tcPr>
          <w:p w14:paraId="3548C8ED" w14:textId="77777777" w:rsidR="00BF5DC4" w:rsidRPr="0039205C" w:rsidRDefault="00BF5DC4" w:rsidP="00430B63">
            <w:pPr>
              <w:pStyle w:val="TableHeader"/>
              <w:spacing w:before="120" w:after="120"/>
              <w:rPr>
                <w:sz w:val="22"/>
                <w:szCs w:val="22"/>
              </w:rPr>
            </w:pPr>
            <w:r w:rsidRPr="0039205C">
              <w:rPr>
                <w:rStyle w:val="Strong"/>
              </w:rPr>
              <w:t>Definition</w:t>
            </w:r>
            <w:r>
              <w:rPr>
                <w:rStyle w:val="Strong"/>
              </w:rPr>
              <w:br/>
            </w:r>
            <w:r w:rsidRPr="0039205C">
              <w:rPr>
                <w:sz w:val="22"/>
                <w:szCs w:val="22"/>
              </w:rPr>
              <w:t>(clinical scale)</w:t>
            </w:r>
          </w:p>
        </w:tc>
        <w:tc>
          <w:tcPr>
            <w:tcW w:w="2274" w:type="dxa"/>
            <w:tcBorders>
              <w:top w:val="single" w:sz="6" w:space="0" w:color="BFBFBF" w:themeColor="background1" w:themeShade="BF"/>
              <w:left w:val="single" w:sz="6" w:space="0" w:color="A6A6A6" w:themeColor="background1" w:themeShade="A6"/>
              <w:bottom w:val="single" w:sz="36" w:space="0" w:color="A6A6A6" w:themeColor="background1" w:themeShade="A6"/>
              <w:right w:val="single" w:sz="6" w:space="0" w:color="A6A6A6" w:themeColor="background1" w:themeShade="A6"/>
            </w:tcBorders>
            <w:shd w:val="clear" w:color="auto" w:fill="F5F5F5"/>
            <w:vAlign w:val="bottom"/>
            <w:hideMark/>
          </w:tcPr>
          <w:p w14:paraId="4450F288" w14:textId="77777777" w:rsidR="00BF5DC4" w:rsidRPr="00230053" w:rsidRDefault="00BF5DC4" w:rsidP="00430B63">
            <w:pPr>
              <w:pStyle w:val="TableHeader"/>
              <w:spacing w:before="120" w:after="120"/>
            </w:pPr>
            <w:r w:rsidRPr="00230053">
              <w:rPr>
                <w:rStyle w:val="Strong"/>
              </w:rPr>
              <w:t>Estimator(s)</w:t>
            </w:r>
          </w:p>
        </w:tc>
        <w:tc>
          <w:tcPr>
            <w:tcW w:w="1858" w:type="dxa"/>
            <w:tcBorders>
              <w:top w:val="single" w:sz="6" w:space="0" w:color="BFBFBF" w:themeColor="background1" w:themeShade="BF"/>
              <w:left w:val="single" w:sz="6" w:space="0" w:color="A6A6A6" w:themeColor="background1" w:themeShade="A6"/>
              <w:bottom w:val="single" w:sz="36" w:space="0" w:color="A6A6A6" w:themeColor="background1" w:themeShade="A6"/>
              <w:right w:val="single" w:sz="6" w:space="0" w:color="A6A6A6" w:themeColor="background1" w:themeShade="A6"/>
            </w:tcBorders>
            <w:shd w:val="clear" w:color="auto" w:fill="F5F5F5"/>
            <w:vAlign w:val="bottom"/>
            <w:hideMark/>
          </w:tcPr>
          <w:p w14:paraId="7075325B" w14:textId="77777777" w:rsidR="00BF5DC4" w:rsidRPr="00230053" w:rsidRDefault="00BF5DC4" w:rsidP="00430B63">
            <w:pPr>
              <w:pStyle w:val="TableHeader"/>
              <w:spacing w:before="120" w:after="120"/>
            </w:pPr>
            <w:r w:rsidRPr="00230053">
              <w:rPr>
                <w:rStyle w:val="Strong"/>
              </w:rPr>
              <w:t xml:space="preserve">Key </w:t>
            </w:r>
            <w:r w:rsidRPr="00230053">
              <w:rPr>
                <w:rStyle w:val="Strong"/>
              </w:rPr>
              <w:br/>
              <w:t>Diagnostics</w:t>
            </w:r>
          </w:p>
        </w:tc>
        <w:tc>
          <w:tcPr>
            <w:tcW w:w="0" w:type="auto"/>
            <w:tcBorders>
              <w:top w:val="single" w:sz="6" w:space="0" w:color="BFBFBF" w:themeColor="background1" w:themeShade="BF"/>
              <w:left w:val="single" w:sz="6" w:space="0" w:color="A6A6A6" w:themeColor="background1" w:themeShade="A6"/>
              <w:bottom w:val="single" w:sz="36" w:space="0" w:color="A6A6A6" w:themeColor="background1" w:themeShade="A6"/>
              <w:right w:val="single" w:sz="6" w:space="0" w:color="BFBFBF" w:themeColor="background1" w:themeShade="BF"/>
            </w:tcBorders>
            <w:shd w:val="clear" w:color="auto" w:fill="F5F5F5"/>
            <w:vAlign w:val="bottom"/>
            <w:hideMark/>
          </w:tcPr>
          <w:p w14:paraId="5B19BCED" w14:textId="77777777" w:rsidR="00BF5DC4" w:rsidRPr="00230053" w:rsidRDefault="00BF5DC4" w:rsidP="00430B63">
            <w:pPr>
              <w:pStyle w:val="TableHeader"/>
              <w:spacing w:before="120" w:after="120"/>
            </w:pPr>
            <w:r w:rsidRPr="00230053">
              <w:rPr>
                <w:rStyle w:val="Strong"/>
              </w:rPr>
              <w:t>Interpretive Role</w:t>
            </w:r>
          </w:p>
        </w:tc>
      </w:tr>
      <w:tr w:rsidR="00BF5DC4" w:rsidRPr="003942E7" w14:paraId="38ED8006" w14:textId="77777777" w:rsidTr="00430B63">
        <w:trPr>
          <w:trHeight w:val="1002"/>
          <w:jc w:val="center"/>
        </w:trPr>
        <w:tc>
          <w:tcPr>
            <w:tcW w:w="1861" w:type="dxa"/>
            <w:tcBorders>
              <w:top w:val="single" w:sz="36" w:space="0" w:color="A6A6A6" w:themeColor="background1" w:themeShade="A6"/>
              <w:left w:val="single" w:sz="6" w:space="0" w:color="BFBFBF" w:themeColor="background1" w:themeShade="BF"/>
              <w:bottom w:val="single" w:sz="6" w:space="0" w:color="A6A6A6" w:themeColor="background1" w:themeShade="A6"/>
              <w:right w:val="single" w:sz="6" w:space="0" w:color="BFBFBF" w:themeColor="background1" w:themeShade="BF"/>
            </w:tcBorders>
            <w:shd w:val="clear" w:color="auto" w:fill="F5F5F5"/>
            <w:vAlign w:val="center"/>
            <w:hideMark/>
          </w:tcPr>
          <w:p w14:paraId="75AAE12F" w14:textId="77777777" w:rsidR="00BF5DC4" w:rsidRPr="007A722B" w:rsidRDefault="00BF5DC4" w:rsidP="00430B63">
            <w:pPr>
              <w:pStyle w:val="TableHeader"/>
              <w:spacing w:beforeLines="50" w:before="120" w:afterLines="50" w:after="120"/>
              <w:ind w:left="144" w:right="144"/>
            </w:pPr>
            <w:r w:rsidRPr="007A722B">
              <w:rPr>
                <w:rStyle w:val="Strong"/>
              </w:rPr>
              <w:t xml:space="preserve">MCID </w:t>
            </w:r>
            <w:r w:rsidRPr="007A722B">
              <w:rPr>
                <w:rStyle w:val="Strong"/>
              </w:rPr>
              <w:br/>
              <w:t>comparison</w:t>
            </w:r>
          </w:p>
        </w:tc>
        <w:tc>
          <w:tcPr>
            <w:tcW w:w="1641" w:type="dxa"/>
            <w:tcBorders>
              <w:top w:val="single" w:sz="36" w:space="0" w:color="A6A6A6" w:themeColor="background1" w:themeShade="A6"/>
              <w:left w:val="single" w:sz="6" w:space="0" w:color="BFBFBF" w:themeColor="background1" w:themeShade="BF"/>
              <w:bottom w:val="single" w:sz="6" w:space="0" w:color="D9D9D9" w:themeColor="background1" w:themeShade="D9"/>
              <w:right w:val="single" w:sz="6" w:space="0" w:color="D9D9D9" w:themeColor="background1" w:themeShade="D9"/>
            </w:tcBorders>
            <w:vAlign w:val="center"/>
            <w:hideMark/>
          </w:tcPr>
          <w:p w14:paraId="378DB399" w14:textId="77777777" w:rsidR="00BF5DC4" w:rsidRPr="0039205C" w:rsidRDefault="00BF5DC4" w:rsidP="00430B63">
            <w:pPr>
              <w:pStyle w:val="TableText"/>
              <w:spacing w:beforeLines="50" w:before="120" w:afterLines="50" w:after="120"/>
              <w:ind w:left="144" w:right="144"/>
              <w:rPr>
                <w:sz w:val="24"/>
                <w:szCs w:val="24"/>
              </w:rPr>
            </w:pPr>
            <w:r w:rsidRPr="0039205C">
              <w:rPr>
                <w:sz w:val="24"/>
                <w:szCs w:val="24"/>
              </w:rPr>
              <w:t xml:space="preserve">Clinical </w:t>
            </w:r>
            <w:r w:rsidRPr="0039205C">
              <w:rPr>
                <w:sz w:val="24"/>
                <w:szCs w:val="24"/>
              </w:rPr>
              <w:br/>
              <w:t>materiality</w:t>
            </w:r>
          </w:p>
        </w:tc>
        <w:tc>
          <w:tcPr>
            <w:tcW w:w="2274" w:type="dxa"/>
            <w:tcBorders>
              <w:top w:val="single" w:sz="36" w:space="0" w:color="A6A6A6" w:themeColor="background1" w:themeShade="A6"/>
              <w:left w:val="single" w:sz="6" w:space="0" w:color="D9D9D9" w:themeColor="background1" w:themeShade="D9"/>
              <w:bottom w:val="single" w:sz="6" w:space="0" w:color="D9D9D9" w:themeColor="background1" w:themeShade="D9"/>
              <w:right w:val="single" w:sz="6" w:space="0" w:color="D9D9D9" w:themeColor="background1" w:themeShade="D9"/>
            </w:tcBorders>
            <w:vAlign w:val="center"/>
            <w:hideMark/>
          </w:tcPr>
          <w:p w14:paraId="522FC13C" w14:textId="77777777" w:rsidR="00BF5DC4" w:rsidRPr="0039205C" w:rsidRDefault="00BF5DC4" w:rsidP="00430B63">
            <w:pPr>
              <w:pStyle w:val="TableText"/>
              <w:spacing w:beforeLines="50" w:before="120" w:afterLines="50" w:after="120"/>
              <w:ind w:left="144" w:right="144"/>
              <w:rPr>
                <w:sz w:val="24"/>
                <w:szCs w:val="24"/>
              </w:rPr>
            </w:pPr>
            <w:r w:rsidRPr="0039205C">
              <w:rPr>
                <w:sz w:val="24"/>
                <w:szCs w:val="24"/>
              </w:rPr>
              <w:t>Thresholded</w:t>
            </w:r>
          </w:p>
        </w:tc>
        <w:tc>
          <w:tcPr>
            <w:tcW w:w="1858" w:type="dxa"/>
            <w:tcBorders>
              <w:top w:val="single" w:sz="36" w:space="0" w:color="A6A6A6" w:themeColor="background1" w:themeShade="A6"/>
              <w:left w:val="single" w:sz="6" w:space="0" w:color="D9D9D9" w:themeColor="background1" w:themeShade="D9"/>
              <w:bottom w:val="single" w:sz="6" w:space="0" w:color="D9D9D9" w:themeColor="background1" w:themeShade="D9"/>
              <w:right w:val="single" w:sz="6" w:space="0" w:color="D9D9D9" w:themeColor="background1" w:themeShade="D9"/>
            </w:tcBorders>
            <w:vAlign w:val="center"/>
            <w:hideMark/>
          </w:tcPr>
          <w:p w14:paraId="0D14EDAC" w14:textId="27B78D83" w:rsidR="00BF5DC4" w:rsidRPr="0039205C" w:rsidRDefault="00BF5DC4" w:rsidP="00430B63">
            <w:pPr>
              <w:pStyle w:val="TableText"/>
              <w:spacing w:beforeLines="50" w:before="120" w:afterLines="50" w:after="120"/>
              <w:ind w:left="144" w:right="144"/>
              <w:rPr>
                <w:sz w:val="24"/>
                <w:szCs w:val="24"/>
              </w:rPr>
            </w:pPr>
            <w:r w:rsidRPr="0039205C">
              <w:rPr>
                <w:sz w:val="24"/>
                <w:szCs w:val="24"/>
              </w:rPr>
              <w:t xml:space="preserve">MCID </w:t>
            </w:r>
            <w:r w:rsidRPr="0039205C">
              <w:rPr>
                <w:sz w:val="24"/>
                <w:szCs w:val="24"/>
              </w:rPr>
              <w:br/>
              <w:t>pre</w:t>
            </w:r>
            <w:r w:rsidR="00AB5CE1">
              <w:rPr>
                <w:sz w:val="24"/>
                <w:szCs w:val="24"/>
              </w:rPr>
              <w:t>-</w:t>
            </w:r>
            <w:r w:rsidRPr="0039205C">
              <w:rPr>
                <w:sz w:val="24"/>
                <w:szCs w:val="24"/>
              </w:rPr>
              <w:t>specified</w:t>
            </w:r>
          </w:p>
        </w:tc>
        <w:tc>
          <w:tcPr>
            <w:tcW w:w="0" w:type="auto"/>
            <w:tcBorders>
              <w:top w:val="single" w:sz="36" w:space="0" w:color="A6A6A6" w:themeColor="background1" w:themeShade="A6"/>
              <w:left w:val="single" w:sz="6" w:space="0" w:color="D9D9D9" w:themeColor="background1" w:themeShade="D9"/>
              <w:bottom w:val="single" w:sz="6" w:space="0" w:color="D9D9D9" w:themeColor="background1" w:themeShade="D9"/>
              <w:right w:val="single" w:sz="6" w:space="0" w:color="BFBFBF" w:themeColor="background1" w:themeShade="BF"/>
            </w:tcBorders>
            <w:vAlign w:val="center"/>
            <w:hideMark/>
          </w:tcPr>
          <w:p w14:paraId="76EE8EE9" w14:textId="77777777" w:rsidR="00BF5DC4" w:rsidRPr="0039205C" w:rsidRDefault="00BF5DC4" w:rsidP="00430B63">
            <w:pPr>
              <w:pStyle w:val="TableText"/>
              <w:spacing w:beforeLines="50" w:before="120" w:afterLines="50" w:after="120"/>
              <w:ind w:left="144" w:right="144"/>
              <w:rPr>
                <w:sz w:val="24"/>
                <w:szCs w:val="24"/>
              </w:rPr>
            </w:pPr>
            <w:r w:rsidRPr="0039205C">
              <w:rPr>
                <w:sz w:val="24"/>
                <w:szCs w:val="24"/>
              </w:rPr>
              <w:t>Clinical relevance</w:t>
            </w:r>
          </w:p>
        </w:tc>
      </w:tr>
      <w:tr w:rsidR="00BF5DC4" w:rsidRPr="003942E7" w14:paraId="4A002409" w14:textId="77777777" w:rsidTr="00430B63">
        <w:trPr>
          <w:trHeight w:val="1581"/>
          <w:jc w:val="center"/>
        </w:trPr>
        <w:tc>
          <w:tcPr>
            <w:tcW w:w="1861" w:type="dxa"/>
            <w:tcBorders>
              <w:top w:val="single" w:sz="6" w:space="0" w:color="A6A6A6" w:themeColor="background1" w:themeShade="A6"/>
              <w:left w:val="single" w:sz="6" w:space="0" w:color="BFBFBF" w:themeColor="background1" w:themeShade="BF"/>
              <w:bottom w:val="single" w:sz="6" w:space="0" w:color="A6A6A6" w:themeColor="background1" w:themeShade="A6"/>
              <w:right w:val="single" w:sz="6" w:space="0" w:color="BFBFBF" w:themeColor="background1" w:themeShade="BF"/>
            </w:tcBorders>
            <w:shd w:val="clear" w:color="auto" w:fill="F5F5F5"/>
            <w:vAlign w:val="center"/>
            <w:hideMark/>
          </w:tcPr>
          <w:p w14:paraId="0A5537EE" w14:textId="77777777" w:rsidR="00BF5DC4" w:rsidRPr="007A722B" w:rsidRDefault="00BF5DC4" w:rsidP="00430B63">
            <w:pPr>
              <w:pStyle w:val="TableHeader"/>
              <w:spacing w:beforeLines="50" w:before="120" w:afterLines="50" w:after="120"/>
              <w:ind w:left="144" w:right="144"/>
            </w:pPr>
            <w:r w:rsidRPr="007A722B">
              <w:rPr>
                <w:rStyle w:val="Strong"/>
              </w:rPr>
              <w:t>Uncertainty</w:t>
            </w:r>
          </w:p>
        </w:tc>
        <w:tc>
          <w:tcPr>
            <w:tcW w:w="1641" w:type="dxa"/>
            <w:tcBorders>
              <w:top w:val="single" w:sz="6" w:space="0" w:color="D9D9D9" w:themeColor="background1" w:themeShade="D9"/>
              <w:left w:val="single" w:sz="6" w:space="0" w:color="BFBFBF" w:themeColor="background1" w:themeShade="BF"/>
              <w:bottom w:val="single" w:sz="6" w:space="0" w:color="D9D9D9" w:themeColor="background1" w:themeShade="D9"/>
              <w:right w:val="single" w:sz="6" w:space="0" w:color="D9D9D9" w:themeColor="background1" w:themeShade="D9"/>
            </w:tcBorders>
            <w:vAlign w:val="center"/>
            <w:hideMark/>
          </w:tcPr>
          <w:p w14:paraId="024F5F76" w14:textId="77777777" w:rsidR="00BF5DC4" w:rsidRPr="0039205C" w:rsidRDefault="00BF5DC4" w:rsidP="00430B63">
            <w:pPr>
              <w:pStyle w:val="TableText"/>
              <w:spacing w:beforeLines="50" w:before="120" w:afterLines="50" w:after="120"/>
              <w:ind w:left="144" w:right="144"/>
              <w:rPr>
                <w:sz w:val="24"/>
                <w:szCs w:val="24"/>
              </w:rPr>
            </w:pPr>
            <w:r w:rsidRPr="0039205C">
              <w:rPr>
                <w:sz w:val="24"/>
                <w:szCs w:val="24"/>
              </w:rPr>
              <w:t xml:space="preserve">Precision of </w:t>
            </w:r>
            <w:r w:rsidRPr="0039205C">
              <w:rPr>
                <w:sz w:val="24"/>
                <w:szCs w:val="24"/>
              </w:rPr>
              <w:br/>
              <w:t>α, β, Δα</w:t>
            </w:r>
          </w:p>
        </w:tc>
        <w:tc>
          <w:tcPr>
            <w:tcW w:w="2274"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vAlign w:val="center"/>
            <w:hideMark/>
          </w:tcPr>
          <w:p w14:paraId="3A0DD59C" w14:textId="3C57B681" w:rsidR="00BF5DC4" w:rsidRPr="0039205C" w:rsidRDefault="00BF5DC4" w:rsidP="00430B63">
            <w:pPr>
              <w:pStyle w:val="TableText"/>
              <w:spacing w:beforeLines="50" w:before="120" w:afterLines="50" w:after="120"/>
              <w:ind w:left="144" w:right="144"/>
              <w:rPr>
                <w:sz w:val="24"/>
                <w:szCs w:val="24"/>
              </w:rPr>
            </w:pPr>
            <w:r w:rsidRPr="0039205C">
              <w:rPr>
                <w:sz w:val="24"/>
                <w:szCs w:val="24"/>
              </w:rPr>
              <w:t xml:space="preserve">Sandwich SEs; </w:t>
            </w:r>
            <w:r w:rsidRPr="0039205C">
              <w:rPr>
                <w:sz w:val="24"/>
                <w:szCs w:val="24"/>
              </w:rPr>
              <w:br/>
              <w:t xml:space="preserve">bootstrap; </w:t>
            </w:r>
            <w:r w:rsidRPr="0039205C">
              <w:rPr>
                <w:sz w:val="24"/>
                <w:szCs w:val="24"/>
              </w:rPr>
              <w:br/>
              <w:t>perturb</w:t>
            </w:r>
            <w:r w:rsidR="00AB5CE1">
              <w:rPr>
                <w:sz w:val="24"/>
                <w:szCs w:val="24"/>
              </w:rPr>
              <w:t>-</w:t>
            </w:r>
            <w:r w:rsidRPr="0039205C">
              <w:rPr>
                <w:sz w:val="24"/>
                <w:szCs w:val="24"/>
              </w:rPr>
              <w:t>the</w:t>
            </w:r>
            <w:r w:rsidR="00AB5CE1">
              <w:rPr>
                <w:sz w:val="24"/>
                <w:szCs w:val="24"/>
              </w:rPr>
              <w:t>-</w:t>
            </w:r>
            <w:r w:rsidRPr="0039205C">
              <w:rPr>
                <w:sz w:val="24"/>
                <w:szCs w:val="24"/>
              </w:rPr>
              <w:t>minimand</w:t>
            </w:r>
          </w:p>
        </w:tc>
        <w:tc>
          <w:tcPr>
            <w:tcW w:w="1858"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vAlign w:val="center"/>
            <w:hideMark/>
          </w:tcPr>
          <w:p w14:paraId="3FC88DCD" w14:textId="77777777" w:rsidR="00BF5DC4" w:rsidRPr="0039205C" w:rsidRDefault="00BF5DC4" w:rsidP="00430B63">
            <w:pPr>
              <w:pStyle w:val="TableText"/>
              <w:spacing w:beforeLines="50" w:before="120" w:afterLines="50" w:after="120"/>
              <w:ind w:left="144" w:right="144"/>
              <w:rPr>
                <w:sz w:val="24"/>
                <w:szCs w:val="24"/>
              </w:rPr>
            </w:pPr>
            <w:r w:rsidRPr="0039205C">
              <w:rPr>
                <w:sz w:val="24"/>
                <w:szCs w:val="24"/>
              </w:rPr>
              <w:t>Width of CI</w:t>
            </w:r>
          </w:p>
        </w:tc>
        <w:tc>
          <w:tcPr>
            <w:tcW w:w="0" w:type="auto"/>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BFBFBF" w:themeColor="background1" w:themeShade="BF"/>
            </w:tcBorders>
            <w:vAlign w:val="center"/>
            <w:hideMark/>
          </w:tcPr>
          <w:p w14:paraId="0BF4D0EF" w14:textId="77777777" w:rsidR="00BF5DC4" w:rsidRPr="0039205C" w:rsidRDefault="00BF5DC4" w:rsidP="00430B63">
            <w:pPr>
              <w:pStyle w:val="TableText"/>
              <w:spacing w:beforeLines="50" w:before="120" w:afterLines="50" w:after="120"/>
              <w:ind w:left="144" w:right="144"/>
              <w:rPr>
                <w:sz w:val="24"/>
                <w:szCs w:val="24"/>
              </w:rPr>
            </w:pPr>
            <w:r w:rsidRPr="0039205C">
              <w:rPr>
                <w:sz w:val="24"/>
                <w:szCs w:val="24"/>
              </w:rPr>
              <w:t>Robustness</w:t>
            </w:r>
          </w:p>
        </w:tc>
      </w:tr>
      <w:tr w:rsidR="00BF5DC4" w:rsidRPr="003942E7" w14:paraId="13CB30A3" w14:textId="77777777" w:rsidTr="00430B63">
        <w:trPr>
          <w:trHeight w:val="1302"/>
          <w:jc w:val="center"/>
        </w:trPr>
        <w:tc>
          <w:tcPr>
            <w:tcW w:w="1861" w:type="dxa"/>
            <w:tcBorders>
              <w:top w:val="single" w:sz="6" w:space="0" w:color="A6A6A6" w:themeColor="background1" w:themeShade="A6"/>
              <w:left w:val="single" w:sz="6" w:space="0" w:color="BFBFBF" w:themeColor="background1" w:themeShade="BF"/>
              <w:bottom w:val="single" w:sz="6" w:space="0" w:color="A6A6A6" w:themeColor="background1" w:themeShade="A6"/>
              <w:right w:val="single" w:sz="6" w:space="0" w:color="BFBFBF" w:themeColor="background1" w:themeShade="BF"/>
            </w:tcBorders>
            <w:shd w:val="clear" w:color="auto" w:fill="F5F5F5"/>
            <w:vAlign w:val="center"/>
            <w:hideMark/>
          </w:tcPr>
          <w:p w14:paraId="0273447D" w14:textId="77777777" w:rsidR="00BF5DC4" w:rsidRPr="007A722B" w:rsidRDefault="00BF5DC4" w:rsidP="00430B63">
            <w:pPr>
              <w:pStyle w:val="TableHeader"/>
              <w:spacing w:beforeLines="50" w:before="120" w:afterLines="50" w:after="120"/>
              <w:ind w:left="144" w:right="144"/>
            </w:pPr>
            <w:r w:rsidRPr="007A722B">
              <w:rPr>
                <w:rStyle w:val="Strong"/>
              </w:rPr>
              <w:t>Sensitivity</w:t>
            </w:r>
          </w:p>
        </w:tc>
        <w:tc>
          <w:tcPr>
            <w:tcW w:w="1641" w:type="dxa"/>
            <w:tcBorders>
              <w:top w:val="single" w:sz="6" w:space="0" w:color="D9D9D9" w:themeColor="background1" w:themeShade="D9"/>
              <w:left w:val="single" w:sz="6" w:space="0" w:color="BFBFBF" w:themeColor="background1" w:themeShade="BF"/>
              <w:bottom w:val="single" w:sz="6" w:space="0" w:color="D9D9D9" w:themeColor="background1" w:themeShade="D9"/>
              <w:right w:val="single" w:sz="6" w:space="0" w:color="D9D9D9" w:themeColor="background1" w:themeShade="D9"/>
            </w:tcBorders>
            <w:vAlign w:val="center"/>
            <w:hideMark/>
          </w:tcPr>
          <w:p w14:paraId="1B17335F" w14:textId="77777777" w:rsidR="00BF5DC4" w:rsidRPr="0039205C" w:rsidRDefault="00BF5DC4" w:rsidP="00430B63">
            <w:pPr>
              <w:pStyle w:val="TableText"/>
              <w:spacing w:beforeLines="50" w:before="120" w:afterLines="50" w:after="120"/>
              <w:ind w:left="144" w:right="144"/>
              <w:rPr>
                <w:sz w:val="24"/>
                <w:szCs w:val="24"/>
              </w:rPr>
            </w:pPr>
            <w:r w:rsidRPr="0039205C">
              <w:rPr>
                <w:sz w:val="24"/>
                <w:szCs w:val="24"/>
              </w:rPr>
              <w:t xml:space="preserve">Residual </w:t>
            </w:r>
            <w:r w:rsidRPr="0039205C">
              <w:rPr>
                <w:sz w:val="24"/>
                <w:szCs w:val="24"/>
              </w:rPr>
              <w:br/>
              <w:t>confounding risk</w:t>
            </w:r>
          </w:p>
        </w:tc>
        <w:tc>
          <w:tcPr>
            <w:tcW w:w="2274"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vAlign w:val="center"/>
            <w:hideMark/>
          </w:tcPr>
          <w:p w14:paraId="641A93AF" w14:textId="28922AF2" w:rsidR="00BF5DC4" w:rsidRPr="0039205C" w:rsidRDefault="00BF5DC4" w:rsidP="00430B63">
            <w:pPr>
              <w:pStyle w:val="TableText"/>
              <w:spacing w:beforeLines="50" w:before="120" w:afterLines="50" w:after="120"/>
              <w:ind w:left="144" w:right="144"/>
              <w:rPr>
                <w:sz w:val="24"/>
                <w:szCs w:val="24"/>
              </w:rPr>
            </w:pPr>
            <w:r w:rsidRPr="0039205C">
              <w:rPr>
                <w:rStyle w:val="Emphasis"/>
                <w:sz w:val="24"/>
                <w:szCs w:val="24"/>
              </w:rPr>
              <w:t>E</w:t>
            </w:r>
            <w:r w:rsidR="00AB5CE1">
              <w:rPr>
                <w:rStyle w:val="Emphasis"/>
                <w:i w:val="0"/>
                <w:iCs w:val="0"/>
                <w:sz w:val="24"/>
                <w:szCs w:val="24"/>
              </w:rPr>
              <w:t>-</w:t>
            </w:r>
            <w:r w:rsidRPr="0039205C">
              <w:rPr>
                <w:rStyle w:val="Emphasis"/>
                <w:i w:val="0"/>
                <w:iCs w:val="0"/>
                <w:sz w:val="24"/>
                <w:szCs w:val="24"/>
              </w:rPr>
              <w:t>values</w:t>
            </w:r>
          </w:p>
        </w:tc>
        <w:tc>
          <w:tcPr>
            <w:tcW w:w="1858"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vAlign w:val="center"/>
            <w:hideMark/>
          </w:tcPr>
          <w:p w14:paraId="6AA09F0D" w14:textId="77777777" w:rsidR="00BF5DC4" w:rsidRPr="0039205C" w:rsidRDefault="00BF5DC4" w:rsidP="00430B63">
            <w:pPr>
              <w:pStyle w:val="TableText"/>
              <w:spacing w:beforeLines="50" w:before="120" w:afterLines="50" w:after="120"/>
              <w:ind w:left="144" w:right="144"/>
              <w:rPr>
                <w:sz w:val="24"/>
                <w:szCs w:val="24"/>
              </w:rPr>
            </w:pPr>
            <w:r w:rsidRPr="0039205C">
              <w:rPr>
                <w:sz w:val="24"/>
                <w:szCs w:val="24"/>
              </w:rPr>
              <w:t>Magnitude vs plausibility</w:t>
            </w:r>
          </w:p>
        </w:tc>
        <w:tc>
          <w:tcPr>
            <w:tcW w:w="0" w:type="auto"/>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BFBFBF" w:themeColor="background1" w:themeShade="BF"/>
            </w:tcBorders>
            <w:vAlign w:val="center"/>
            <w:hideMark/>
          </w:tcPr>
          <w:p w14:paraId="2F02A6F1" w14:textId="77777777" w:rsidR="00BF5DC4" w:rsidRPr="0039205C" w:rsidRDefault="00BF5DC4" w:rsidP="00430B63">
            <w:pPr>
              <w:pStyle w:val="TableText"/>
              <w:spacing w:beforeLines="50" w:before="120" w:afterLines="50" w:after="120"/>
              <w:ind w:left="144" w:right="144"/>
              <w:rPr>
                <w:sz w:val="24"/>
                <w:szCs w:val="24"/>
              </w:rPr>
            </w:pPr>
            <w:r w:rsidRPr="0039205C">
              <w:rPr>
                <w:sz w:val="24"/>
                <w:szCs w:val="24"/>
              </w:rPr>
              <w:t>Falsifiability</w:t>
            </w:r>
          </w:p>
        </w:tc>
      </w:tr>
      <w:tr w:rsidR="00BF5DC4" w:rsidRPr="003942E7" w14:paraId="528E243A" w14:textId="77777777" w:rsidTr="00430B63">
        <w:trPr>
          <w:trHeight w:val="1401"/>
          <w:jc w:val="center"/>
        </w:trPr>
        <w:tc>
          <w:tcPr>
            <w:tcW w:w="1861" w:type="dxa"/>
            <w:tcBorders>
              <w:top w:val="single" w:sz="6" w:space="0" w:color="A6A6A6" w:themeColor="background1" w:themeShade="A6"/>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F5F5F5"/>
            <w:vAlign w:val="center"/>
            <w:hideMark/>
          </w:tcPr>
          <w:p w14:paraId="7515A2D2" w14:textId="77777777" w:rsidR="00BF5DC4" w:rsidRPr="007A722B" w:rsidRDefault="00BF5DC4" w:rsidP="00430B63">
            <w:pPr>
              <w:pStyle w:val="TableHeader"/>
              <w:spacing w:beforeLines="50" w:before="120" w:afterLines="50" w:after="120"/>
              <w:ind w:left="144" w:right="144"/>
            </w:pPr>
            <w:r w:rsidRPr="007A722B">
              <w:rPr>
                <w:rStyle w:val="Strong"/>
              </w:rPr>
              <w:t xml:space="preserve">Regime </w:t>
            </w:r>
            <w:r>
              <w:rPr>
                <w:rStyle w:val="Strong"/>
              </w:rPr>
              <w:br/>
            </w:r>
            <w:r w:rsidRPr="007A722B">
              <w:rPr>
                <w:rStyle w:val="Strong"/>
              </w:rPr>
              <w:t xml:space="preserve">label </w:t>
            </w:r>
            <w:r w:rsidRPr="007A722B">
              <w:rPr>
                <w:rStyle w:val="Strong"/>
              </w:rPr>
              <w:br/>
              <w:t>(B)</w:t>
            </w:r>
          </w:p>
        </w:tc>
        <w:tc>
          <w:tcPr>
            <w:tcW w:w="1641" w:type="dxa"/>
            <w:tcBorders>
              <w:top w:val="single" w:sz="6" w:space="0" w:color="D9D9D9" w:themeColor="background1" w:themeShade="D9"/>
              <w:left w:val="single" w:sz="6" w:space="0" w:color="BFBFBF" w:themeColor="background1" w:themeShade="BF"/>
              <w:bottom w:val="single" w:sz="6" w:space="0" w:color="BFBFBF" w:themeColor="background1" w:themeShade="BF"/>
              <w:right w:val="single" w:sz="6" w:space="0" w:color="D9D9D9" w:themeColor="background1" w:themeShade="D9"/>
            </w:tcBorders>
            <w:vAlign w:val="center"/>
            <w:hideMark/>
          </w:tcPr>
          <w:p w14:paraId="5A1448AD" w14:textId="261A5D6C" w:rsidR="00BF5DC4" w:rsidRPr="0039205C" w:rsidRDefault="00BF5DC4" w:rsidP="00430B63">
            <w:pPr>
              <w:pStyle w:val="TableText"/>
              <w:spacing w:beforeLines="50" w:before="120" w:afterLines="50" w:after="120"/>
              <w:ind w:left="144" w:right="144"/>
              <w:rPr>
                <w:sz w:val="24"/>
                <w:szCs w:val="24"/>
              </w:rPr>
            </w:pPr>
            <w:r w:rsidRPr="0039205C">
              <w:rPr>
                <w:sz w:val="24"/>
                <w:szCs w:val="24"/>
              </w:rPr>
              <w:t xml:space="preserve">Position in </w:t>
            </w:r>
            <w:r w:rsidRPr="0039205C">
              <w:rPr>
                <w:sz w:val="24"/>
                <w:szCs w:val="24"/>
              </w:rPr>
              <w:br/>
              <w:t>(</w:t>
            </w:r>
            <w:r w:rsidR="00476EDB">
              <w:rPr>
                <w:rFonts w:ascii="Cambria Math" w:hAnsi="Cambria Math" w:cs="Cambria Math"/>
                <w:sz w:val="24"/>
                <w:szCs w:val="24"/>
              </w:rPr>
              <w:t>∣Δα∣</w:t>
            </w:r>
            <w:r w:rsidR="00097E75">
              <w:rPr>
                <w:rFonts w:cs="Cambria Math"/>
                <w:sz w:val="24"/>
                <w:szCs w:val="24"/>
              </w:rPr>
              <w:t xml:space="preserve">, </w:t>
            </w:r>
            <w:r w:rsidRPr="0039205C">
              <w:rPr>
                <w:rFonts w:cs="Aptos"/>
                <w:sz w:val="24"/>
                <w:szCs w:val="24"/>
              </w:rPr>
              <w:t>β</w:t>
            </w:r>
            <w:r w:rsidRPr="0039205C">
              <w:rPr>
                <w:sz w:val="24"/>
                <w:szCs w:val="24"/>
              </w:rPr>
              <w:t>) space</w:t>
            </w:r>
          </w:p>
        </w:tc>
        <w:tc>
          <w:tcPr>
            <w:tcW w:w="2274" w:type="dxa"/>
            <w:tcBorders>
              <w:top w:val="single" w:sz="6" w:space="0" w:color="D9D9D9" w:themeColor="background1" w:themeShade="D9"/>
              <w:left w:val="single" w:sz="6" w:space="0" w:color="D9D9D9" w:themeColor="background1" w:themeShade="D9"/>
              <w:bottom w:val="single" w:sz="6" w:space="0" w:color="BFBFBF" w:themeColor="background1" w:themeShade="BF"/>
              <w:right w:val="single" w:sz="6" w:space="0" w:color="D9D9D9" w:themeColor="background1" w:themeShade="D9"/>
            </w:tcBorders>
            <w:vAlign w:val="center"/>
            <w:hideMark/>
          </w:tcPr>
          <w:p w14:paraId="5734EE63" w14:textId="5B8AF508" w:rsidR="00BF5DC4" w:rsidRPr="0039205C" w:rsidRDefault="00BF5DC4" w:rsidP="00430B63">
            <w:pPr>
              <w:pStyle w:val="TableText"/>
              <w:spacing w:beforeLines="50" w:before="120" w:afterLines="50" w:after="120"/>
              <w:ind w:left="144" w:right="144"/>
              <w:rPr>
                <w:sz w:val="24"/>
                <w:szCs w:val="24"/>
              </w:rPr>
            </w:pPr>
            <w:r w:rsidRPr="0039205C">
              <w:rPr>
                <w:sz w:val="24"/>
                <w:szCs w:val="24"/>
              </w:rPr>
              <w:t>Rule</w:t>
            </w:r>
            <w:r w:rsidR="00AB5CE1">
              <w:rPr>
                <w:sz w:val="24"/>
                <w:szCs w:val="24"/>
              </w:rPr>
              <w:t>-</w:t>
            </w:r>
            <w:r w:rsidRPr="0039205C">
              <w:rPr>
                <w:sz w:val="24"/>
                <w:szCs w:val="24"/>
              </w:rPr>
              <w:t>based</w:t>
            </w:r>
          </w:p>
        </w:tc>
        <w:tc>
          <w:tcPr>
            <w:tcW w:w="1858" w:type="dxa"/>
            <w:tcBorders>
              <w:top w:val="single" w:sz="6" w:space="0" w:color="D9D9D9" w:themeColor="background1" w:themeShade="D9"/>
              <w:left w:val="single" w:sz="6" w:space="0" w:color="D9D9D9" w:themeColor="background1" w:themeShade="D9"/>
              <w:bottom w:val="single" w:sz="6" w:space="0" w:color="BFBFBF" w:themeColor="background1" w:themeShade="BF"/>
              <w:right w:val="single" w:sz="6" w:space="0" w:color="D9D9D9" w:themeColor="background1" w:themeShade="D9"/>
            </w:tcBorders>
            <w:vAlign w:val="center"/>
            <w:hideMark/>
          </w:tcPr>
          <w:p w14:paraId="24AA2821" w14:textId="77777777" w:rsidR="00BF5DC4" w:rsidRPr="0039205C" w:rsidRDefault="00BF5DC4" w:rsidP="00430B63">
            <w:pPr>
              <w:pStyle w:val="TableText"/>
              <w:spacing w:beforeLines="50" w:before="120" w:afterLines="50" w:after="120"/>
              <w:ind w:left="144" w:right="144"/>
              <w:rPr>
                <w:sz w:val="24"/>
                <w:szCs w:val="24"/>
              </w:rPr>
            </w:pPr>
            <w:r w:rsidRPr="0039205C">
              <w:rPr>
                <w:sz w:val="24"/>
                <w:szCs w:val="24"/>
              </w:rPr>
              <w:t xml:space="preserve">Δα vs MCID; </w:t>
            </w:r>
            <w:r w:rsidRPr="0039205C">
              <w:rPr>
                <w:sz w:val="24"/>
                <w:szCs w:val="24"/>
              </w:rPr>
              <w:br/>
              <w:t>β vs MCID</w:t>
            </w:r>
          </w:p>
        </w:tc>
        <w:tc>
          <w:tcPr>
            <w:tcW w:w="0" w:type="auto"/>
            <w:tcBorders>
              <w:top w:val="single" w:sz="6" w:space="0" w:color="D9D9D9" w:themeColor="background1" w:themeShade="D9"/>
              <w:left w:val="single" w:sz="6" w:space="0" w:color="D9D9D9" w:themeColor="background1" w:themeShade="D9"/>
              <w:bottom w:val="single" w:sz="6" w:space="0" w:color="BFBFBF" w:themeColor="background1" w:themeShade="BF"/>
              <w:right w:val="single" w:sz="6" w:space="0" w:color="BFBFBF" w:themeColor="background1" w:themeShade="BF"/>
            </w:tcBorders>
            <w:vAlign w:val="center"/>
            <w:hideMark/>
          </w:tcPr>
          <w:p w14:paraId="2ED23D80" w14:textId="77777777" w:rsidR="00BF5DC4" w:rsidRPr="0039205C" w:rsidRDefault="00BF5DC4" w:rsidP="00430B63">
            <w:pPr>
              <w:pStyle w:val="TableText"/>
              <w:spacing w:beforeLines="50" w:before="120" w:afterLines="50" w:after="120"/>
              <w:ind w:left="144" w:right="144"/>
              <w:rPr>
                <w:sz w:val="24"/>
                <w:szCs w:val="24"/>
              </w:rPr>
            </w:pPr>
            <w:r w:rsidRPr="0039205C">
              <w:rPr>
                <w:sz w:val="24"/>
                <w:szCs w:val="24"/>
              </w:rPr>
              <w:t>Governs interpretation</w:t>
            </w:r>
          </w:p>
        </w:tc>
      </w:tr>
    </w:tbl>
    <w:p w14:paraId="32109EE9" w14:textId="0742A09B" w:rsidR="00BF5DC4" w:rsidRPr="003942E7" w:rsidRDefault="00BF5DC4" w:rsidP="00BF5DC4">
      <w:pPr>
        <w:pStyle w:val="FigureCaption"/>
      </w:pPr>
      <w:r>
        <w:t>Interpretive and diagnostic quantities governing when and how the causal estimands (α, Δα, β, Δβ) may be validly interpreted on a common clinical outcome scale. Each quantity corresponds to a requirement of the framework: MCID comparison (A3) establishes clinical materiality; uncertainty and sensitivity quantify precision and robustness; identification diagnostics (M3) determine whether causal separation is valid; and the regime label (B), derived from the joint position of (</w:t>
      </w:r>
      <w:r w:rsidR="00476EDB">
        <w:rPr>
          <w:rFonts w:ascii="Cambria Math" w:hAnsi="Cambria Math" w:cs="Cambria Math"/>
        </w:rPr>
        <w:t>∣Δα∣</w:t>
      </w:r>
      <w:r>
        <w:t>,</w:t>
      </w:r>
      <w:r>
        <w:rPr>
          <w:rFonts w:ascii="Arial" w:hAnsi="Arial" w:cs="Arial"/>
        </w:rPr>
        <w:t> </w:t>
      </w:r>
      <w:r>
        <w:rPr>
          <w:rFonts w:ascii="Aptos" w:hAnsi="Aptos" w:cs="Aptos"/>
        </w:rPr>
        <w:t>β</w:t>
      </w:r>
      <w:r>
        <w:t>) relative to MCID, governs interpretation under the Interpretation Rule (R1). Together, these quantities define the conditions under which inference is permitted, constrain conclusions when identification or precision is insufficient, and ensure that interpretation follows causal structure rather than estimator output alone.</w:t>
      </w:r>
    </w:p>
    <w:p w14:paraId="42AD2251" w14:textId="77777777" w:rsidR="00BF5DC4" w:rsidRPr="00D65076" w:rsidRDefault="00BF5DC4" w:rsidP="00BF5DC4"/>
    <w:p w14:paraId="070A56D2" w14:textId="77777777" w:rsidR="00BF5DC4" w:rsidRDefault="00BF5DC4" w:rsidP="00BF5DC4">
      <w:pPr>
        <w:pStyle w:val="Heading1"/>
        <w:jc w:val="left"/>
        <w:rPr>
          <w:sz w:val="36"/>
          <w:szCs w:val="36"/>
        </w:rPr>
      </w:pPr>
      <w:bookmarkStart w:id="2" w:name="_Toc230299591"/>
      <w:r>
        <w:rPr>
          <w:b/>
          <w:bCs/>
        </w:rPr>
        <w:lastRenderedPageBreak/>
        <w:t xml:space="preserve">S3 </w:t>
      </w:r>
      <w:r w:rsidRPr="00D65076">
        <w:rPr>
          <w:sz w:val="36"/>
          <w:szCs w:val="36"/>
        </w:rPr>
        <w:t>Identification and Assumptions</w:t>
      </w:r>
      <w:bookmarkEnd w:id="2"/>
    </w:p>
    <w:p w14:paraId="32B15E27" w14:textId="49405074" w:rsidR="00BF5DC4" w:rsidRDefault="00BF5DC4" w:rsidP="00BF5DC4">
      <w:r>
        <w:t>Because the estimands defined in section S2 above separate biological and preference</w:t>
      </w:r>
      <w:r w:rsidR="00AB5CE1">
        <w:t>-</w:t>
      </w:r>
      <w:r>
        <w:t>mediated components of outcomes, their interpretation depends on explicit identification conditions that determine when (</w:t>
      </w:r>
      <w:r w:rsidR="00476EDB">
        <w:rPr>
          <w:rFonts w:ascii="Cambria Math" w:hAnsi="Cambria Math" w:cs="Cambria Math"/>
        </w:rPr>
        <w:t>∣Δα∣</w:t>
      </w:r>
      <w:r>
        <w:t>, β) is empirically recoverable versus conflated or only partially identified.</w:t>
      </w:r>
    </w:p>
    <w:p w14:paraId="5975C9EB" w14:textId="1EE0C07B" w:rsidR="00BF5DC4" w:rsidRDefault="00BF5DC4" w:rsidP="00BF5DC4">
      <w:r>
        <w:t>When nonadherence is present, identification of the biological effect (α) as the local average treatment effect (LATE/CACE) requires a valid instrument. Randomized assignment serves as this instrument under standard assumptions—relevance, exclusion, independence, and monotonicity—assessed using standard diagnostics, including first</w:t>
      </w:r>
      <w:r w:rsidR="00AB5CE1">
        <w:t>-</w:t>
      </w:r>
      <w:r>
        <w:t>stage strength and sensitivity to violations.</w:t>
      </w:r>
      <w:r>
        <w:rPr>
          <w:vertAlign w:val="superscript"/>
        </w:rPr>
        <w:t>S2</w:t>
      </w:r>
      <w:r>
        <w:t xml:space="preserve"> When satisfied, these permit causal recovery of α on a common clinical outcome scale despite incomplete adherence.</w:t>
      </w:r>
      <w:r w:rsidRPr="00DC4CD2">
        <w:rPr>
          <w:vertAlign w:val="superscript"/>
        </w:rPr>
        <w:t>S1</w:t>
      </w:r>
    </w:p>
    <w:p w14:paraId="16D02EB7" w14:textId="0345B24F" w:rsidR="00BF5DC4" w:rsidRDefault="00BF5DC4" w:rsidP="00BF5DC4">
      <w:r>
        <w:t>Identification of the preference</w:t>
      </w:r>
      <w:r w:rsidR="00AB5CE1">
        <w:t>-</w:t>
      </w:r>
      <w:r>
        <w:t>mediated effect (β) inherits these requirements, since β is defined relative to the causally identified biological contrast. β is therefore identifiable only when α is causally identified and an observational contrast based on treatment received is available on the same outcome scale. In this framework, β is a derived causal component representing the residual divergence between observational and biological contrasts.</w:t>
      </w:r>
    </w:p>
    <w:p w14:paraId="4B9CDD00" w14:textId="6AC1FDD9" w:rsidR="00BF5DC4" w:rsidRDefault="00BF5DC4" w:rsidP="00BF5DC4">
      <w:r>
        <w:t>Valid estimation of β also requires that patient choice or literacy elicitation function as measurement rather than intervention. Elicitation must be neutral, symmetric, and appropriately timed so as not to influence treatment uptake. Violations—such as asymmetric framing, differential information, or post</w:t>
      </w:r>
      <w:r w:rsidR="00AB5CE1">
        <w:t>-</w:t>
      </w:r>
      <w:r>
        <w:t>treatment measurement—compromise exclusion and render β uninterpretable. Under valid conditions, β captures the outcome consequence of treatment selection under preference, not a specific behavior such as adherence.</w:t>
      </w:r>
    </w:p>
    <w:p w14:paraId="5BD71D85" w14:textId="0801115F" w:rsidR="00BF5DC4" w:rsidRDefault="00BF5DC4" w:rsidP="00BF5DC4">
      <w:r>
        <w:t>Two failure modes follow. Weak or invalid instruments preclude causal identification of α and therefore β. Violations of measurement neutrality contaminate β by inducing rather than observing choice. In either case, the joint structure (</w:t>
      </w:r>
      <w:r w:rsidR="00476EDB">
        <w:rPr>
          <w:rFonts w:ascii="Cambria Math" w:hAnsi="Cambria Math" w:cs="Cambria Math"/>
        </w:rPr>
        <w:t>∣Δα∣</w:t>
      </w:r>
      <w:r>
        <w:t>, β) cannot be reliably decomposed, and the appropriate conclusion is decision</w:t>
      </w:r>
      <w:r w:rsidR="00AB5CE1">
        <w:t>-</w:t>
      </w:r>
      <w:r>
        <w:t>limited ambiguity.</w:t>
      </w:r>
    </w:p>
    <w:p w14:paraId="66944CF5" w14:textId="32B9A007" w:rsidR="00BF5DC4" w:rsidRPr="003942E7" w:rsidRDefault="00BF5DC4" w:rsidP="00BF5DC4">
      <w:r>
        <w:t>Once identification is established, the remaining task is interpretive. Estimates of α and β, on a common clinical scale and evaluated relative to prespecified thresholds of clinical materiality, are then interpreted according to the regime</w:t>
      </w:r>
      <w:r w:rsidR="00AB5CE1">
        <w:t>-</w:t>
      </w:r>
      <w:r>
        <w:t xml:space="preserve">based rules in the following section, S4. </w:t>
      </w:r>
    </w:p>
    <w:p w14:paraId="62594472" w14:textId="77777777" w:rsidR="00BF5DC4" w:rsidRPr="00E940D7" w:rsidRDefault="00BF5DC4" w:rsidP="00BF5DC4"/>
    <w:p w14:paraId="15A3A368" w14:textId="77777777" w:rsidR="00BF5DC4" w:rsidRDefault="00BF5DC4" w:rsidP="00BF5DC4">
      <w:pPr>
        <w:pStyle w:val="Heading1"/>
        <w:jc w:val="left"/>
        <w:rPr>
          <w:sz w:val="36"/>
          <w:szCs w:val="36"/>
        </w:rPr>
      </w:pPr>
      <w:bookmarkStart w:id="3" w:name="_Toc230299592"/>
      <w:r>
        <w:rPr>
          <w:b/>
          <w:bCs/>
        </w:rPr>
        <w:lastRenderedPageBreak/>
        <w:t xml:space="preserve">S4 </w:t>
      </w:r>
      <w:r w:rsidRPr="00D65076">
        <w:rPr>
          <w:sz w:val="36"/>
          <w:szCs w:val="36"/>
        </w:rPr>
        <w:t>Rules of Interpretation and Design</w:t>
      </w:r>
      <w:bookmarkEnd w:id="3"/>
    </w:p>
    <w:p w14:paraId="41C08607" w14:textId="3A173E38" w:rsidR="00BF5DC4" w:rsidRPr="003942E7" w:rsidRDefault="00BF5DC4" w:rsidP="00BF5DC4">
      <w:r w:rsidRPr="003942E7">
        <w:t xml:space="preserve">Once </w:t>
      </w:r>
      <w:r w:rsidRPr="005F5837">
        <w:t>α</w:t>
      </w:r>
      <w:r w:rsidRPr="003942E7">
        <w:t xml:space="preserve"> and </w:t>
      </w:r>
      <w:r w:rsidRPr="005F5837">
        <w:t>β</w:t>
      </w:r>
      <w:r w:rsidRPr="003942E7">
        <w:t xml:space="preserve"> are identified, interpretation and action are governed by a small set of prespecified </w:t>
      </w:r>
      <w:r>
        <w:t>rules.</w:t>
      </w:r>
      <w:r w:rsidRPr="003942E7">
        <w:t xml:space="preserve"> These five </w:t>
      </w:r>
      <w:r>
        <w:t>rules</w:t>
      </w:r>
      <w:r w:rsidRPr="003942E7">
        <w:t xml:space="preserve"> introduce no new estimands or analytic techniques</w:t>
      </w:r>
      <w:r>
        <w:t>.</w:t>
      </w:r>
      <w:r w:rsidRPr="003942E7">
        <w:t xml:space="preserve"> Rather, they formalize how identified quantities are to be interpreted, how designs should be routed, and how conclusions should be drawn in preference</w:t>
      </w:r>
      <w:r w:rsidR="00AB5CE1">
        <w:t>-</w:t>
      </w:r>
      <w:r w:rsidRPr="003942E7">
        <w:t>sensitive settings</w:t>
      </w:r>
      <w:r>
        <w:t>.</w:t>
      </w:r>
    </w:p>
    <w:p w14:paraId="11E28BB2" w14:textId="62F9741D" w:rsidR="00BF5DC4" w:rsidRPr="003942E7" w:rsidRDefault="00BF5DC4" w:rsidP="00BF5DC4">
      <w:pPr>
        <w:pStyle w:val="ListParagraph"/>
        <w:numPr>
          <w:ilvl w:val="0"/>
          <w:numId w:val="1"/>
        </w:numPr>
        <w:spacing w:before="240"/>
        <w:ind w:right="360"/>
        <w:contextualSpacing w:val="0"/>
        <w:jc w:val="left"/>
      </w:pPr>
      <w:r w:rsidRPr="001753BB">
        <w:rPr>
          <w:b/>
          <w:bCs/>
          <w:sz w:val="28"/>
          <w:szCs w:val="28"/>
        </w:rPr>
        <w:t>R1</w:t>
      </w:r>
      <w:r>
        <w:rPr>
          <w:b/>
          <w:bCs/>
          <w:sz w:val="28"/>
          <w:szCs w:val="28"/>
        </w:rPr>
        <w:t xml:space="preserve"> – </w:t>
      </w:r>
      <w:r w:rsidRPr="001753BB">
        <w:rPr>
          <w:b/>
          <w:bCs/>
          <w:sz w:val="28"/>
          <w:szCs w:val="28"/>
        </w:rPr>
        <w:t>Interpretation Rule</w:t>
      </w:r>
      <w:r>
        <w:rPr>
          <w:b/>
          <w:bCs/>
          <w:sz w:val="28"/>
          <w:szCs w:val="28"/>
        </w:rPr>
        <w:t xml:space="preserve"> </w:t>
      </w:r>
      <w:r w:rsidRPr="003942E7">
        <w:t xml:space="preserve">The joint magnitude of </w:t>
      </w:r>
      <w:r w:rsidR="00476EDB">
        <w:rPr>
          <w:rFonts w:ascii="Cambria Math" w:hAnsi="Cambria Math" w:cs="Cambria Math"/>
        </w:rPr>
        <w:t>∣Δα∣</w:t>
      </w:r>
      <w:r w:rsidRPr="003942E7">
        <w:t xml:space="preserve"> and </w:t>
      </w:r>
      <w:r w:rsidRPr="005F5837">
        <w:t>β</w:t>
      </w:r>
      <w:r w:rsidRPr="003942E7">
        <w:t xml:space="preserve"> determines the appropriate mode of interpretation</w:t>
      </w:r>
      <w:r>
        <w:t>.</w:t>
      </w:r>
    </w:p>
    <w:p w14:paraId="3B15D447" w14:textId="77777777" w:rsidR="00BF5DC4" w:rsidRPr="003942E7" w:rsidRDefault="00BF5DC4" w:rsidP="00BF5DC4">
      <w:pPr>
        <w:pStyle w:val="ListParagraph"/>
        <w:numPr>
          <w:ilvl w:val="0"/>
          <w:numId w:val="1"/>
        </w:numPr>
        <w:spacing w:before="240"/>
        <w:ind w:right="360"/>
        <w:contextualSpacing w:val="0"/>
        <w:jc w:val="left"/>
      </w:pPr>
      <w:r w:rsidRPr="001753BB">
        <w:rPr>
          <w:b/>
          <w:bCs/>
          <w:sz w:val="28"/>
          <w:szCs w:val="28"/>
        </w:rPr>
        <w:t>R2</w:t>
      </w:r>
      <w:r>
        <w:rPr>
          <w:b/>
          <w:bCs/>
          <w:sz w:val="28"/>
          <w:szCs w:val="28"/>
        </w:rPr>
        <w:t xml:space="preserve"> – </w:t>
      </w:r>
      <w:r w:rsidRPr="001753BB">
        <w:rPr>
          <w:b/>
          <w:bCs/>
          <w:sz w:val="28"/>
          <w:szCs w:val="28"/>
        </w:rPr>
        <w:t>Regime Rule</w:t>
      </w:r>
      <w:r>
        <w:rPr>
          <w:b/>
          <w:bCs/>
          <w:sz w:val="28"/>
          <w:szCs w:val="28"/>
        </w:rPr>
        <w:t xml:space="preserve"> </w:t>
      </w:r>
      <w:r w:rsidRPr="00A3263C">
        <w:t>Trial designs are routed by regime to reveal underlying structure</w:t>
      </w:r>
      <w:r>
        <w:t>.</w:t>
      </w:r>
    </w:p>
    <w:p w14:paraId="4F7D6C80" w14:textId="1FEB31EA" w:rsidR="00BF5DC4" w:rsidRPr="003942E7" w:rsidRDefault="00BF5DC4" w:rsidP="00BF5DC4">
      <w:pPr>
        <w:pStyle w:val="ListParagraph"/>
        <w:numPr>
          <w:ilvl w:val="0"/>
          <w:numId w:val="1"/>
        </w:numPr>
        <w:spacing w:before="240"/>
        <w:ind w:right="360"/>
        <w:contextualSpacing w:val="0"/>
        <w:jc w:val="left"/>
      </w:pPr>
      <w:r w:rsidRPr="001753BB">
        <w:rPr>
          <w:b/>
          <w:bCs/>
          <w:sz w:val="28"/>
          <w:szCs w:val="28"/>
        </w:rPr>
        <w:t>R3</w:t>
      </w:r>
      <w:r>
        <w:rPr>
          <w:b/>
          <w:bCs/>
          <w:sz w:val="28"/>
          <w:szCs w:val="28"/>
        </w:rPr>
        <w:t xml:space="preserve"> – </w:t>
      </w:r>
      <w:r w:rsidRPr="001753BB">
        <w:rPr>
          <w:b/>
          <w:bCs/>
          <w:sz w:val="28"/>
          <w:szCs w:val="28"/>
        </w:rPr>
        <w:t>Power Rule</w:t>
      </w:r>
      <w:r>
        <w:rPr>
          <w:b/>
          <w:bCs/>
          <w:sz w:val="28"/>
          <w:szCs w:val="28"/>
        </w:rPr>
        <w:t xml:space="preserve"> </w:t>
      </w:r>
      <w:r w:rsidRPr="003942E7">
        <w:t>Both biological and preference</w:t>
      </w:r>
      <w:r w:rsidR="00AB5CE1">
        <w:t>-</w:t>
      </w:r>
      <w:r w:rsidRPr="003942E7">
        <w:t>mediated effects must be powered to resolve the causal structure</w:t>
      </w:r>
      <w:r>
        <w:t>.</w:t>
      </w:r>
    </w:p>
    <w:p w14:paraId="19B859FF" w14:textId="77777777" w:rsidR="00BF5DC4" w:rsidRPr="003942E7" w:rsidRDefault="00BF5DC4" w:rsidP="00BF5DC4">
      <w:pPr>
        <w:pStyle w:val="ListParagraph"/>
        <w:numPr>
          <w:ilvl w:val="0"/>
          <w:numId w:val="1"/>
        </w:numPr>
        <w:spacing w:before="240"/>
        <w:ind w:right="360"/>
        <w:contextualSpacing w:val="0"/>
        <w:jc w:val="left"/>
      </w:pPr>
      <w:r w:rsidRPr="001753BB">
        <w:rPr>
          <w:b/>
          <w:bCs/>
          <w:sz w:val="28"/>
          <w:szCs w:val="28"/>
        </w:rPr>
        <w:t>R4</w:t>
      </w:r>
      <w:r>
        <w:rPr>
          <w:b/>
          <w:bCs/>
          <w:sz w:val="28"/>
          <w:szCs w:val="28"/>
        </w:rPr>
        <w:t xml:space="preserve"> – </w:t>
      </w:r>
      <w:r w:rsidRPr="001753BB">
        <w:rPr>
          <w:b/>
          <w:bCs/>
          <w:sz w:val="28"/>
          <w:szCs w:val="28"/>
        </w:rPr>
        <w:t>Measurement Rule</w:t>
      </w:r>
      <w:r>
        <w:rPr>
          <w:b/>
          <w:bCs/>
          <w:sz w:val="28"/>
          <w:szCs w:val="28"/>
        </w:rPr>
        <w:t xml:space="preserve"> </w:t>
      </w:r>
      <w:r w:rsidRPr="003942E7">
        <w:t>Preferences and decision quality must be measured without violating identification</w:t>
      </w:r>
      <w:r>
        <w:t>.</w:t>
      </w:r>
    </w:p>
    <w:p w14:paraId="506149E7" w14:textId="77777777" w:rsidR="00BF5DC4" w:rsidRPr="003942E7" w:rsidRDefault="00BF5DC4" w:rsidP="00BF5DC4">
      <w:pPr>
        <w:pStyle w:val="ListParagraph"/>
        <w:numPr>
          <w:ilvl w:val="0"/>
          <w:numId w:val="1"/>
        </w:numPr>
        <w:spacing w:before="240"/>
        <w:ind w:right="360"/>
        <w:contextualSpacing w:val="0"/>
        <w:jc w:val="left"/>
      </w:pPr>
      <w:r w:rsidRPr="001753BB">
        <w:rPr>
          <w:b/>
          <w:bCs/>
          <w:sz w:val="28"/>
          <w:szCs w:val="28"/>
        </w:rPr>
        <w:t>R5</w:t>
      </w:r>
      <w:r>
        <w:rPr>
          <w:b/>
          <w:bCs/>
          <w:sz w:val="28"/>
          <w:szCs w:val="28"/>
        </w:rPr>
        <w:t xml:space="preserve"> – </w:t>
      </w:r>
      <w:r w:rsidRPr="001753BB">
        <w:rPr>
          <w:b/>
          <w:bCs/>
          <w:sz w:val="28"/>
          <w:szCs w:val="28"/>
        </w:rPr>
        <w:t>Complexity Drift Rule</w:t>
      </w:r>
      <w:r>
        <w:rPr>
          <w:b/>
          <w:bCs/>
          <w:sz w:val="28"/>
          <w:szCs w:val="28"/>
        </w:rPr>
        <w:t xml:space="preserve"> </w:t>
      </w:r>
      <w:r w:rsidRPr="003942E7">
        <w:t>As clinical complexity rises, biological contrasts tend to compress while preference effects grow</w:t>
      </w:r>
      <w:r>
        <w:t>.</w:t>
      </w:r>
    </w:p>
    <w:p w14:paraId="3F5CFA96" w14:textId="77777777" w:rsidR="00BF5DC4" w:rsidRPr="003942E7" w:rsidRDefault="00BF5DC4" w:rsidP="00BF5DC4">
      <w:r w:rsidRPr="003942E7">
        <w:t xml:space="preserve">Together, these </w:t>
      </w:r>
      <w:r>
        <w:t>rules</w:t>
      </w:r>
      <w:r w:rsidRPr="003942E7">
        <w:t xml:space="preserve"> ensure that estimation serves interpretation, design follows structure, and action remains aligned with the mechanisms that generate outcomes</w:t>
      </w:r>
      <w:r>
        <w:t>.</w:t>
      </w:r>
    </w:p>
    <w:p w14:paraId="6D0613E5" w14:textId="77777777" w:rsidR="00BF5DC4" w:rsidRPr="003B3A2B" w:rsidRDefault="00BF5DC4" w:rsidP="00BF5DC4">
      <w:pPr>
        <w:pStyle w:val="Heading3"/>
        <w:rPr>
          <w:rStyle w:val="Strong"/>
        </w:rPr>
      </w:pPr>
      <w:bookmarkStart w:id="4" w:name="_Toc230299593"/>
      <w:r>
        <w:rPr>
          <w:rStyle w:val="Strong"/>
        </w:rPr>
        <w:t>R</w:t>
      </w:r>
      <w:r w:rsidRPr="002C0203">
        <w:rPr>
          <w:rStyle w:val="Strong"/>
        </w:rPr>
        <w:t>1</w:t>
      </w:r>
      <w:r>
        <w:rPr>
          <w:rStyle w:val="Strong"/>
          <w:b w:val="0"/>
          <w:bCs w:val="0"/>
        </w:rPr>
        <w:t xml:space="preserve"> Interpretation</w:t>
      </w:r>
      <w:r w:rsidRPr="003942E7">
        <w:rPr>
          <w:rStyle w:val="Strong"/>
          <w:b w:val="0"/>
          <w:bCs w:val="0"/>
        </w:rPr>
        <w:t xml:space="preserve"> </w:t>
      </w:r>
      <w:r w:rsidRPr="003B3A2B">
        <w:rPr>
          <w:rStyle w:val="Strong"/>
          <w:b w:val="0"/>
          <w:bCs w:val="0"/>
        </w:rPr>
        <w:t>Rule</w:t>
      </w:r>
      <w:bookmarkEnd w:id="4"/>
    </w:p>
    <w:p w14:paraId="1D363C5E" w14:textId="613882F4" w:rsidR="00BF5DC4" w:rsidRPr="003942E7" w:rsidRDefault="00BF5DC4" w:rsidP="00BF5DC4">
      <w:r>
        <w:t>The first rule governs interpretation. Given estimates of the net biological contrast (</w:t>
      </w:r>
      <w:r w:rsidR="00476EDB">
        <w:rPr>
          <w:rFonts w:ascii="Cambria Math" w:hAnsi="Cambria Math" w:cs="Cambria Math"/>
        </w:rPr>
        <w:t>∣Δα∣</w:t>
      </w:r>
      <w:r>
        <w:t>) and the preference</w:t>
      </w:r>
      <w:r w:rsidR="00AB5CE1">
        <w:rPr>
          <w:rFonts w:ascii="Cambria Math" w:hAnsi="Cambria Math" w:cs="Cambria Math"/>
        </w:rPr>
        <w:t>-</w:t>
      </w:r>
      <w:r>
        <w:t>mediated effect (</w:t>
      </w:r>
      <w:r>
        <w:rPr>
          <w:rFonts w:ascii="Aptos" w:hAnsi="Aptos" w:cs="Aptos"/>
        </w:rPr>
        <w:t>β</w:t>
      </w:r>
      <w:r>
        <w:t xml:space="preserve">), conclusions follow from their joint magnitude relative to clinical materiality. When </w:t>
      </w:r>
      <w:r w:rsidR="00476EDB">
        <w:rPr>
          <w:rFonts w:ascii="Cambria Math" w:hAnsi="Cambria Math" w:cs="Cambria Math"/>
        </w:rPr>
        <w:t>∣Δα∣</w:t>
      </w:r>
      <w:r>
        <w:t xml:space="preserve"> exceeds the MCID, interpretation is </w:t>
      </w:r>
      <w:r>
        <w:rPr>
          <w:rFonts w:ascii="Aptos" w:hAnsi="Aptos" w:cs="Aptos"/>
        </w:rPr>
        <w:t>α</w:t>
      </w:r>
      <w:r w:rsidR="00AB5CE1">
        <w:rPr>
          <w:rFonts w:ascii="Cambria Math" w:hAnsi="Cambria Math" w:cs="Cambria Math"/>
        </w:rPr>
        <w:t>-</w:t>
      </w:r>
      <w:r>
        <w:t xml:space="preserve">first and classical randomized inference suffices. When </w:t>
      </w:r>
      <w:r w:rsidR="00476EDB">
        <w:rPr>
          <w:rFonts w:ascii="Cambria Math" w:hAnsi="Cambria Math" w:cs="Cambria Math"/>
        </w:rPr>
        <w:t>∣Δα∣</w:t>
      </w:r>
      <w:r>
        <w:t xml:space="preserve"> is small but </w:t>
      </w:r>
      <w:r>
        <w:rPr>
          <w:rFonts w:ascii="Aptos" w:hAnsi="Aptos" w:cs="Aptos"/>
        </w:rPr>
        <w:t>β</w:t>
      </w:r>
      <w:r>
        <w:t xml:space="preserve"> is clinically meaningful, interpretation becomes </w:t>
      </w:r>
      <w:r>
        <w:rPr>
          <w:rFonts w:ascii="Aptos" w:hAnsi="Aptos" w:cs="Aptos"/>
        </w:rPr>
        <w:t>β</w:t>
      </w:r>
      <w:r w:rsidR="00AB5CE1">
        <w:rPr>
          <w:rFonts w:ascii="Cambria Math" w:hAnsi="Cambria Math" w:cs="Cambria Math"/>
        </w:rPr>
        <w:t>-</w:t>
      </w:r>
      <w:r>
        <w:t>first and outcomes are understood as driven primarily by informed choice under biological equipoise. Intermediate cases require coprimary interpretation of α and β; when neither estimand is reliably identified, the appropriate conclusion is decision</w:t>
      </w:r>
      <w:r w:rsidR="00AB5CE1">
        <w:rPr>
          <w:rFonts w:ascii="Cambria Math" w:hAnsi="Cambria Math" w:cs="Cambria Math"/>
        </w:rPr>
        <w:t>-</w:t>
      </w:r>
      <w:r>
        <w:t>limited ambiguity. This rule makes explicit that interpretation is not conventional but determined by effect structure, preventing both over</w:t>
      </w:r>
      <w:r w:rsidR="00AB5CE1">
        <w:rPr>
          <w:rFonts w:ascii="Cambria Math" w:hAnsi="Cambria Math" w:cs="Cambria Math"/>
        </w:rPr>
        <w:t>-</w:t>
      </w:r>
      <w:r>
        <w:t>interpretation of null biological contrasts and under</w:t>
      </w:r>
      <w:r w:rsidR="00AB5CE1">
        <w:rPr>
          <w:rFonts w:ascii="Cambria Math" w:hAnsi="Cambria Math" w:cs="Cambria Math"/>
        </w:rPr>
        <w:t>-</w:t>
      </w:r>
      <w:r>
        <w:t>recognition of clinically consequential preference effects.</w:t>
      </w:r>
    </w:p>
    <w:p w14:paraId="44B6A582" w14:textId="77777777" w:rsidR="00BF5DC4" w:rsidRPr="003942E7" w:rsidRDefault="00BF5DC4" w:rsidP="00BF5DC4">
      <w:pPr>
        <w:pStyle w:val="Heading3"/>
      </w:pPr>
      <w:bookmarkStart w:id="5" w:name="_Toc230299594"/>
      <w:r>
        <w:rPr>
          <w:rStyle w:val="Strong"/>
        </w:rPr>
        <w:lastRenderedPageBreak/>
        <w:t>R</w:t>
      </w:r>
      <w:r w:rsidRPr="002C0203">
        <w:rPr>
          <w:rStyle w:val="Strong"/>
        </w:rPr>
        <w:t>2</w:t>
      </w:r>
      <w:r>
        <w:rPr>
          <w:rStyle w:val="Strong"/>
          <w:b w:val="0"/>
          <w:bCs w:val="0"/>
        </w:rPr>
        <w:t xml:space="preserve"> </w:t>
      </w:r>
      <w:r w:rsidRPr="003942E7">
        <w:rPr>
          <w:rStyle w:val="Strong"/>
          <w:b w:val="0"/>
          <w:bCs w:val="0"/>
        </w:rPr>
        <w:t xml:space="preserve">Regime </w:t>
      </w:r>
      <w:r w:rsidRPr="003B3A2B">
        <w:rPr>
          <w:rStyle w:val="Strong"/>
          <w:b w:val="0"/>
          <w:bCs w:val="0"/>
        </w:rPr>
        <w:t>Rule</w:t>
      </w:r>
      <w:bookmarkEnd w:id="5"/>
    </w:p>
    <w:p w14:paraId="2DF85162" w14:textId="6C392E9F" w:rsidR="00BF5DC4" w:rsidRPr="003942E7" w:rsidRDefault="00BF5DC4" w:rsidP="00BF5DC4">
      <w:r>
        <w:t>The second rule governs design choice. Trial designs are selected to reveal the underlying regime, not to enforce an inferential tradition. In α</w:t>
      </w:r>
      <w:r w:rsidR="00AB5CE1">
        <w:rPr>
          <w:rFonts w:ascii="Cambria Math" w:hAnsi="Cambria Math" w:cs="Cambria Math"/>
        </w:rPr>
        <w:t>-</w:t>
      </w:r>
      <w:r>
        <w:t xml:space="preserve">dominant settings, standard randomized designs are sufficient. In mixed or </w:t>
      </w:r>
      <w:r>
        <w:rPr>
          <w:rFonts w:ascii="Aptos" w:hAnsi="Aptos" w:cs="Aptos"/>
        </w:rPr>
        <w:t>β</w:t>
      </w:r>
      <w:r w:rsidR="00AB5CE1">
        <w:rPr>
          <w:rFonts w:ascii="Cambria Math" w:hAnsi="Cambria Math" w:cs="Cambria Math"/>
        </w:rPr>
        <w:t>-</w:t>
      </w:r>
      <w:r>
        <w:t xml:space="preserve">dominant settings, designs that permit estimation of </w:t>
      </w:r>
      <w:r>
        <w:rPr>
          <w:rFonts w:ascii="Aptos" w:hAnsi="Aptos" w:cs="Aptos"/>
        </w:rPr>
        <w:t>β—</w:t>
      </w:r>
      <w:r>
        <w:t>such as preference</w:t>
      </w:r>
      <w:r w:rsidR="00AB5CE1">
        <w:rPr>
          <w:rFonts w:ascii="Cambria Math" w:hAnsi="Cambria Math" w:cs="Cambria Math"/>
        </w:rPr>
        <w:t>-</w:t>
      </w:r>
      <w:r>
        <w:t>stratified randomization or instrumental</w:t>
      </w:r>
      <w:r w:rsidR="00AB5CE1">
        <w:rPr>
          <w:rFonts w:ascii="Cambria Math" w:hAnsi="Cambria Math" w:cs="Cambria Math"/>
        </w:rPr>
        <w:t>-</w:t>
      </w:r>
      <w:r>
        <w:t>variable encouragement</w:t>
      </w:r>
      <w:r>
        <w:rPr>
          <w:rFonts w:ascii="Aptos" w:hAnsi="Aptos" w:cs="Aptos"/>
        </w:rPr>
        <w:t>—</w:t>
      </w:r>
      <w:r>
        <w:t>are required. When identification is uncertain, designs should prioritize diagnostics over estimation, for example by strengthening instruments or using adaptive encouragement. Design is therefore not chosen first and interpreted later; it is routed by the expected location of the trial in (</w:t>
      </w:r>
      <w:r w:rsidR="00476EDB">
        <w:rPr>
          <w:rFonts w:ascii="Cambria Math" w:hAnsi="Cambria Math" w:cs="Cambria Math"/>
        </w:rPr>
        <w:t>∣Δα∣</w:t>
      </w:r>
      <w:r w:rsidR="00097E75">
        <w:t xml:space="preserve">, </w:t>
      </w:r>
      <w:r>
        <w:t>β) space, with the aim of making that location empirically legible.</w:t>
      </w:r>
    </w:p>
    <w:p w14:paraId="2A56D852" w14:textId="77777777" w:rsidR="00BF5DC4" w:rsidRPr="003B3A2B" w:rsidRDefault="00BF5DC4" w:rsidP="00BF5DC4">
      <w:pPr>
        <w:pStyle w:val="Heading3"/>
        <w:rPr>
          <w:rStyle w:val="Strong"/>
        </w:rPr>
      </w:pPr>
      <w:bookmarkStart w:id="6" w:name="_Toc230299595"/>
      <w:r>
        <w:rPr>
          <w:rStyle w:val="Strong"/>
        </w:rPr>
        <w:t>R</w:t>
      </w:r>
      <w:r w:rsidRPr="002C0203">
        <w:rPr>
          <w:rStyle w:val="Strong"/>
        </w:rPr>
        <w:t>3</w:t>
      </w:r>
      <w:r>
        <w:rPr>
          <w:rStyle w:val="Strong"/>
          <w:b w:val="0"/>
          <w:bCs w:val="0"/>
        </w:rPr>
        <w:t xml:space="preserve"> </w:t>
      </w:r>
      <w:r w:rsidRPr="003942E7">
        <w:rPr>
          <w:rStyle w:val="Strong"/>
          <w:b w:val="0"/>
          <w:bCs w:val="0"/>
        </w:rPr>
        <w:t xml:space="preserve">Power </w:t>
      </w:r>
      <w:r w:rsidRPr="003B3A2B">
        <w:rPr>
          <w:rStyle w:val="Strong"/>
          <w:b w:val="0"/>
          <w:bCs w:val="0"/>
        </w:rPr>
        <w:t>Rule</w:t>
      </w:r>
      <w:bookmarkEnd w:id="6"/>
    </w:p>
    <w:p w14:paraId="60B592B6" w14:textId="402B8467" w:rsidR="00BF5DC4" w:rsidRPr="003942E7" w:rsidRDefault="00BF5DC4" w:rsidP="00BF5DC4">
      <w:r>
        <w:t>The third rule governs statistical power. In preference</w:t>
      </w:r>
      <w:r w:rsidR="00AB5CE1">
        <w:rPr>
          <w:rFonts w:ascii="Cambria Math" w:hAnsi="Cambria Math" w:cs="Cambria Math"/>
        </w:rPr>
        <w:t>-</w:t>
      </w:r>
      <w:r>
        <w:t xml:space="preserve">sensitive care, powering a trial solely for </w:t>
      </w:r>
      <w:r w:rsidR="00476EDB">
        <w:rPr>
          <w:rFonts w:ascii="Cambria Math" w:hAnsi="Cambria Math" w:cs="Cambria Math"/>
        </w:rPr>
        <w:t>∣Δα∣</w:t>
      </w:r>
      <w:r>
        <w:t xml:space="preserve"> is insufficient: both </w:t>
      </w:r>
      <w:r w:rsidR="00476EDB">
        <w:rPr>
          <w:rFonts w:ascii="Cambria Math" w:hAnsi="Cambria Math" w:cs="Cambria Math"/>
        </w:rPr>
        <w:t>∣Δα∣</w:t>
      </w:r>
      <w:r>
        <w:t xml:space="preserve"> and </w:t>
      </w:r>
      <w:r>
        <w:rPr>
          <w:rFonts w:ascii="Aptos" w:hAnsi="Aptos" w:cs="Aptos"/>
        </w:rPr>
        <w:t>β</w:t>
      </w:r>
      <w:r>
        <w:t xml:space="preserve"> must be powered to support regime classification and interpretation. Trials powered for </w:t>
      </w:r>
      <w:r>
        <w:rPr>
          <w:rFonts w:ascii="Aptos" w:hAnsi="Aptos" w:cs="Aptos"/>
        </w:rPr>
        <w:t>α</w:t>
      </w:r>
      <w:r>
        <w:t xml:space="preserve"> but underpowered for </w:t>
      </w:r>
      <w:r>
        <w:rPr>
          <w:rFonts w:ascii="Aptos" w:hAnsi="Aptos" w:cs="Aptos"/>
        </w:rPr>
        <w:t>β</w:t>
      </w:r>
      <w:r>
        <w:t xml:space="preserve"> cannot distinguish </w:t>
      </w:r>
      <w:r>
        <w:rPr>
          <w:rFonts w:ascii="Aptos" w:hAnsi="Aptos" w:cs="Aptos"/>
        </w:rPr>
        <w:t>α</w:t>
      </w:r>
      <w:r w:rsidR="00AB5CE1">
        <w:rPr>
          <w:rFonts w:ascii="Cambria Math" w:hAnsi="Cambria Math" w:cs="Cambria Math"/>
        </w:rPr>
        <w:t>-</w:t>
      </w:r>
      <w:r>
        <w:t xml:space="preserve">dominant from </w:t>
      </w:r>
      <w:r>
        <w:rPr>
          <w:rFonts w:ascii="Aptos" w:hAnsi="Aptos" w:cs="Aptos"/>
        </w:rPr>
        <w:t>β</w:t>
      </w:r>
      <w:r w:rsidR="00AB5CE1">
        <w:rPr>
          <w:rFonts w:ascii="Cambria Math" w:hAnsi="Cambria Math" w:cs="Cambria Math"/>
        </w:rPr>
        <w:t>-</w:t>
      </w:r>
      <w:r>
        <w:t>dominant regimes and risk misinterpretation, even when statistically negative. Power therefore serves to resolve causal structure, not a single effect. Because β identification relies on variation in treatment uptake, allowing crossover weakens the first stage and inflates variance in α, while suppressing crossover maximizes precision for α by conditioning the trial on an α</w:t>
      </w:r>
      <w:r w:rsidR="00AB5CE1">
        <w:rPr>
          <w:rFonts w:ascii="Cambria Math" w:hAnsi="Cambria Math" w:cs="Cambria Math"/>
        </w:rPr>
        <w:t>-</w:t>
      </w:r>
      <w:r>
        <w:t>dominant estimand. Power allocation must therefore be regime</w:t>
      </w:r>
      <w:r w:rsidR="00AB5CE1">
        <w:rPr>
          <w:rFonts w:ascii="Cambria Math" w:hAnsi="Cambria Math" w:cs="Cambria Math"/>
        </w:rPr>
        <w:t>-</w:t>
      </w:r>
      <w:r>
        <w:t xml:space="preserve">appropriate: maximizing precision for </w:t>
      </w:r>
      <w:r>
        <w:rPr>
          <w:rFonts w:ascii="Aptos" w:hAnsi="Aptos" w:cs="Aptos"/>
        </w:rPr>
        <w:t>α</w:t>
      </w:r>
      <w:r>
        <w:t xml:space="preserve"> is efficient only when </w:t>
      </w:r>
      <w:r>
        <w:rPr>
          <w:rFonts w:ascii="Aptos" w:hAnsi="Aptos" w:cs="Aptos"/>
        </w:rPr>
        <w:t>α</w:t>
      </w:r>
      <w:r>
        <w:t xml:space="preserve"> is the dominant causal driver.</w:t>
      </w:r>
    </w:p>
    <w:p w14:paraId="30CA308D" w14:textId="77777777" w:rsidR="00BF5DC4" w:rsidRPr="003B3A2B" w:rsidRDefault="00BF5DC4" w:rsidP="00BF5DC4">
      <w:pPr>
        <w:pStyle w:val="Heading3"/>
        <w:rPr>
          <w:rStyle w:val="Strong"/>
        </w:rPr>
      </w:pPr>
      <w:bookmarkStart w:id="7" w:name="_Toc230299596"/>
      <w:r>
        <w:rPr>
          <w:rStyle w:val="Strong"/>
          <w:rFonts w:ascii="Segoe UI" w:hAnsi="Segoe UI" w:cs="Segoe UI"/>
        </w:rPr>
        <w:t>R</w:t>
      </w:r>
      <w:r w:rsidRPr="002C0203">
        <w:rPr>
          <w:rStyle w:val="Strong"/>
          <w:rFonts w:ascii="Segoe UI" w:hAnsi="Segoe UI" w:cs="Segoe UI"/>
        </w:rPr>
        <w:t>4</w:t>
      </w:r>
      <w:r>
        <w:rPr>
          <w:rStyle w:val="Strong"/>
          <w:rFonts w:ascii="Segoe UI" w:hAnsi="Segoe UI" w:cs="Segoe UI"/>
          <w:b w:val="0"/>
          <w:bCs w:val="0"/>
        </w:rPr>
        <w:t xml:space="preserve"> </w:t>
      </w:r>
      <w:r w:rsidRPr="003B3A2B">
        <w:rPr>
          <w:rStyle w:val="Strong"/>
          <w:b w:val="0"/>
          <w:bCs w:val="0"/>
        </w:rPr>
        <w:t>Measurement Rule</w:t>
      </w:r>
      <w:bookmarkEnd w:id="7"/>
    </w:p>
    <w:p w14:paraId="57B5624B" w14:textId="24704E8F" w:rsidR="00BF5DC4" w:rsidRPr="003942E7" w:rsidRDefault="00BF5DC4" w:rsidP="00BF5DC4">
      <w:r w:rsidRPr="00DA4A67">
        <w:t xml:space="preserve">The fourth </w:t>
      </w:r>
      <w:r>
        <w:t>rule</w:t>
      </w:r>
      <w:r w:rsidRPr="00DA4A67">
        <w:t xml:space="preserve"> governs measurement. Preferences, decision quality, and medical literacy must be measured in ways that preserve identification. Elicitation must be neutral, symmetric, and appropriately timed so that measurement informs choice without steering it. Asymmetric or retrospective measures contaminate β through persuasion or recall bias and undermine interpretability. Preference measurement is therefore a technical requirement of causal inference, not an optional or ethical add</w:t>
      </w:r>
      <w:r w:rsidR="00AB5CE1">
        <w:rPr>
          <w:rFonts w:ascii="Cambria Math" w:hAnsi="Cambria Math" w:cs="Cambria Math"/>
        </w:rPr>
        <w:t>-</w:t>
      </w:r>
      <w:r w:rsidRPr="00DA4A67">
        <w:t>on.</w:t>
      </w:r>
    </w:p>
    <w:p w14:paraId="6488C59D" w14:textId="77777777" w:rsidR="00BF5DC4" w:rsidRPr="003B3A2B" w:rsidRDefault="00BF5DC4" w:rsidP="00BF5DC4">
      <w:pPr>
        <w:pStyle w:val="Heading3"/>
        <w:rPr>
          <w:rStyle w:val="Strong"/>
        </w:rPr>
      </w:pPr>
      <w:bookmarkStart w:id="8" w:name="_Toc230299597"/>
      <w:r>
        <w:rPr>
          <w:rStyle w:val="Strong"/>
          <w:rFonts w:ascii="Segoe UI" w:hAnsi="Segoe UI" w:cs="Segoe UI"/>
        </w:rPr>
        <w:t>R</w:t>
      </w:r>
      <w:r w:rsidRPr="002C0203">
        <w:rPr>
          <w:rStyle w:val="Strong"/>
          <w:rFonts w:ascii="Segoe UI" w:hAnsi="Segoe UI" w:cs="Segoe UI"/>
        </w:rPr>
        <w:t>5</w:t>
      </w:r>
      <w:r>
        <w:rPr>
          <w:rStyle w:val="Strong"/>
          <w:rFonts w:ascii="Segoe UI" w:hAnsi="Segoe UI" w:cs="Segoe UI"/>
          <w:b w:val="0"/>
          <w:bCs w:val="0"/>
        </w:rPr>
        <w:t xml:space="preserve"> </w:t>
      </w:r>
      <w:r w:rsidRPr="003B3A2B">
        <w:rPr>
          <w:rStyle w:val="Strong"/>
          <w:b w:val="0"/>
          <w:bCs w:val="0"/>
        </w:rPr>
        <w:t>Complexity Rule</w:t>
      </w:r>
      <w:bookmarkEnd w:id="8"/>
    </w:p>
    <w:p w14:paraId="6E12073A" w14:textId="6DBCDAC2" w:rsidR="00BF5DC4" w:rsidRPr="003942E7" w:rsidRDefault="00BF5DC4" w:rsidP="00BF5DC4">
      <w:r w:rsidRPr="00DA4A67">
        <w:t xml:space="preserve">The fifth </w:t>
      </w:r>
      <w:r>
        <w:t>rule</w:t>
      </w:r>
      <w:r w:rsidRPr="00DA4A67">
        <w:t xml:space="preserve"> governs external validity across populations. As age, multimorbidity, and polytherapy increase, biological contrasts tend to compress while patient</w:t>
      </w:r>
      <w:r w:rsidR="00AB5CE1">
        <w:rPr>
          <w:rFonts w:ascii="Cambria Math" w:hAnsi="Cambria Math" w:cs="Cambria Math"/>
        </w:rPr>
        <w:t>-</w:t>
      </w:r>
      <w:r w:rsidRPr="00DA4A67">
        <w:t>relevant trade</w:t>
      </w:r>
      <w:r w:rsidR="00AB5CE1">
        <w:rPr>
          <w:rFonts w:ascii="Cambria Math" w:hAnsi="Cambria Math" w:cs="Cambria Math"/>
        </w:rPr>
        <w:t>-</w:t>
      </w:r>
      <w:r w:rsidRPr="00DA4A67">
        <w:t xml:space="preserve">offs expand, producing predictable drift toward </w:t>
      </w:r>
      <w:r w:rsidRPr="00DA4A67">
        <w:rPr>
          <w:rFonts w:ascii="Aptos" w:hAnsi="Aptos" w:cs="Aptos"/>
        </w:rPr>
        <w:t>β</w:t>
      </w:r>
      <w:r w:rsidR="00AB5CE1">
        <w:rPr>
          <w:rFonts w:ascii="Cambria Math" w:hAnsi="Cambria Math" w:cs="Cambria Math"/>
        </w:rPr>
        <w:t>-</w:t>
      </w:r>
      <w:r w:rsidRPr="00DA4A67">
        <w:t>dominant regimes</w:t>
      </w:r>
      <w:r>
        <w:t xml:space="preserve"> (Figure S1)</w:t>
      </w:r>
      <w:r w:rsidRPr="00DA4A67">
        <w:t xml:space="preserve">. Trials that are </w:t>
      </w:r>
      <w:r w:rsidRPr="00DA4A67">
        <w:rPr>
          <w:rFonts w:ascii="Aptos" w:hAnsi="Aptos" w:cs="Aptos"/>
        </w:rPr>
        <w:t>α</w:t>
      </w:r>
      <w:r w:rsidR="00AB5CE1">
        <w:rPr>
          <w:rFonts w:ascii="Cambria Math" w:hAnsi="Cambria Math" w:cs="Cambria Math"/>
        </w:rPr>
        <w:t>-</w:t>
      </w:r>
      <w:r w:rsidRPr="00DA4A67">
        <w:t>dominant in younger or less complex populations may therefore become preference</w:t>
      </w:r>
      <w:r w:rsidR="00AB5CE1">
        <w:rPr>
          <w:rFonts w:ascii="Cambria Math" w:hAnsi="Cambria Math" w:cs="Cambria Math"/>
        </w:rPr>
        <w:t>-</w:t>
      </w:r>
      <w:r w:rsidRPr="00DA4A67">
        <w:t xml:space="preserve">sensitive in older or more complex settings. Accordingly, </w:t>
      </w:r>
      <w:r w:rsidR="005C0F49">
        <w:t>analyze</w:t>
      </w:r>
      <w:r w:rsidRPr="00DA4A67">
        <w:t xml:space="preserve">s should be reported by relevant complexity strata, and </w:t>
      </w:r>
      <w:r w:rsidRPr="00DA4A67">
        <w:rPr>
          <w:rFonts w:ascii="Aptos" w:hAnsi="Aptos" w:cs="Aptos"/>
        </w:rPr>
        <w:t>α</w:t>
      </w:r>
      <w:r w:rsidR="00AB5CE1">
        <w:rPr>
          <w:rFonts w:ascii="Cambria Math" w:hAnsi="Cambria Math" w:cs="Cambria Math"/>
        </w:rPr>
        <w:t>-</w:t>
      </w:r>
      <w:r w:rsidRPr="00DA4A67">
        <w:t>dominant conclusions should not be transported into settings where β is likely to dominate.</w:t>
      </w:r>
    </w:p>
    <w:p w14:paraId="44AC2B30" w14:textId="342B6357" w:rsidR="00BF5DC4" w:rsidRDefault="00BF5DC4" w:rsidP="00BF5DC4">
      <w:r w:rsidRPr="00DA4A67">
        <w:lastRenderedPageBreak/>
        <w:t xml:space="preserve">Together, these </w:t>
      </w:r>
      <w:r>
        <w:t>rules</w:t>
      </w:r>
      <w:r w:rsidRPr="00DA4A67">
        <w:t xml:space="preserve"> specify how identified estimates should be interpreted and how designs should be routed in preference</w:t>
      </w:r>
      <w:r w:rsidR="00AB5CE1">
        <w:rPr>
          <w:rFonts w:ascii="Cambria Math" w:hAnsi="Cambria Math" w:cs="Cambria Math"/>
        </w:rPr>
        <w:t>-</w:t>
      </w:r>
      <w:r w:rsidRPr="00DA4A67">
        <w:t xml:space="preserve">sensitive care. The methods that follow introduce no new assumptions; they simply operationalize these </w:t>
      </w:r>
      <w:r>
        <w:t>rules</w:t>
      </w:r>
      <w:r w:rsidRPr="00DA4A67">
        <w:t xml:space="preserve"> with minimal machinery so that statistical practice serves interpretation rather than substitutes for it.</w:t>
      </w:r>
      <w:r>
        <w:t xml:space="preserve"> </w:t>
      </w:r>
      <w:r w:rsidRPr="00CB5A39">
        <w:t>Figure S1 schematizes this drift by showing how increasing complexity compresses Δα while amplifying β, shifting settings toward mixed and β</w:t>
      </w:r>
      <w:r w:rsidR="00AB5CE1">
        <w:t>-</w:t>
      </w:r>
      <w:r w:rsidRPr="00CB5A39">
        <w:t>dominant regimes.</w:t>
      </w:r>
    </w:p>
    <w:p w14:paraId="1C01B8AA" w14:textId="44F7E9FB" w:rsidR="00BF5DC4" w:rsidRPr="003A34F2" w:rsidRDefault="00BF5DC4" w:rsidP="00BF5DC4">
      <w:pPr>
        <w:pStyle w:val="FigureTitle"/>
      </w:pPr>
      <w:r w:rsidRPr="003A34F2">
        <w:rPr>
          <w:rStyle w:val="Strong"/>
        </w:rPr>
        <w:t>Figure</w:t>
      </w:r>
      <w:r w:rsidRPr="003A34F2">
        <w:rPr>
          <w:rStyle w:val="Strong"/>
          <w:rFonts w:ascii="Arial" w:hAnsi="Arial" w:cs="Arial"/>
        </w:rPr>
        <w:t> </w:t>
      </w:r>
      <w:r>
        <w:rPr>
          <w:rStyle w:val="Strong"/>
          <w:rFonts w:ascii="Arial" w:hAnsi="Arial" w:cs="Arial"/>
        </w:rPr>
        <w:t>S1</w:t>
      </w:r>
      <w:r w:rsidRPr="003A34F2">
        <w:rPr>
          <w:rStyle w:val="Strong"/>
          <w:b w:val="0"/>
          <w:bCs w:val="0"/>
        </w:rPr>
        <w:t xml:space="preserve">. </w:t>
      </w:r>
      <w:r w:rsidRPr="00D13F47">
        <w:rPr>
          <w:rStyle w:val="Strong"/>
          <w:b w:val="0"/>
          <w:bCs w:val="0"/>
        </w:rPr>
        <w:t>Complexity</w:t>
      </w:r>
      <w:r w:rsidR="00AB5CE1">
        <w:rPr>
          <w:rStyle w:val="Strong"/>
          <w:rFonts w:ascii="Cambria Math" w:hAnsi="Cambria Math" w:cs="Cambria Math"/>
          <w:b w:val="0"/>
          <w:bCs w:val="0"/>
        </w:rPr>
        <w:t>-</w:t>
      </w:r>
      <w:r w:rsidRPr="00D13F47">
        <w:rPr>
          <w:rStyle w:val="Strong"/>
          <w:b w:val="0"/>
          <w:bCs w:val="0"/>
        </w:rPr>
        <w:t xml:space="preserve">Driven Drift from </w:t>
      </w:r>
      <w:r w:rsidRPr="00D13F47">
        <w:rPr>
          <w:rStyle w:val="Strong"/>
          <w:rFonts w:ascii="Aptos" w:hAnsi="Aptos" w:cs="Aptos"/>
          <w:b w:val="0"/>
          <w:bCs w:val="0"/>
        </w:rPr>
        <w:t>α</w:t>
      </w:r>
      <w:r w:rsidR="00AB5CE1">
        <w:rPr>
          <w:rStyle w:val="Strong"/>
          <w:rFonts w:ascii="Cambria Math" w:hAnsi="Cambria Math" w:cs="Cambria Math"/>
          <w:b w:val="0"/>
          <w:bCs w:val="0"/>
        </w:rPr>
        <w:t>-</w:t>
      </w:r>
      <w:r w:rsidRPr="00D13F47">
        <w:rPr>
          <w:rStyle w:val="Strong"/>
          <w:b w:val="0"/>
          <w:bCs w:val="0"/>
        </w:rPr>
        <w:t xml:space="preserve">Dominant to </w:t>
      </w:r>
      <w:r w:rsidRPr="00D13F47">
        <w:rPr>
          <w:rStyle w:val="Strong"/>
          <w:rFonts w:ascii="Aptos" w:hAnsi="Aptos" w:cs="Aptos"/>
          <w:b w:val="0"/>
          <w:bCs w:val="0"/>
        </w:rPr>
        <w:t>β</w:t>
      </w:r>
      <w:r w:rsidR="00AB5CE1">
        <w:rPr>
          <w:rStyle w:val="Strong"/>
          <w:rFonts w:ascii="Cambria Math" w:hAnsi="Cambria Math" w:cs="Cambria Math"/>
          <w:b w:val="0"/>
          <w:bCs w:val="0"/>
        </w:rPr>
        <w:t>-</w:t>
      </w:r>
      <w:r w:rsidRPr="00D13F47">
        <w:rPr>
          <w:rStyle w:val="Strong"/>
          <w:b w:val="0"/>
          <w:bCs w:val="0"/>
        </w:rPr>
        <w:t>Dominant Regimes</w:t>
      </w:r>
    </w:p>
    <w:p w14:paraId="09161EA3" w14:textId="77777777" w:rsidR="00BF5DC4" w:rsidRPr="003942E7" w:rsidRDefault="00BF5DC4" w:rsidP="00BF5DC4">
      <w:pPr>
        <w:pStyle w:val="NormalWeb"/>
        <w:jc w:val="center"/>
      </w:pPr>
      <w:r>
        <w:rPr>
          <w:noProof/>
        </w:rPr>
        <w:drawing>
          <wp:inline distT="0" distB="0" distL="0" distR="0" wp14:anchorId="1C717F7D" wp14:editId="493495DB">
            <wp:extent cx="5067093" cy="4908746"/>
            <wp:effectExtent l="57150" t="57150" r="95885" b="101600"/>
            <wp:docPr id="7" name="Picture 6">
              <a:extLst xmlns:a="http://schemas.openxmlformats.org/drawingml/2006/main">
                <a:ext uri="{FF2B5EF4-FFF2-40B4-BE49-F238E27FC236}">
                  <a16:creationId xmlns:a16="http://schemas.microsoft.com/office/drawing/2014/main" id="{53CD2571-209C-D9FD-7F45-D7162033B94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53CD2571-209C-D9FD-7F45-D7162033B94F}"/>
                        </a:ext>
                      </a:extLst>
                    </pic:cNvPr>
                    <pic:cNvPicPr>
                      <a:picLocks noChangeAspect="1"/>
                    </pic:cNvPicPr>
                  </pic:nvPicPr>
                  <pic:blipFill>
                    <a:blip r:embed="rId8"/>
                    <a:stretch>
                      <a:fillRect/>
                    </a:stretch>
                  </pic:blipFill>
                  <pic:spPr>
                    <a:xfrm>
                      <a:off x="0" y="0"/>
                      <a:ext cx="5113904" cy="4954094"/>
                    </a:xfrm>
                    <a:prstGeom prst="rect">
                      <a:avLst/>
                    </a:prstGeom>
                    <a:ln>
                      <a:solidFill>
                        <a:schemeClr val="bg1">
                          <a:lumMod val="85000"/>
                        </a:schemeClr>
                      </a:solidFill>
                    </a:ln>
                    <a:effectLst>
                      <a:outerShdw blurRad="50800" dist="38100" dir="2700000" algn="tl" rotWithShape="0">
                        <a:prstClr val="black">
                          <a:alpha val="40000"/>
                        </a:prstClr>
                      </a:outerShdw>
                    </a:effectLst>
                  </pic:spPr>
                </pic:pic>
              </a:graphicData>
            </a:graphic>
          </wp:inline>
        </w:drawing>
      </w:r>
    </w:p>
    <w:p w14:paraId="30A214A1" w14:textId="70A76EF0" w:rsidR="00BF5DC4" w:rsidRPr="003942E7" w:rsidRDefault="00BF5DC4" w:rsidP="00BF5DC4">
      <w:pPr>
        <w:pStyle w:val="FigureCaption"/>
      </w:pPr>
      <w:r>
        <w:t>Schematic representation of how increasing clinical complexity—through aging, multimorbidity, frailty, and polytherapy—compresses biological contrasts (Δα) while amplifying preference</w:t>
      </w:r>
      <w:r w:rsidR="00AB5CE1">
        <w:t>-</w:t>
      </w:r>
      <w:r>
        <w:t>mediated effects (</w:t>
      </w:r>
      <w:r w:rsidRPr="00CB5A39">
        <w:t>β</w:t>
      </w:r>
      <w:r>
        <w:t xml:space="preserve">), shifting clinical decision settings and the trials that study them from </w:t>
      </w:r>
      <w:r w:rsidRPr="00CB5A39">
        <w:t>α</w:t>
      </w:r>
      <w:r w:rsidR="00AB5CE1">
        <w:t>-</w:t>
      </w:r>
      <w:r>
        <w:t xml:space="preserve">dominant (B1) toward mixed (B2) and </w:t>
      </w:r>
      <w:r w:rsidRPr="00CB5A39">
        <w:t>β</w:t>
      </w:r>
      <w:r w:rsidR="00AB5CE1">
        <w:t>-</w:t>
      </w:r>
      <w:r>
        <w:t>dominant (B4) regimes. Points illustrate representative locations at low, moderate, and high complexity, with the trajectory indicating progressive drift. This shift reflects a change in the underlying outcome</w:t>
      </w:r>
      <w:r w:rsidR="00AB5CE1">
        <w:t>-</w:t>
      </w:r>
      <w:r>
        <w:t>generating process: as therapeutic differences narrow and competing risks and trade</w:t>
      </w:r>
      <w:r w:rsidR="00AB5CE1">
        <w:t>-</w:t>
      </w:r>
      <w:r>
        <w:t>offs increase, outcomes depend more on patient choice (A1), and interpretation must follow the joint structure of (</w:t>
      </w:r>
      <w:r w:rsidR="00476EDB">
        <w:rPr>
          <w:rFonts w:ascii="Cambria Math" w:hAnsi="Cambria Math" w:cs="Cambria Math"/>
        </w:rPr>
        <w:t>∣</w:t>
      </w:r>
      <w:r w:rsidR="00476EDB">
        <w:rPr>
          <w:rFonts w:ascii="Aptos" w:hAnsi="Aptos" w:cs="Aptos"/>
        </w:rPr>
        <w:t>Δα</w:t>
      </w:r>
      <w:r w:rsidR="00476EDB">
        <w:rPr>
          <w:rFonts w:ascii="Cambria Math" w:hAnsi="Cambria Math" w:cs="Cambria Math"/>
        </w:rPr>
        <w:t>∣</w:t>
      </w:r>
      <w:r>
        <w:t>,</w:t>
      </w:r>
      <w:r w:rsidRPr="00CB5A39">
        <w:rPr>
          <w:rFonts w:ascii="Arial" w:hAnsi="Arial" w:cs="Arial"/>
        </w:rPr>
        <w:t> </w:t>
      </w:r>
      <w:r w:rsidRPr="00CB5A39">
        <w:t>β</w:t>
      </w:r>
      <w:r>
        <w:t>) (R1). Under the Complexity Drift Rule (R5), identical trial designs may therefore carry different inferential meaning across clinical strata.</w:t>
      </w:r>
    </w:p>
    <w:p w14:paraId="54FE2DEB" w14:textId="77777777" w:rsidR="00BF5DC4" w:rsidRDefault="00BF5DC4" w:rsidP="00BF5DC4">
      <w:pPr>
        <w:pStyle w:val="Heading1"/>
        <w:pageBreakBefore w:val="0"/>
        <w:jc w:val="left"/>
        <w:rPr>
          <w:sz w:val="36"/>
          <w:szCs w:val="36"/>
        </w:rPr>
      </w:pPr>
      <w:bookmarkStart w:id="9" w:name="_Toc230299598"/>
      <w:r>
        <w:rPr>
          <w:b/>
          <w:bCs/>
        </w:rPr>
        <w:lastRenderedPageBreak/>
        <w:t xml:space="preserve">S5 </w:t>
      </w:r>
      <w:r w:rsidRPr="00D65076">
        <w:rPr>
          <w:sz w:val="36"/>
          <w:szCs w:val="36"/>
        </w:rPr>
        <w:t>Statistical Implementation</w:t>
      </w:r>
      <w:bookmarkEnd w:id="9"/>
    </w:p>
    <w:p w14:paraId="36346A83" w14:textId="609FD97E" w:rsidR="00BF5DC4" w:rsidRPr="003942E7" w:rsidRDefault="00BF5DC4" w:rsidP="00BF5DC4">
      <w:r w:rsidRPr="00DA4A67">
        <w:t xml:space="preserve">The methods that follow simply operationalize the prespecified </w:t>
      </w:r>
      <w:r>
        <w:t>rules</w:t>
      </w:r>
      <w:r w:rsidRPr="00DA4A67">
        <w:t xml:space="preserve"> with minimal machinery. Each component maps directly to one or more </w:t>
      </w:r>
      <w:r>
        <w:t>rules</w:t>
      </w:r>
      <w:r w:rsidRPr="00DA4A67">
        <w:t>, covering identification of α and β, diagnostics and uncertainty, preference measurement, and regime</w:t>
      </w:r>
      <w:r w:rsidR="00AB5CE1">
        <w:rPr>
          <w:rFonts w:ascii="Cambria Math" w:hAnsi="Cambria Math" w:cs="Cambria Math"/>
        </w:rPr>
        <w:t>-</w:t>
      </w:r>
      <w:r w:rsidRPr="00DA4A67">
        <w:t>appropriate power. Together, they are sufficient</w:t>
      </w:r>
      <w:r w:rsidRPr="00DA4A67">
        <w:rPr>
          <w:rFonts w:ascii="Aptos" w:hAnsi="Aptos" w:cs="Aptos"/>
        </w:rPr>
        <w:t>—</w:t>
      </w:r>
      <w:r w:rsidRPr="00DA4A67">
        <w:t>but not excessive</w:t>
      </w:r>
      <w:r w:rsidRPr="00DA4A67">
        <w:rPr>
          <w:rFonts w:ascii="Aptos" w:hAnsi="Aptos" w:cs="Aptos"/>
        </w:rPr>
        <w:t>—</w:t>
      </w:r>
      <w:r w:rsidRPr="00DA4A67">
        <w:t>to implement the framework across regimes.</w:t>
      </w:r>
    </w:p>
    <w:p w14:paraId="13E6EAC6" w14:textId="7526318E" w:rsidR="00BF5DC4" w:rsidRPr="003942E7" w:rsidRDefault="00BF5DC4" w:rsidP="00BF5DC4">
      <w:pPr>
        <w:pStyle w:val="Heading3"/>
      </w:pPr>
      <w:bookmarkStart w:id="10" w:name="_Toc230299599"/>
      <w:r w:rsidRPr="002C0203">
        <w:rPr>
          <w:rStyle w:val="Strong"/>
        </w:rPr>
        <w:t>M1</w:t>
      </w:r>
      <w:r>
        <w:rPr>
          <w:rStyle w:val="Strong"/>
          <w:b w:val="0"/>
          <w:bCs w:val="0"/>
        </w:rPr>
        <w:t xml:space="preserve"> </w:t>
      </w:r>
      <w:r w:rsidRPr="003942E7">
        <w:rPr>
          <w:rStyle w:val="Strong"/>
          <w:b w:val="0"/>
          <w:bCs w:val="0"/>
        </w:rPr>
        <w:t xml:space="preserve">Identify </w:t>
      </w:r>
      <w:r w:rsidRPr="005F5837">
        <w:rPr>
          <w:rStyle w:val="Strong"/>
          <w:b w:val="0"/>
          <w:bCs w:val="0"/>
        </w:rPr>
        <w:t>α</w:t>
      </w:r>
      <w:r w:rsidRPr="003942E7">
        <w:rPr>
          <w:rStyle w:val="Strong"/>
          <w:b w:val="0"/>
          <w:bCs w:val="0"/>
        </w:rPr>
        <w:t xml:space="preserve"> </w:t>
      </w:r>
      <w:r>
        <w:rPr>
          <w:rStyle w:val="Strong"/>
          <w:b w:val="0"/>
          <w:bCs w:val="0"/>
        </w:rPr>
        <w:t>U</w:t>
      </w:r>
      <w:r w:rsidRPr="003942E7">
        <w:rPr>
          <w:rStyle w:val="Strong"/>
          <w:b w:val="0"/>
          <w:bCs w:val="0"/>
        </w:rPr>
        <w:t xml:space="preserve">nder </w:t>
      </w:r>
      <w:r>
        <w:rPr>
          <w:rStyle w:val="Strong"/>
          <w:b w:val="0"/>
          <w:bCs w:val="0"/>
        </w:rPr>
        <w:t>N</w:t>
      </w:r>
      <w:r w:rsidRPr="003942E7">
        <w:rPr>
          <w:rStyle w:val="Strong"/>
          <w:b w:val="0"/>
          <w:bCs w:val="0"/>
        </w:rPr>
        <w:t>on</w:t>
      </w:r>
      <w:r w:rsidR="00AB5CE1">
        <w:rPr>
          <w:rStyle w:val="Strong"/>
          <w:b w:val="0"/>
          <w:bCs w:val="0"/>
        </w:rPr>
        <w:t>-</w:t>
      </w:r>
      <w:r w:rsidRPr="003942E7">
        <w:rPr>
          <w:rStyle w:val="Strong"/>
          <w:b w:val="0"/>
          <w:bCs w:val="0"/>
        </w:rPr>
        <w:t>adherence</w:t>
      </w:r>
      <w:bookmarkEnd w:id="10"/>
    </w:p>
    <w:p w14:paraId="1CC976D6" w14:textId="58E082AB" w:rsidR="00BF5DC4" w:rsidRPr="003942E7" w:rsidRDefault="00BF5DC4" w:rsidP="00BF5DC4">
      <w:r>
        <w:t>We estimate the biological treatment effect (α) on a clinically meaningful outcome scale, reporting both the intention</w:t>
      </w:r>
      <w:r w:rsidR="00AB5CE1">
        <w:rPr>
          <w:rFonts w:ascii="Cambria Math" w:hAnsi="Cambria Math" w:cs="Cambria Math"/>
        </w:rPr>
        <w:t>-</w:t>
      </w:r>
      <w:r>
        <w:t>to</w:t>
      </w:r>
      <w:r w:rsidR="00AB5CE1">
        <w:rPr>
          <w:rFonts w:ascii="Cambria Math" w:hAnsi="Cambria Math" w:cs="Cambria Math"/>
        </w:rPr>
        <w:t>-</w:t>
      </w:r>
      <w:r>
        <w:t>treat (ITT) effect and, when nonadherence is present, LATE/CACE identified via instrumental variables.</w:t>
      </w:r>
      <w:r w:rsidRPr="001753BB">
        <w:rPr>
          <w:vertAlign w:val="superscript"/>
        </w:rPr>
        <w:t>S2</w:t>
      </w:r>
      <w:r>
        <w:t xml:space="preserve"> ITT captures programmatic effectiveness; LATE/CACE recovers biological efficacy among compliers under standard IV conditions (relevance, exclusion, independence, monotonicity). For time</w:t>
      </w:r>
      <w:r w:rsidR="00AB5CE1">
        <w:rPr>
          <w:rFonts w:ascii="Cambria Math" w:hAnsi="Cambria Math" w:cs="Cambria Math"/>
        </w:rPr>
        <w:t>-</w:t>
      </w:r>
      <w:r>
        <w:t>to</w:t>
      </w:r>
      <w:r w:rsidR="00AB5CE1">
        <w:rPr>
          <w:rFonts w:ascii="Cambria Math" w:hAnsi="Cambria Math" w:cs="Cambria Math"/>
        </w:rPr>
        <w:t>-</w:t>
      </w:r>
      <w:r>
        <w:t xml:space="preserve">event outcomes, </w:t>
      </w:r>
      <w:r>
        <w:rPr>
          <w:rFonts w:ascii="Aptos" w:hAnsi="Aptos" w:cs="Aptos"/>
        </w:rPr>
        <w:t>α</w:t>
      </w:r>
      <w:r>
        <w:t xml:space="preserve"> is expressed on a shared survival link (e.g., accelerated failure</w:t>
      </w:r>
      <w:r w:rsidR="00AB5CE1">
        <w:rPr>
          <w:rFonts w:ascii="Cambria Math" w:hAnsi="Cambria Math" w:cs="Cambria Math"/>
        </w:rPr>
        <w:t>-</w:t>
      </w:r>
      <w:r>
        <w:t xml:space="preserve">time or semiparametric transformation models), ensuring comparability with </w:t>
      </w:r>
      <w:r w:rsidR="00476EDB">
        <w:rPr>
          <w:rFonts w:ascii="Cambria Math" w:hAnsi="Cambria Math" w:cs="Cambria Math"/>
        </w:rPr>
        <w:t>∣Δα∣</w:t>
      </w:r>
      <w:r>
        <w:t xml:space="preserve"> and </w:t>
      </w:r>
      <w:r>
        <w:rPr>
          <w:rFonts w:ascii="Aptos" w:hAnsi="Aptos" w:cs="Aptos"/>
        </w:rPr>
        <w:t>β</w:t>
      </w:r>
      <w:r>
        <w:t>. Identification diagnostics</w:t>
      </w:r>
      <w:r>
        <w:rPr>
          <w:rFonts w:ascii="Aptos" w:hAnsi="Aptos" w:cs="Aptos"/>
        </w:rPr>
        <w:t>—</w:t>
      </w:r>
      <w:r>
        <w:t>including first</w:t>
      </w:r>
      <w:r w:rsidR="00AB5CE1">
        <w:rPr>
          <w:rFonts w:ascii="Cambria Math" w:hAnsi="Cambria Math" w:cs="Cambria Math"/>
        </w:rPr>
        <w:t>-</w:t>
      </w:r>
      <w:r>
        <w:t xml:space="preserve">stage </w:t>
      </w:r>
      <w:r w:rsidRPr="00DA4A67">
        <w:rPr>
          <w:i/>
          <w:iCs/>
        </w:rPr>
        <w:t>F</w:t>
      </w:r>
      <w:r>
        <w:t xml:space="preserve">, partial </w:t>
      </w:r>
      <w:r w:rsidRPr="00DA4A67">
        <w:rPr>
          <w:i/>
          <w:iCs/>
        </w:rPr>
        <w:t>R</w:t>
      </w:r>
      <w:r>
        <w:rPr>
          <w:rFonts w:ascii="Aptos" w:hAnsi="Aptos" w:cs="Aptos"/>
        </w:rPr>
        <w:t>²</w:t>
      </w:r>
      <w:r>
        <w:t>, and monotonicity checks</w:t>
      </w:r>
      <w:r>
        <w:rPr>
          <w:rFonts w:ascii="Aptos" w:hAnsi="Aptos" w:cs="Aptos"/>
        </w:rPr>
        <w:t>—</w:t>
      </w:r>
      <w:r>
        <w:t xml:space="preserve">are reported with </w:t>
      </w:r>
      <w:r>
        <w:rPr>
          <w:rFonts w:ascii="Aptos" w:hAnsi="Aptos" w:cs="Aptos"/>
        </w:rPr>
        <w:t>α</w:t>
      </w:r>
      <w:r>
        <w:t>.</w:t>
      </w:r>
      <w:r>
        <w:rPr>
          <w:vertAlign w:val="superscript"/>
        </w:rPr>
        <w:t>S6,S7</w:t>
      </w:r>
      <w:r>
        <w:t xml:space="preserve"> The aim is parsimony: one causal </w:t>
      </w:r>
      <w:r>
        <w:rPr>
          <w:rFonts w:ascii="Aptos" w:hAnsi="Aptos" w:cs="Aptos"/>
        </w:rPr>
        <w:t>α</w:t>
      </w:r>
      <w:r>
        <w:t>, identified and displayed on the common clinical scale used throughout the analysis.</w:t>
      </w:r>
    </w:p>
    <w:p w14:paraId="77E0BF76" w14:textId="77777777" w:rsidR="00BF5DC4" w:rsidRPr="003942E7" w:rsidRDefault="00BF5DC4" w:rsidP="00BF5DC4">
      <w:pPr>
        <w:pStyle w:val="Heading3"/>
      </w:pPr>
      <w:bookmarkStart w:id="11" w:name="_Toc230299600"/>
      <w:r w:rsidRPr="002C0203">
        <w:rPr>
          <w:rStyle w:val="Strong"/>
        </w:rPr>
        <w:t>M2</w:t>
      </w:r>
      <w:r>
        <w:rPr>
          <w:rStyle w:val="Strong"/>
          <w:b w:val="0"/>
          <w:bCs w:val="0"/>
        </w:rPr>
        <w:t xml:space="preserve"> E</w:t>
      </w:r>
      <w:r w:rsidRPr="003942E7">
        <w:rPr>
          <w:rStyle w:val="Strong"/>
          <w:b w:val="0"/>
          <w:bCs w:val="0"/>
        </w:rPr>
        <w:t xml:space="preserve">stimate </w:t>
      </w:r>
      <w:r w:rsidRPr="005F5837">
        <w:rPr>
          <w:rStyle w:val="Strong"/>
          <w:b w:val="0"/>
          <w:bCs w:val="0"/>
        </w:rPr>
        <w:t>β</w:t>
      </w:r>
      <w:r w:rsidRPr="003942E7">
        <w:rPr>
          <w:rStyle w:val="Strong"/>
          <w:b w:val="0"/>
          <w:bCs w:val="0"/>
        </w:rPr>
        <w:t xml:space="preserve"> on </w:t>
      </w:r>
      <w:r>
        <w:rPr>
          <w:rStyle w:val="Strong"/>
          <w:b w:val="0"/>
          <w:bCs w:val="0"/>
        </w:rPr>
        <w:t>a</w:t>
      </w:r>
      <w:r w:rsidRPr="003942E7">
        <w:rPr>
          <w:rStyle w:val="Strong"/>
          <w:b w:val="0"/>
          <w:bCs w:val="0"/>
        </w:rPr>
        <w:t xml:space="preserve"> </w:t>
      </w:r>
      <w:r>
        <w:rPr>
          <w:rStyle w:val="Strong"/>
          <w:b w:val="0"/>
          <w:bCs w:val="0"/>
        </w:rPr>
        <w:t>Common Scale</w:t>
      </w:r>
      <w:bookmarkEnd w:id="11"/>
    </w:p>
    <w:p w14:paraId="041E1C44" w14:textId="5C433A05" w:rsidR="00BF5DC4" w:rsidRPr="003942E7" w:rsidRDefault="00BF5DC4" w:rsidP="00BF5DC4">
      <w:pPr>
        <w:spacing w:after="0"/>
      </w:pPr>
      <w:r w:rsidRPr="00E029BC">
        <w:t>The preference</w:t>
      </w:r>
      <w:r w:rsidR="00AB5CE1">
        <w:rPr>
          <w:rFonts w:ascii="Cambria Math" w:hAnsi="Cambria Math" w:cs="Cambria Math"/>
        </w:rPr>
        <w:t>-</w:t>
      </w:r>
      <w:r w:rsidRPr="00E029BC">
        <w:t>mediated (patient</w:t>
      </w:r>
      <w:r w:rsidR="00AB5CE1">
        <w:rPr>
          <w:rFonts w:ascii="Cambria Math" w:hAnsi="Cambria Math" w:cs="Cambria Math"/>
        </w:rPr>
        <w:t>-</w:t>
      </w:r>
      <w:r w:rsidRPr="00E029BC">
        <w:t>choice) effect (</w:t>
      </w:r>
      <w:r w:rsidRPr="00E029BC">
        <w:rPr>
          <w:rFonts w:ascii="Aptos" w:hAnsi="Aptos" w:cs="Aptos"/>
        </w:rPr>
        <w:t>β</w:t>
      </w:r>
      <w:r w:rsidRPr="00E029BC">
        <w:t>) is defined as the residual difference between the observational contrast and the causal biological contrast on a common clinical scale:</w:t>
      </w:r>
    </w:p>
    <w:p w14:paraId="122EFCB3" w14:textId="0FD532BF" w:rsidR="00BF5DC4" w:rsidRPr="003942E7" w:rsidRDefault="00BF5DC4" w:rsidP="00BF5DC4">
      <w:pPr>
        <w:spacing w:before="240"/>
      </w:pPr>
      <m:oMathPara>
        <m:oMath>
          <m:r>
            <w:rPr>
              <w:rFonts w:ascii="Cambria Math" w:hAnsi="Cambria Math"/>
            </w:rPr>
            <m:t>β=</m:t>
          </m:r>
          <m:r>
            <m:rPr>
              <m:sty m:val="p"/>
            </m:rPr>
            <w:rPr>
              <w:rFonts w:ascii="Cambria Math" w:hAnsi="Cambria Math"/>
            </w:rPr>
            <m:t>∆OBS</m:t>
          </m:r>
          <m:r>
            <w:rPr>
              <w:rFonts w:ascii="Cambria Math" w:hAnsi="Cambria Math"/>
            </w:rPr>
            <m:t>-</m:t>
          </m:r>
          <m:r>
            <m:rPr>
              <m:sty m:val="p"/>
            </m:rPr>
            <w:rPr>
              <w:rFonts w:ascii="Cambria Math" w:hAnsi="Cambria Math"/>
            </w:rPr>
            <m:t>Δ</m:t>
          </m:r>
          <m:sSub>
            <m:sSubPr>
              <m:ctrlPr>
                <w:rPr>
                  <w:rFonts w:ascii="Cambria Math" w:hAnsi="Cambria Math"/>
                </w:rPr>
              </m:ctrlPr>
            </m:sSubPr>
            <m:e>
              <m:r>
                <w:rPr>
                  <w:rFonts w:ascii="Cambria Math" w:hAnsi="Cambria Math"/>
                </w:rPr>
                <m:t>α</m:t>
              </m:r>
            </m:e>
            <m:sub>
              <m:r>
                <m:rPr>
                  <m:nor/>
                </m:rPr>
                <w:rPr>
                  <w:rFonts w:ascii="Times New Roman" w:hAnsi="Times New Roman"/>
                </w:rPr>
                <m:t>causal</m:t>
              </m:r>
            </m:sub>
          </m:sSub>
          <m:r>
            <m:rPr>
              <m:sty m:val="p"/>
            </m:rPr>
            <w:rPr>
              <w:rFonts w:ascii="Cambria Math" w:hAnsi="Cambria Math"/>
            </w:rPr>
            <w:br/>
          </m:r>
        </m:oMath>
      </m:oMathPara>
      <w:r w:rsidRPr="00E029BC">
        <w:t>We estimate β using a prespecified estimator panel: a direct arithmetic estimator, a CACE</w:t>
      </w:r>
      <w:r w:rsidR="00AB5CE1">
        <w:rPr>
          <w:rFonts w:ascii="Cambria Math" w:hAnsi="Cambria Math" w:cs="Cambria Math"/>
        </w:rPr>
        <w:t>-</w:t>
      </w:r>
      <w:r w:rsidRPr="00E029BC">
        <w:t>based estimator using ITT</w:t>
      </w:r>
      <w:r w:rsidRPr="00E029BC">
        <w:rPr>
          <w:rFonts w:ascii="Arial" w:hAnsi="Arial" w:cs="Arial"/>
        </w:rPr>
        <w:t> </w:t>
      </w:r>
      <w:r w:rsidRPr="00E029BC">
        <w:t>/</w:t>
      </w:r>
      <w:r w:rsidRPr="00E029BC">
        <w:rPr>
          <w:rFonts w:ascii="Arial" w:hAnsi="Arial" w:cs="Arial"/>
        </w:rPr>
        <w:t> </w:t>
      </w:r>
      <w:r w:rsidRPr="00E029BC">
        <w:rPr>
          <w:rFonts w:ascii="Aptos" w:hAnsi="Aptos" w:cs="Aptos"/>
        </w:rPr>
        <w:t>π</w:t>
      </w:r>
      <w:r w:rsidRPr="00E029BC">
        <w:t xml:space="preserve">, and a 2SLS/IV residual estimator. Concordance across estimators, supported by </w:t>
      </w:r>
      <w:r w:rsidR="00476EDB">
        <w:t>sensitivity analyses</w:t>
      </w:r>
      <w:r w:rsidRPr="00E029BC">
        <w:t xml:space="preserve">, strengthens interpretation of </w:t>
      </w:r>
      <w:r w:rsidRPr="00E029BC">
        <w:rPr>
          <w:rFonts w:ascii="Aptos" w:hAnsi="Aptos" w:cs="Aptos"/>
        </w:rPr>
        <w:t>β</w:t>
      </w:r>
      <w:r w:rsidRPr="00E029BC">
        <w:t xml:space="preserve"> as a preference</w:t>
      </w:r>
      <w:r w:rsidR="00AB5CE1">
        <w:rPr>
          <w:rFonts w:ascii="Cambria Math" w:hAnsi="Cambria Math" w:cs="Cambria Math"/>
        </w:rPr>
        <w:t>-</w:t>
      </w:r>
      <w:r w:rsidRPr="00E029BC">
        <w:t xml:space="preserve">mediated effect rather than residual confounding. </w:t>
      </w:r>
      <w:r>
        <w:t>E</w:t>
      </w:r>
      <w:r w:rsidRPr="00E029BC">
        <w:t>xpressing β on the same outcome scale as α enables MCID</w:t>
      </w:r>
      <w:r w:rsidR="00AB5CE1">
        <w:rPr>
          <w:rFonts w:ascii="Cambria Math" w:hAnsi="Cambria Math" w:cs="Cambria Math"/>
        </w:rPr>
        <w:t>-</w:t>
      </w:r>
      <w:r w:rsidRPr="00E029BC">
        <w:t xml:space="preserve">anchored interpretation and regime classification; without this alignment, </w:t>
      </w:r>
      <w:r w:rsidRPr="00E029BC">
        <w:rPr>
          <w:rFonts w:ascii="Aptos" w:hAnsi="Aptos" w:cs="Aptos"/>
        </w:rPr>
        <w:t>β</w:t>
      </w:r>
      <w:r w:rsidRPr="00E029BC">
        <w:t xml:space="preserve"> cannot be judged as clinically trivial or decisive relative to biology.</w:t>
      </w:r>
      <w:r w:rsidRPr="00DC4CD2">
        <w:rPr>
          <w:vertAlign w:val="superscript"/>
        </w:rPr>
        <w:t>S3,S4</w:t>
      </w:r>
    </w:p>
    <w:p w14:paraId="2FA12802" w14:textId="77777777" w:rsidR="00BF5DC4" w:rsidRPr="003942E7" w:rsidRDefault="00BF5DC4" w:rsidP="00BF5DC4">
      <w:pPr>
        <w:pStyle w:val="Heading3"/>
      </w:pPr>
      <w:bookmarkStart w:id="12" w:name="_Toc230299601"/>
      <w:r w:rsidRPr="002C0203">
        <w:rPr>
          <w:rStyle w:val="Strong"/>
        </w:rPr>
        <w:t>M</w:t>
      </w:r>
      <w:r>
        <w:rPr>
          <w:rStyle w:val="Strong"/>
        </w:rPr>
        <w:t>3</w:t>
      </w:r>
      <w:r>
        <w:rPr>
          <w:rStyle w:val="Strong"/>
          <w:b w:val="0"/>
          <w:bCs w:val="0"/>
        </w:rPr>
        <w:t xml:space="preserve"> Is </w:t>
      </w:r>
      <w:r w:rsidRPr="005F5837">
        <w:rPr>
          <w:rStyle w:val="Strong"/>
          <w:b w:val="0"/>
          <w:bCs w:val="0"/>
        </w:rPr>
        <w:t>β</w:t>
      </w:r>
      <w:r>
        <w:rPr>
          <w:rStyle w:val="Strong"/>
          <w:b w:val="0"/>
          <w:bCs w:val="0"/>
        </w:rPr>
        <w:t xml:space="preserve"> Inference Permitted?</w:t>
      </w:r>
      <w:bookmarkEnd w:id="12"/>
    </w:p>
    <w:p w14:paraId="5488AB6B" w14:textId="033CB2F1" w:rsidR="00BF5DC4" w:rsidRPr="003942E7" w:rsidRDefault="00BF5DC4" w:rsidP="00BF5DC4">
      <w:r>
        <w:t>Identification and regime classification rely on explicit diagnostics of instrument validity and estimation strength. For identification of the biological effect (α) under nonadherence, we report standard instrumental</w:t>
      </w:r>
      <w:r w:rsidR="00AB5CE1">
        <w:rPr>
          <w:rFonts w:ascii="Cambria Math" w:hAnsi="Cambria Math" w:cs="Cambria Math"/>
        </w:rPr>
        <w:t>-</w:t>
      </w:r>
      <w:r>
        <w:t>variable diagnostics, including the first</w:t>
      </w:r>
      <w:r w:rsidR="00AB5CE1">
        <w:rPr>
          <w:rFonts w:ascii="Cambria Math" w:hAnsi="Cambria Math" w:cs="Cambria Math"/>
        </w:rPr>
        <w:t>-</w:t>
      </w:r>
      <w:r>
        <w:t xml:space="preserve">stage </w:t>
      </w:r>
      <w:r w:rsidRPr="00FD6B83">
        <w:rPr>
          <w:i/>
          <w:iCs/>
        </w:rPr>
        <w:t>F</w:t>
      </w:r>
      <w:r>
        <w:t xml:space="preserve"> statistic, </w:t>
      </w:r>
      <w:r>
        <w:lastRenderedPageBreak/>
        <w:t xml:space="preserve">partial </w:t>
      </w:r>
      <w:r w:rsidRPr="00FD6B83">
        <w:rPr>
          <w:i/>
          <w:iCs/>
        </w:rPr>
        <w:t>R</w:t>
      </w:r>
      <w:r>
        <w:rPr>
          <w:rFonts w:ascii="Aptos" w:hAnsi="Aptos" w:cs="Aptos"/>
        </w:rPr>
        <w:t>²</w:t>
      </w:r>
      <w:r>
        <w:t xml:space="preserve">, and monotonicity checks. Weak instruments or violations of these conditions preclude reliable separation of </w:t>
      </w:r>
      <w:r>
        <w:rPr>
          <w:rFonts w:ascii="Aptos" w:hAnsi="Aptos" w:cs="Aptos"/>
        </w:rPr>
        <w:t>α</w:t>
      </w:r>
      <w:r>
        <w:t xml:space="preserve"> and </w:t>
      </w:r>
      <w:r>
        <w:rPr>
          <w:rFonts w:ascii="Aptos" w:hAnsi="Aptos" w:cs="Aptos"/>
        </w:rPr>
        <w:t>β</w:t>
      </w:r>
      <w:r>
        <w:t xml:space="preserve"> and require a decision</w:t>
      </w:r>
      <w:r w:rsidR="00AB5CE1">
        <w:rPr>
          <w:rFonts w:ascii="Cambria Math" w:hAnsi="Cambria Math" w:cs="Cambria Math"/>
        </w:rPr>
        <w:t>-</w:t>
      </w:r>
      <w:r>
        <w:t>limited conclusion rather than substantive inference. Regime assignment is mechanical once identification is established. Trials are located in (</w:t>
      </w:r>
      <w:r w:rsidR="00476EDB">
        <w:rPr>
          <w:rFonts w:ascii="Cambria Math" w:hAnsi="Cambria Math" w:cs="Cambria Math"/>
        </w:rPr>
        <w:t>∣Δα∣</w:t>
      </w:r>
      <w:r w:rsidR="00097E75">
        <w:t xml:space="preserve">, </w:t>
      </w:r>
      <w:r>
        <w:t>β) space using identified estimates on a common clinical scale, each evaluated relative to a prespecified MCID. When either estimand is weakly identified or its uncertainty spans the MCID threshold, the appropriate regime is decision</w:t>
      </w:r>
      <w:r w:rsidR="00AB5CE1">
        <w:rPr>
          <w:rFonts w:ascii="Cambria Math" w:hAnsi="Cambria Math" w:cs="Cambria Math"/>
        </w:rPr>
        <w:t>-</w:t>
      </w:r>
      <w:r>
        <w:t xml:space="preserve">limited ambiguity by rule. These diagnostics determine whether </w:t>
      </w:r>
      <w:r>
        <w:rPr>
          <w:rFonts w:ascii="Aptos" w:hAnsi="Aptos" w:cs="Aptos"/>
        </w:rPr>
        <w:t>α</w:t>
      </w:r>
      <w:r w:rsidR="00AB5CE1">
        <w:rPr>
          <w:rFonts w:ascii="Cambria Math" w:hAnsi="Cambria Math" w:cs="Cambria Math"/>
        </w:rPr>
        <w:t>-</w:t>
      </w:r>
      <w:r>
        <w:t xml:space="preserve">dominant, mixed, or </w:t>
      </w:r>
      <w:r>
        <w:rPr>
          <w:rFonts w:ascii="Aptos" w:hAnsi="Aptos" w:cs="Aptos"/>
        </w:rPr>
        <w:t>β</w:t>
      </w:r>
      <w:r w:rsidR="00AB5CE1">
        <w:rPr>
          <w:rFonts w:ascii="Cambria Math" w:hAnsi="Cambria Math" w:cs="Cambria Math"/>
        </w:rPr>
        <w:t>-</w:t>
      </w:r>
      <w:r>
        <w:t>dominant interpretation is permitted, or whether further design strengthening is required.</w:t>
      </w:r>
      <w:r w:rsidRPr="00DC4CD2">
        <w:rPr>
          <w:vertAlign w:val="superscript"/>
        </w:rPr>
        <w:t>S2</w:t>
      </w:r>
    </w:p>
    <w:p w14:paraId="1A2507C8" w14:textId="77777777" w:rsidR="00BF5DC4" w:rsidRPr="003942E7" w:rsidRDefault="00BF5DC4" w:rsidP="00BF5DC4">
      <w:pPr>
        <w:pStyle w:val="Heading3"/>
      </w:pPr>
      <w:bookmarkStart w:id="13" w:name="_Toc230299602"/>
      <w:r w:rsidRPr="002C0203">
        <w:rPr>
          <w:rStyle w:val="Strong"/>
        </w:rPr>
        <w:t>M</w:t>
      </w:r>
      <w:r>
        <w:rPr>
          <w:rStyle w:val="Strong"/>
        </w:rPr>
        <w:t>4</w:t>
      </w:r>
      <w:r>
        <w:rPr>
          <w:rStyle w:val="Strong"/>
          <w:b w:val="0"/>
          <w:bCs w:val="0"/>
        </w:rPr>
        <w:t xml:space="preserve"> How Precise is the Inference?</w:t>
      </w:r>
      <w:bookmarkEnd w:id="13"/>
    </w:p>
    <w:p w14:paraId="19A84A51" w14:textId="771F6BE4" w:rsidR="00BF5DC4" w:rsidRPr="003942E7" w:rsidRDefault="00BF5DC4" w:rsidP="00BF5DC4">
      <w:r w:rsidRPr="003942E7">
        <w:t>Precision and robustness are assessed using an uncertainty triad suited to mixed adherence and survival data</w:t>
      </w:r>
      <w:r>
        <w:t>.</w:t>
      </w:r>
      <w:r w:rsidRPr="003942E7">
        <w:t xml:space="preserve"> We report sandwich standard errors for IV/2SLS estimators; for censored outcomes, we use perturb</w:t>
      </w:r>
      <w:r w:rsidR="00AB5CE1">
        <w:rPr>
          <w:rFonts w:ascii="Cambria Math" w:hAnsi="Cambria Math" w:cs="Cambria Math"/>
        </w:rPr>
        <w:t>-</w:t>
      </w:r>
      <w:r w:rsidRPr="003942E7">
        <w:t>the</w:t>
      </w:r>
      <w:r w:rsidR="00AB5CE1">
        <w:rPr>
          <w:rFonts w:ascii="Cambria Math" w:hAnsi="Cambria Math" w:cs="Cambria Math"/>
        </w:rPr>
        <w:t>-</w:t>
      </w:r>
      <w:r w:rsidRPr="003942E7">
        <w:t>minimand resampling to obtain stable variance estimates for AFT or transformation</w:t>
      </w:r>
      <w:r w:rsidR="00AB5CE1">
        <w:rPr>
          <w:rFonts w:ascii="Cambria Math" w:hAnsi="Cambria Math" w:cs="Cambria Math"/>
        </w:rPr>
        <w:t>-</w:t>
      </w:r>
      <w:r w:rsidRPr="003942E7">
        <w:t>based models without imposing fragile parametric structure; and we add a nonparametric bootstrap as a cross</w:t>
      </w:r>
      <w:r w:rsidR="00AB5CE1">
        <w:rPr>
          <w:rFonts w:ascii="Cambria Math" w:hAnsi="Cambria Math" w:cs="Cambria Math"/>
        </w:rPr>
        <w:t>-</w:t>
      </w:r>
      <w:r w:rsidRPr="003942E7">
        <w:t>check</w:t>
      </w:r>
      <w:r>
        <w:t>.</w:t>
      </w:r>
      <w:r>
        <w:rPr>
          <w:vertAlign w:val="superscript"/>
        </w:rPr>
        <w:t>S6–S8</w:t>
      </w:r>
      <w:r w:rsidRPr="003942E7">
        <w:t xml:space="preserve"> To assess residual confounding in </w:t>
      </w:r>
      <w:r w:rsidRPr="003942E7">
        <w:rPr>
          <w:rFonts w:ascii="Aptos" w:hAnsi="Aptos" w:cs="Aptos"/>
        </w:rPr>
        <w:t>Δ</w:t>
      </w:r>
      <w:r w:rsidRPr="008F698F">
        <w:rPr>
          <w:vertAlign w:val="subscript"/>
        </w:rPr>
        <w:t>OBS</w:t>
      </w:r>
      <w:r w:rsidRPr="003942E7">
        <w:t xml:space="preserve"> (and therefore in </w:t>
      </w:r>
      <w:r w:rsidRPr="005F5837">
        <w:rPr>
          <w:rFonts w:ascii="Aptos" w:hAnsi="Aptos" w:cs="Aptos"/>
        </w:rPr>
        <w:t>β</w:t>
      </w:r>
      <w:r w:rsidRPr="003942E7">
        <w:t xml:space="preserve">), we report </w:t>
      </w:r>
      <w:r w:rsidRPr="001B49E4">
        <w:rPr>
          <w:i/>
        </w:rPr>
        <w:t>E</w:t>
      </w:r>
      <w:r w:rsidR="00AB5CE1">
        <w:rPr>
          <w:rFonts w:ascii="Cambria Math" w:hAnsi="Cambria Math" w:cs="Cambria Math"/>
        </w:rPr>
        <w:t>-</w:t>
      </w:r>
      <w:r w:rsidRPr="003942E7">
        <w:t xml:space="preserve">values, quantifying the strength an unmeasured confounder would require to explain away the observed </w:t>
      </w:r>
      <w:r w:rsidRPr="005F5837">
        <w:t>β</w:t>
      </w:r>
      <w:r w:rsidRPr="003942E7">
        <w:t xml:space="preserve"> (or Δ</w:t>
      </w:r>
      <w:r w:rsidRPr="005F5837">
        <w:t>β</w:t>
      </w:r>
      <w:r w:rsidRPr="003942E7">
        <w:t xml:space="preserve"> when </w:t>
      </w:r>
      <w:r>
        <w:t xml:space="preserve">medical </w:t>
      </w:r>
      <w:r w:rsidRPr="003942E7">
        <w:t>literacy is manipulated)</w:t>
      </w:r>
      <w:r>
        <w:t>.</w:t>
      </w:r>
      <w:r w:rsidRPr="00695C80">
        <w:rPr>
          <w:vertAlign w:val="superscript"/>
        </w:rPr>
        <w:t>S5,</w:t>
      </w:r>
      <w:r>
        <w:rPr>
          <w:vertAlign w:val="superscript"/>
        </w:rPr>
        <w:t>S9</w:t>
      </w:r>
      <w:r w:rsidRPr="003942E7">
        <w:t xml:space="preserve"> Taken together, this approach preserves transparency while avoiding reliance on any single variance approximation</w:t>
      </w:r>
      <w:r>
        <w:t>.</w:t>
      </w:r>
    </w:p>
    <w:p w14:paraId="6837C3EA" w14:textId="77777777" w:rsidR="00BF5DC4" w:rsidRPr="003942E7" w:rsidRDefault="00BF5DC4" w:rsidP="00BF5DC4">
      <w:pPr>
        <w:pStyle w:val="Heading3"/>
      </w:pPr>
      <w:bookmarkStart w:id="14" w:name="_Toc230299603"/>
      <w:r w:rsidRPr="002C0203">
        <w:rPr>
          <w:rStyle w:val="Strong"/>
        </w:rPr>
        <w:t>M5</w:t>
      </w:r>
      <w:r>
        <w:rPr>
          <w:rStyle w:val="Strong"/>
          <w:b w:val="0"/>
          <w:bCs w:val="0"/>
        </w:rPr>
        <w:t xml:space="preserve"> </w:t>
      </w:r>
      <w:r w:rsidRPr="003942E7">
        <w:rPr>
          <w:rStyle w:val="Strong"/>
          <w:b w:val="0"/>
          <w:bCs w:val="0"/>
        </w:rPr>
        <w:t xml:space="preserve">Conditions for Valid </w:t>
      </w:r>
      <w:r w:rsidRPr="005F5837">
        <w:rPr>
          <w:rStyle w:val="Strong"/>
          <w:b w:val="0"/>
          <w:bCs w:val="0"/>
        </w:rPr>
        <w:t>β</w:t>
      </w:r>
      <w:r w:rsidRPr="003942E7">
        <w:rPr>
          <w:rStyle w:val="Strong"/>
          <w:b w:val="0"/>
          <w:bCs w:val="0"/>
        </w:rPr>
        <w:t xml:space="preserve"> Inference</w:t>
      </w:r>
      <w:bookmarkEnd w:id="14"/>
    </w:p>
    <w:p w14:paraId="3E63D494" w14:textId="5183D623" w:rsidR="00BF5DC4" w:rsidRDefault="00BF5DC4" w:rsidP="00BF5DC4">
      <w:r w:rsidRPr="00695C80">
        <w:t>To remain interpretable, preference and decision</w:t>
      </w:r>
      <w:r w:rsidR="00AB5CE1">
        <w:t>-</w:t>
      </w:r>
      <w:r w:rsidRPr="00695C80">
        <w:t>quality elicitation must function as measurement rather than intervention, because β is valid only when the observational contrast (ΔOBS) reflects pre</w:t>
      </w:r>
      <w:r w:rsidR="00AB5CE1">
        <w:t>-</w:t>
      </w:r>
      <w:r w:rsidRPr="00695C80">
        <w:t>existing preference</w:t>
      </w:r>
      <w:r w:rsidR="00AB5CE1">
        <w:t>-</w:t>
      </w:r>
      <w:r w:rsidRPr="00695C80">
        <w:t>mediated treatment selection rather than behavior induced by elicitation itself.</w:t>
      </w:r>
    </w:p>
    <w:p w14:paraId="16DF132D" w14:textId="1E925090" w:rsidR="00BF5DC4" w:rsidRDefault="00BF5DC4" w:rsidP="00BF5DC4">
      <w:pPr>
        <w:rPr>
          <w:vertAlign w:val="superscript"/>
        </w:rPr>
      </w:pPr>
      <w:r w:rsidRPr="0089595F">
        <w:t>This constraint is structural, not semantic. Asymmetric elicitation—unequal timing, framing, content, or intensity across arms—violates exclusion by differentially shaping uptake and thereby contaminating β. Symmetric elicitation, by contrast, preserves identifiability: when identical information is provided with the same content, framing, timing, and intensity across arms, elicitation acts as a constant and cancels in the contrast. Under these conditions, β remains an outcome</w:t>
      </w:r>
      <w:r w:rsidR="00AB5CE1">
        <w:rPr>
          <w:rFonts w:ascii="Cambria Math" w:hAnsi="Cambria Math" w:cs="Cambria Math"/>
        </w:rPr>
        <w:t>-</w:t>
      </w:r>
      <w:r w:rsidRPr="0089595F">
        <w:t>based measure of how patients act on preferences, not how preferences are manipulated.</w:t>
      </w:r>
      <w:r>
        <w:rPr>
          <w:vertAlign w:val="superscript"/>
        </w:rPr>
        <w:t>S8</w:t>
      </w:r>
    </w:p>
    <w:p w14:paraId="06EF5DEC" w14:textId="49EBCA65" w:rsidR="00BF5DC4" w:rsidRDefault="00BF5DC4" w:rsidP="00BF5DC4">
      <w:r w:rsidRPr="00695C80">
        <w:t>We therefore treat medical literacy—defined as the patient’s understanding of relevant treatment options, trade</w:t>
      </w:r>
      <w:r w:rsidR="00AB5CE1">
        <w:t>-</w:t>
      </w:r>
      <w:r w:rsidRPr="00695C80">
        <w:t>offs, and consequences sufficient to act on those differences in ways that affect physical outcomes—as a measurable but potentially intervention</w:t>
      </w:r>
      <w:r w:rsidR="00AB5CE1">
        <w:t>-</w:t>
      </w:r>
      <w:r w:rsidRPr="00695C80">
        <w:t>like quantity.</w:t>
      </w:r>
      <w:r w:rsidRPr="00695C80">
        <w:rPr>
          <w:vertAlign w:val="superscript"/>
        </w:rPr>
        <w:t>S5</w:t>
      </w:r>
      <w:r w:rsidRPr="00695C80">
        <w:t xml:space="preserve"> When literacy</w:t>
      </w:r>
      <w:r w:rsidR="00AB5CE1">
        <w:t>-</w:t>
      </w:r>
      <w:r w:rsidRPr="00695C80">
        <w:t xml:space="preserve">enhancing materials are delivered symmetrically, they can improve interpretability without altering the estimand; when delivered asymmetrically, they risk </w:t>
      </w:r>
      <w:r w:rsidRPr="00695C80">
        <w:lastRenderedPageBreak/>
        <w:t>functioning as interventions on choice rather than neutral measurements.</w:t>
      </w:r>
      <w:r w:rsidRPr="00695C80">
        <w:rPr>
          <w:vertAlign w:val="superscript"/>
        </w:rPr>
        <w:t>S10</w:t>
      </w:r>
      <w:r w:rsidRPr="0089595F">
        <w:t xml:space="preserve"> </w:t>
      </w:r>
      <w:r>
        <w:t>S</w:t>
      </w:r>
      <w:r w:rsidRPr="00695C80">
        <w:t>PORT exemplifies this structure: under near biological equipoise, uniform decision support revealed preference rather than inducing it.</w:t>
      </w:r>
      <w:r>
        <w:rPr>
          <w:vertAlign w:val="superscript"/>
        </w:rPr>
        <w:t>S11</w:t>
      </w:r>
      <w:r w:rsidRPr="00DC63E5">
        <w:rPr>
          <w:vertAlign w:val="superscript"/>
        </w:rPr>
        <w:t>,</w:t>
      </w:r>
      <w:r>
        <w:rPr>
          <w:vertAlign w:val="superscript"/>
        </w:rPr>
        <w:t>S12</w:t>
      </w:r>
    </w:p>
    <w:p w14:paraId="27F2DF88" w14:textId="61217F29" w:rsidR="00BF5DC4" w:rsidRDefault="00BF5DC4" w:rsidP="00BF5DC4">
      <w:r w:rsidRPr="0089595F">
        <w:t>Decision support systems, including clinical decision support and AI</w:t>
      </w:r>
      <w:r w:rsidR="00AB5CE1">
        <w:rPr>
          <w:rFonts w:ascii="Cambria Math" w:hAnsi="Cambria Math" w:cs="Cambria Math"/>
        </w:rPr>
        <w:t>-</w:t>
      </w:r>
      <w:r w:rsidRPr="0089595F">
        <w:t xml:space="preserve">based ranking tools, are conceptually distinct from preference elicitation. When delivered symmetrically, they function analogously to neutral literacy enhancement and preserve </w:t>
      </w:r>
      <w:r w:rsidRPr="0089595F">
        <w:rPr>
          <w:rFonts w:ascii="Aptos" w:hAnsi="Aptos" w:cs="Aptos"/>
        </w:rPr>
        <w:t>β</w:t>
      </w:r>
      <w:r w:rsidRPr="0089595F">
        <w:t xml:space="preserve"> identifiability. When delivered asymmetrically, or when such systems generate recommendations in settings where </w:t>
      </w:r>
      <w:r w:rsidRPr="0089595F">
        <w:rPr>
          <w:rFonts w:ascii="Aptos" w:hAnsi="Aptos" w:cs="Aptos"/>
        </w:rPr>
        <w:t>β</w:t>
      </w:r>
      <w:r w:rsidRPr="0089595F">
        <w:t xml:space="preserve"> is non</w:t>
      </w:r>
      <w:r w:rsidR="00AB5CE1">
        <w:rPr>
          <w:rFonts w:ascii="Cambria Math" w:hAnsi="Cambria Math" w:cs="Cambria Math"/>
        </w:rPr>
        <w:t>-</w:t>
      </w:r>
      <w:r w:rsidRPr="0089595F">
        <w:t xml:space="preserve">trivial, they constitute an intervention that directly shapes uptake and contaminates </w:t>
      </w:r>
      <w:r w:rsidRPr="0089595F">
        <w:rPr>
          <w:rFonts w:ascii="Aptos" w:hAnsi="Aptos" w:cs="Aptos"/>
        </w:rPr>
        <w:t>β</w:t>
      </w:r>
      <w:r w:rsidRPr="0089595F">
        <w:t xml:space="preserve">. Accordingly, in mixed and </w:t>
      </w:r>
      <w:r w:rsidRPr="0089595F">
        <w:rPr>
          <w:rFonts w:ascii="Aptos" w:hAnsi="Aptos" w:cs="Aptos"/>
        </w:rPr>
        <w:t>β</w:t>
      </w:r>
      <w:r w:rsidR="00AB5CE1">
        <w:rPr>
          <w:rFonts w:ascii="Cambria Math" w:hAnsi="Cambria Math" w:cs="Cambria Math"/>
        </w:rPr>
        <w:t>-</w:t>
      </w:r>
      <w:r w:rsidRPr="0089595F">
        <w:t>dominant regimes, decision support must defer to preference elicitation rather than act on it; automated ranking is appropriate only in α</w:t>
      </w:r>
      <w:r w:rsidR="00AB5CE1">
        <w:rPr>
          <w:rFonts w:ascii="Cambria Math" w:hAnsi="Cambria Math" w:cs="Cambria Math"/>
        </w:rPr>
        <w:t>-</w:t>
      </w:r>
      <w:r w:rsidRPr="0089595F">
        <w:t>dominant regimes. The resulting boundary conditions for AI deployment are developed elsewhere.</w:t>
      </w:r>
      <w:r>
        <w:rPr>
          <w:vertAlign w:val="superscript"/>
        </w:rPr>
        <w:t>S13,S14</w:t>
      </w:r>
    </w:p>
    <w:p w14:paraId="2B76321C" w14:textId="68F8A7FA" w:rsidR="00BF5DC4" w:rsidRPr="003942E7" w:rsidRDefault="00BF5DC4" w:rsidP="00BF5DC4">
      <w:r w:rsidRPr="0089595F">
        <w:t>When preference or literacy is the estimand (Δβ), symmetry is intentionally broken using regime</w:t>
      </w:r>
      <w:r w:rsidR="00AB5CE1">
        <w:rPr>
          <w:rFonts w:ascii="Cambria Math" w:hAnsi="Cambria Math" w:cs="Cambria Math"/>
        </w:rPr>
        <w:t>-</w:t>
      </w:r>
      <w:r w:rsidRPr="0089595F">
        <w:t xml:space="preserve">routed </w:t>
      </w:r>
      <w:r w:rsidRPr="0089595F">
        <w:rPr>
          <w:rFonts w:ascii="Aptos" w:hAnsi="Aptos" w:cs="Aptos"/>
        </w:rPr>
        <w:t>β</w:t>
      </w:r>
      <w:r w:rsidR="00AB5CE1">
        <w:rPr>
          <w:rFonts w:ascii="Cambria Math" w:hAnsi="Cambria Math" w:cs="Cambria Math"/>
        </w:rPr>
        <w:t>-</w:t>
      </w:r>
      <w:r w:rsidRPr="0089595F">
        <w:t>identifying designs, making uptake changes the target of inference rather than a bias. Prespecified materials, timing, symmetry status, and missingness must be reported, treating preference and literacy capture as conditions of valid causal inference.</w:t>
      </w:r>
    </w:p>
    <w:p w14:paraId="706D1D82" w14:textId="390200D3" w:rsidR="00BF5DC4" w:rsidRPr="003942E7" w:rsidRDefault="00BF5DC4" w:rsidP="00BF5DC4">
      <w:pPr>
        <w:pStyle w:val="Heading3"/>
      </w:pPr>
      <w:bookmarkStart w:id="15" w:name="_Toc230299604"/>
      <w:r w:rsidRPr="002C0203">
        <w:rPr>
          <w:rStyle w:val="Strong"/>
        </w:rPr>
        <w:t>M6</w:t>
      </w:r>
      <w:r>
        <w:rPr>
          <w:rStyle w:val="Strong"/>
          <w:b w:val="0"/>
          <w:bCs w:val="0"/>
        </w:rPr>
        <w:t xml:space="preserve"> </w:t>
      </w:r>
      <w:r w:rsidRPr="00F55D8D">
        <w:rPr>
          <w:rStyle w:val="Strong"/>
          <w:b w:val="0"/>
          <w:bCs w:val="0"/>
        </w:rPr>
        <w:t xml:space="preserve">Powering </w:t>
      </w:r>
      <w:r>
        <w:rPr>
          <w:rStyle w:val="Strong"/>
          <w:b w:val="0"/>
          <w:bCs w:val="0"/>
        </w:rPr>
        <w:t>J</w:t>
      </w:r>
      <w:r w:rsidRPr="00F55D8D">
        <w:rPr>
          <w:rStyle w:val="Strong"/>
          <w:b w:val="0"/>
          <w:bCs w:val="0"/>
        </w:rPr>
        <w:t>oint (</w:t>
      </w:r>
      <w:r w:rsidR="00476EDB">
        <w:rPr>
          <w:rStyle w:val="Strong"/>
          <w:rFonts w:ascii="Cambria Math" w:hAnsi="Cambria Math" w:cs="Cambria Math"/>
          <w:b w:val="0"/>
          <w:bCs w:val="0"/>
        </w:rPr>
        <w:t>∣Δα∣</w:t>
      </w:r>
      <w:r w:rsidRPr="00F55D8D">
        <w:rPr>
          <w:rStyle w:val="Strong"/>
          <w:b w:val="0"/>
          <w:bCs w:val="0"/>
        </w:rPr>
        <w:t xml:space="preserve">, β) </w:t>
      </w:r>
      <w:r>
        <w:rPr>
          <w:rStyle w:val="Strong"/>
          <w:b w:val="0"/>
          <w:bCs w:val="0"/>
        </w:rPr>
        <w:t>I</w:t>
      </w:r>
      <w:r w:rsidRPr="00F55D8D">
        <w:rPr>
          <w:rStyle w:val="Strong"/>
          <w:b w:val="0"/>
          <w:bCs w:val="0"/>
        </w:rPr>
        <w:t>nference</w:t>
      </w:r>
      <w:bookmarkEnd w:id="15"/>
    </w:p>
    <w:p w14:paraId="2511ED0E" w14:textId="0D20C511" w:rsidR="00BF5DC4" w:rsidRDefault="00BF5DC4" w:rsidP="00BF5DC4">
      <w:r>
        <w:t>Powering only α is insufficient in preference</w:t>
      </w:r>
      <w:r w:rsidR="00AB5CE1">
        <w:t>-</w:t>
      </w:r>
      <w:r>
        <w:t>sensitive care. Trials must be powered jointly for α and β, with β power determined not only by outcome variance and event rates (for survival outcomes), but critically by the compliance gap (π) governing instrument strength and the magnitude and variability of treatment uptake. Because β is defined as the residual between observational and causal contrasts, its precision depends on both the stability of ΔOBS and the strength and precision of α (via IV estimation), making weak instruments a primary driver of β underpowering.</w:t>
      </w:r>
    </w:p>
    <w:p w14:paraId="3BBFEA0F" w14:textId="065C3427" w:rsidR="00BF5DC4" w:rsidRDefault="00BF5DC4" w:rsidP="00BF5DC4">
      <w:r>
        <w:t>Accordingly, powering for β requires attention to (i) expected uptake variation and crossover rates, which generate identifying variation; (ii) first</w:t>
      </w:r>
      <w:r w:rsidR="00AB5CE1">
        <w:t>-</w:t>
      </w:r>
      <w:r>
        <w:t xml:space="preserve">stage strength (π, </w:t>
      </w:r>
      <w:r w:rsidRPr="00D3782A">
        <w:rPr>
          <w:i/>
          <w:iCs/>
        </w:rPr>
        <w:t>F</w:t>
      </w:r>
      <w:r w:rsidR="00AB5CE1">
        <w:t>-</w:t>
      </w:r>
      <w:r>
        <w:t>statistic), which governs variance inflation in α and therefore β; (iii) alignment of ΔOBS and Δα on a common outcome scale; and (iv) clinically meaningful thresholds (MCID), since regime classification depends on whether β can be distinguished from trivial effects. We therefore report β</w:t>
      </w:r>
      <w:r w:rsidR="00AB5CE1">
        <w:t>-</w:t>
      </w:r>
      <w:r>
        <w:t>power contours over plausible combinations of π and variance and prespecify interim triggers based on first</w:t>
      </w:r>
      <w:r w:rsidR="00AB5CE1">
        <w:t>-</w:t>
      </w:r>
      <w:r>
        <w:t xml:space="preserve">stage </w:t>
      </w:r>
      <w:r w:rsidRPr="00D3782A">
        <w:rPr>
          <w:i/>
          <w:iCs/>
        </w:rPr>
        <w:t>F</w:t>
      </w:r>
      <w:r>
        <w:t xml:space="preserve"> and π for sample</w:t>
      </w:r>
      <w:r w:rsidR="00AB5CE1">
        <w:t>-</w:t>
      </w:r>
      <w:r>
        <w:t>size re</w:t>
      </w:r>
      <w:r w:rsidR="00AB5CE1">
        <w:t>-</w:t>
      </w:r>
      <w:r>
        <w:t>estimation or design adaptation.</w:t>
      </w:r>
    </w:p>
    <w:p w14:paraId="4C830F39" w14:textId="02C8195C" w:rsidR="00BF5DC4" w:rsidRDefault="00BF5DC4" w:rsidP="00BF5DC4">
      <w:r>
        <w:t>Joint powering enables trials to resolve causal structure—α</w:t>
      </w:r>
      <w:r w:rsidR="00AB5CE1">
        <w:t>-</w:t>
      </w:r>
      <w:r>
        <w:t>dominant versus β</w:t>
      </w:r>
      <w:r w:rsidR="00AB5CE1">
        <w:t>-</w:t>
      </w:r>
      <w:r>
        <w:t>dominant—rather than merely declare null biological effects or leave preference</w:t>
      </w:r>
      <w:r w:rsidR="00AB5CE1">
        <w:t>-</w:t>
      </w:r>
      <w:r>
        <w:t>mediated contributions unrecognized.</w:t>
      </w:r>
      <w:r w:rsidRPr="00D3782A">
        <w:rPr>
          <w:vertAlign w:val="superscript"/>
        </w:rPr>
        <w:t>S15</w:t>
      </w:r>
      <w:r>
        <w:t xml:space="preserve"> </w:t>
      </w:r>
    </w:p>
    <w:p w14:paraId="5AEBEC60" w14:textId="77777777" w:rsidR="00BF5DC4" w:rsidRPr="00E940D7" w:rsidRDefault="00BF5DC4" w:rsidP="00BF5DC4"/>
    <w:p w14:paraId="27D80395" w14:textId="77777777" w:rsidR="00BF5DC4" w:rsidRDefault="00BF5DC4" w:rsidP="00BF5DC4">
      <w:pPr>
        <w:pStyle w:val="Heading1"/>
        <w:jc w:val="left"/>
        <w:rPr>
          <w:sz w:val="36"/>
          <w:szCs w:val="36"/>
        </w:rPr>
      </w:pPr>
      <w:bookmarkStart w:id="16" w:name="_Toc230299605"/>
      <w:r>
        <w:rPr>
          <w:b/>
          <w:bCs/>
        </w:rPr>
        <w:lastRenderedPageBreak/>
        <w:t xml:space="preserve">S6 </w:t>
      </w:r>
      <w:r w:rsidRPr="00D65076">
        <w:rPr>
          <w:sz w:val="36"/>
          <w:szCs w:val="36"/>
        </w:rPr>
        <w:t>Design Archetypes and Wiring</w:t>
      </w:r>
      <w:bookmarkEnd w:id="16"/>
    </w:p>
    <w:p w14:paraId="250E2367" w14:textId="77777777" w:rsidR="00BF5DC4" w:rsidRDefault="00BF5DC4" w:rsidP="00BF5DC4">
      <w:r w:rsidRPr="00F55D8D">
        <w:t>Table</w:t>
      </w:r>
      <w:r w:rsidRPr="00F55D8D">
        <w:rPr>
          <w:rFonts w:ascii="Arial" w:hAnsi="Arial" w:cs="Arial"/>
        </w:rPr>
        <w:t> </w:t>
      </w:r>
      <w:r>
        <w:t>S3</w:t>
      </w:r>
      <w:r w:rsidRPr="00F55D8D">
        <w:t xml:space="preserve"> summarizes how a minimal set of methods (M1</w:t>
      </w:r>
      <w:r w:rsidRPr="00F55D8D">
        <w:rPr>
          <w:rFonts w:ascii="Aptos" w:hAnsi="Aptos" w:cs="Aptos"/>
        </w:rPr>
        <w:t>–</w:t>
      </w:r>
      <w:r w:rsidRPr="00F55D8D">
        <w:t xml:space="preserve">M6) operationalizes the prespecified </w:t>
      </w:r>
      <w:r>
        <w:t>rules</w:t>
      </w:r>
      <w:r w:rsidRPr="00F55D8D">
        <w:t xml:space="preserve"> across regimes, ensuring that statistical practice supports identification, diagnostics, and interpretation rather than driving conclusions by convention.</w:t>
      </w:r>
      <w:r>
        <w:t xml:space="preserve"> </w:t>
      </w:r>
    </w:p>
    <w:p w14:paraId="2A70E9B5" w14:textId="77777777" w:rsidR="00BF5DC4" w:rsidRPr="00D363CA" w:rsidRDefault="00BF5DC4" w:rsidP="00BF5DC4">
      <w:pPr>
        <w:pStyle w:val="FigureTitle"/>
        <w:rPr>
          <w:sz w:val="36"/>
          <w:szCs w:val="36"/>
        </w:rPr>
      </w:pPr>
      <w:r w:rsidRPr="00D363CA">
        <w:rPr>
          <w:rStyle w:val="Strong"/>
          <w:rFonts w:cs="Segoe UI"/>
        </w:rPr>
        <w:t xml:space="preserve">Table </w:t>
      </w:r>
      <w:r>
        <w:rPr>
          <w:rStyle w:val="Strong"/>
          <w:rFonts w:cs="Segoe UI"/>
        </w:rPr>
        <w:t>S3</w:t>
      </w:r>
      <w:r>
        <w:rPr>
          <w:rStyle w:val="Strong"/>
          <w:rFonts w:cs="Segoe UI"/>
          <w:b w:val="0"/>
          <w:bCs w:val="0"/>
        </w:rPr>
        <w:t>.</w:t>
      </w:r>
      <w:r w:rsidRPr="00D363CA">
        <w:rPr>
          <w:rStyle w:val="Strong"/>
          <w:rFonts w:cs="Segoe UI"/>
          <w:b w:val="0"/>
          <w:bCs w:val="0"/>
        </w:rPr>
        <w:t xml:space="preserve"> </w:t>
      </w:r>
      <w:r>
        <w:rPr>
          <w:rStyle w:val="Strong"/>
          <w:rFonts w:cs="Segoe UI"/>
          <w:b w:val="0"/>
          <w:bCs w:val="0"/>
        </w:rPr>
        <w:t>Cross Reference</w:t>
      </w:r>
      <w:r w:rsidRPr="00D363CA">
        <w:rPr>
          <w:rStyle w:val="Strong"/>
          <w:rFonts w:cs="Segoe UI"/>
          <w:b w:val="0"/>
          <w:bCs w:val="0"/>
        </w:rPr>
        <w:t xml:space="preserve"> Map — Methods → </w:t>
      </w:r>
      <w:r>
        <w:rPr>
          <w:rStyle w:val="Strong"/>
          <w:rFonts w:cs="Segoe UI"/>
          <w:b w:val="0"/>
          <w:bCs w:val="0"/>
        </w:rPr>
        <w:t>Rules</w:t>
      </w:r>
      <w:r w:rsidRPr="00D363CA">
        <w:rPr>
          <w:rStyle w:val="Strong"/>
          <w:rFonts w:cs="Segoe UI"/>
          <w:b w:val="0"/>
          <w:bCs w:val="0"/>
        </w:rPr>
        <w:t xml:space="preserve"> &amp; Regimes</w:t>
      </w:r>
    </w:p>
    <w:tbl>
      <w:tblPr>
        <w:tblW w:w="9262" w:type="dxa"/>
        <w:jc w:val="center"/>
        <w:tbl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insideH w:val="single" w:sz="6" w:space="0" w:color="D9D9D9" w:themeColor="background1" w:themeShade="D9"/>
          <w:insideV w:val="single" w:sz="6" w:space="0" w:color="D9D9D9" w:themeColor="background1" w:themeShade="D9"/>
        </w:tblBorders>
        <w:tblLayout w:type="fixed"/>
        <w:tblCellMar>
          <w:top w:w="144" w:type="dxa"/>
          <w:left w:w="144" w:type="dxa"/>
          <w:bottom w:w="144" w:type="dxa"/>
          <w:right w:w="144" w:type="dxa"/>
        </w:tblCellMar>
        <w:tblLook w:val="04A0" w:firstRow="1" w:lastRow="0" w:firstColumn="1" w:lastColumn="0" w:noHBand="0" w:noVBand="1"/>
      </w:tblPr>
      <w:tblGrid>
        <w:gridCol w:w="676"/>
        <w:gridCol w:w="2067"/>
        <w:gridCol w:w="1837"/>
        <w:gridCol w:w="1535"/>
        <w:gridCol w:w="1339"/>
        <w:gridCol w:w="1808"/>
      </w:tblGrid>
      <w:tr w:rsidR="00BF5DC4" w:rsidRPr="003942E7" w14:paraId="23F5C034" w14:textId="77777777" w:rsidTr="00BF5DC4">
        <w:trPr>
          <w:trHeight w:val="828"/>
          <w:tblHeader/>
          <w:jc w:val="center"/>
        </w:trPr>
        <w:tc>
          <w:tcPr>
            <w:tcW w:w="2743" w:type="dxa"/>
            <w:gridSpan w:val="2"/>
            <w:tcBorders>
              <w:top w:val="single" w:sz="6" w:space="0" w:color="BFBFBF" w:themeColor="background1" w:themeShade="BF"/>
              <w:bottom w:val="single" w:sz="36" w:space="0" w:color="A6A6A6" w:themeColor="background1" w:themeShade="A6"/>
            </w:tcBorders>
            <w:shd w:val="clear" w:color="auto" w:fill="000000" w:themeFill="text1"/>
            <w:vAlign w:val="bottom"/>
          </w:tcPr>
          <w:p w14:paraId="48C27C93" w14:textId="77777777" w:rsidR="00BF5DC4" w:rsidRPr="003942E7" w:rsidRDefault="00BF5DC4" w:rsidP="00430B63">
            <w:pPr>
              <w:pStyle w:val="TableHeader"/>
              <w:spacing w:before="120"/>
              <w:rPr>
                <w:rFonts w:cs="Times New Roman"/>
              </w:rPr>
            </w:pPr>
            <w:r w:rsidRPr="003942E7">
              <w:rPr>
                <w:rStyle w:val="Strong"/>
              </w:rPr>
              <w:t xml:space="preserve">Method </w:t>
            </w:r>
            <w:r>
              <w:rPr>
                <w:rStyle w:val="Strong"/>
              </w:rPr>
              <w:br/>
            </w:r>
            <w:r w:rsidRPr="003942E7">
              <w:rPr>
                <w:rStyle w:val="Strong"/>
              </w:rPr>
              <w:t>(M)</w:t>
            </w:r>
          </w:p>
        </w:tc>
        <w:tc>
          <w:tcPr>
            <w:tcW w:w="1837" w:type="dxa"/>
            <w:tcBorders>
              <w:top w:val="single" w:sz="6" w:space="0" w:color="BFBFBF" w:themeColor="background1" w:themeShade="BF"/>
              <w:bottom w:val="single" w:sz="36" w:space="0" w:color="A6A6A6" w:themeColor="background1" w:themeShade="A6"/>
              <w:right w:val="single" w:sz="6" w:space="0" w:color="A6A6A6" w:themeColor="background1" w:themeShade="A6"/>
            </w:tcBorders>
            <w:shd w:val="clear" w:color="auto" w:fill="F5F5F5"/>
            <w:vAlign w:val="bottom"/>
            <w:hideMark/>
          </w:tcPr>
          <w:p w14:paraId="6831F99A" w14:textId="77777777" w:rsidR="00BF5DC4" w:rsidRPr="00C44093" w:rsidRDefault="00BF5DC4" w:rsidP="00430B63">
            <w:pPr>
              <w:pStyle w:val="TableHeader"/>
              <w:spacing w:before="120"/>
              <w:rPr>
                <w:sz w:val="24"/>
                <w:szCs w:val="24"/>
              </w:rPr>
            </w:pPr>
            <w:r w:rsidRPr="00C44093">
              <w:rPr>
                <w:rStyle w:val="Strong"/>
                <w:sz w:val="24"/>
                <w:szCs w:val="24"/>
              </w:rPr>
              <w:t>Purpose / What it does</w:t>
            </w:r>
          </w:p>
        </w:tc>
        <w:tc>
          <w:tcPr>
            <w:tcW w:w="1535" w:type="dxa"/>
            <w:tcBorders>
              <w:top w:val="single" w:sz="6" w:space="0" w:color="BFBFBF" w:themeColor="background1" w:themeShade="BF"/>
              <w:left w:val="single" w:sz="6" w:space="0" w:color="A6A6A6" w:themeColor="background1" w:themeShade="A6"/>
              <w:bottom w:val="single" w:sz="36" w:space="0" w:color="A6A6A6" w:themeColor="background1" w:themeShade="A6"/>
              <w:right w:val="single" w:sz="6" w:space="0" w:color="A6A6A6" w:themeColor="background1" w:themeShade="A6"/>
            </w:tcBorders>
            <w:shd w:val="clear" w:color="auto" w:fill="F5F5F5"/>
            <w:vAlign w:val="bottom"/>
            <w:hideMark/>
          </w:tcPr>
          <w:p w14:paraId="60417FDB" w14:textId="77777777" w:rsidR="00BF5DC4" w:rsidRPr="00C44093" w:rsidRDefault="00BF5DC4" w:rsidP="00430B63">
            <w:pPr>
              <w:pStyle w:val="TableHeader"/>
              <w:spacing w:before="120"/>
              <w:rPr>
                <w:sz w:val="24"/>
                <w:szCs w:val="24"/>
              </w:rPr>
            </w:pPr>
            <w:r w:rsidRPr="00C44093">
              <w:rPr>
                <w:rStyle w:val="Strong"/>
                <w:sz w:val="24"/>
                <w:szCs w:val="24"/>
              </w:rPr>
              <w:t xml:space="preserve">Supports </w:t>
            </w:r>
            <w:r>
              <w:rPr>
                <w:rStyle w:val="Strong"/>
                <w:sz w:val="24"/>
                <w:szCs w:val="24"/>
              </w:rPr>
              <w:t>Rules</w:t>
            </w:r>
            <w:r w:rsidRPr="00C44093">
              <w:rPr>
                <w:rStyle w:val="Strong"/>
                <w:sz w:val="24"/>
                <w:szCs w:val="24"/>
              </w:rPr>
              <w:t>(s) (</w:t>
            </w:r>
            <w:r>
              <w:rPr>
                <w:rStyle w:val="Strong"/>
                <w:sz w:val="24"/>
                <w:szCs w:val="24"/>
              </w:rPr>
              <w:t>R</w:t>
            </w:r>
            <w:r w:rsidRPr="00C44093">
              <w:rPr>
                <w:rStyle w:val="Strong"/>
                <w:sz w:val="24"/>
                <w:szCs w:val="24"/>
              </w:rPr>
              <w:t>)</w:t>
            </w:r>
          </w:p>
        </w:tc>
        <w:tc>
          <w:tcPr>
            <w:tcW w:w="1339" w:type="dxa"/>
            <w:tcBorders>
              <w:top w:val="single" w:sz="6" w:space="0" w:color="BFBFBF" w:themeColor="background1" w:themeShade="BF"/>
              <w:left w:val="single" w:sz="6" w:space="0" w:color="A6A6A6" w:themeColor="background1" w:themeShade="A6"/>
              <w:bottom w:val="single" w:sz="36" w:space="0" w:color="A6A6A6" w:themeColor="background1" w:themeShade="A6"/>
              <w:right w:val="single" w:sz="6" w:space="0" w:color="A6A6A6" w:themeColor="background1" w:themeShade="A6"/>
            </w:tcBorders>
            <w:shd w:val="clear" w:color="auto" w:fill="F5F5F5"/>
            <w:vAlign w:val="bottom"/>
            <w:hideMark/>
          </w:tcPr>
          <w:p w14:paraId="4BD2D883" w14:textId="77777777" w:rsidR="00BF5DC4" w:rsidRPr="00C44093" w:rsidRDefault="00BF5DC4" w:rsidP="00430B63">
            <w:pPr>
              <w:pStyle w:val="TableHeader"/>
              <w:spacing w:before="120"/>
              <w:rPr>
                <w:sz w:val="24"/>
                <w:szCs w:val="24"/>
              </w:rPr>
            </w:pPr>
            <w:r w:rsidRPr="00C44093">
              <w:rPr>
                <w:rStyle w:val="Strong"/>
                <w:sz w:val="24"/>
                <w:szCs w:val="24"/>
              </w:rPr>
              <w:t>Essential in Regime(s)</w:t>
            </w:r>
          </w:p>
        </w:tc>
        <w:tc>
          <w:tcPr>
            <w:tcW w:w="1808" w:type="dxa"/>
            <w:tcBorders>
              <w:top w:val="single" w:sz="6" w:space="0" w:color="BFBFBF" w:themeColor="background1" w:themeShade="BF"/>
              <w:left w:val="single" w:sz="6" w:space="0" w:color="A6A6A6" w:themeColor="background1" w:themeShade="A6"/>
              <w:bottom w:val="single" w:sz="36" w:space="0" w:color="A6A6A6" w:themeColor="background1" w:themeShade="A6"/>
              <w:right w:val="single" w:sz="6" w:space="0" w:color="BFBFBF" w:themeColor="background1" w:themeShade="BF"/>
            </w:tcBorders>
            <w:shd w:val="clear" w:color="auto" w:fill="F5F5F5"/>
            <w:vAlign w:val="bottom"/>
            <w:hideMark/>
          </w:tcPr>
          <w:p w14:paraId="72C8FF44" w14:textId="77777777" w:rsidR="00BF5DC4" w:rsidRPr="00C44093" w:rsidRDefault="00BF5DC4" w:rsidP="00430B63">
            <w:pPr>
              <w:pStyle w:val="TableHeader"/>
              <w:spacing w:before="120"/>
              <w:rPr>
                <w:sz w:val="24"/>
                <w:szCs w:val="24"/>
              </w:rPr>
            </w:pPr>
            <w:r w:rsidRPr="00C44093">
              <w:rPr>
                <w:rStyle w:val="Strong"/>
                <w:sz w:val="24"/>
                <w:szCs w:val="24"/>
              </w:rPr>
              <w:t>Diagnostics / Required outputs</w:t>
            </w:r>
          </w:p>
        </w:tc>
      </w:tr>
      <w:tr w:rsidR="00BF5DC4" w:rsidRPr="003942E7" w14:paraId="286480AA" w14:textId="77777777" w:rsidTr="00BF5DC4">
        <w:trPr>
          <w:jc w:val="center"/>
        </w:trPr>
        <w:tc>
          <w:tcPr>
            <w:tcW w:w="676" w:type="dxa"/>
            <w:tcBorders>
              <w:top w:val="single" w:sz="36" w:space="0" w:color="A6A6A6" w:themeColor="background1" w:themeShade="A6"/>
              <w:left w:val="single" w:sz="6" w:space="0" w:color="BFBFBF" w:themeColor="background1" w:themeShade="BF"/>
              <w:bottom w:val="single" w:sz="6" w:space="0" w:color="D9D9D9" w:themeColor="background1" w:themeShade="D9"/>
            </w:tcBorders>
            <w:shd w:val="clear" w:color="auto" w:fill="000000" w:themeFill="text1"/>
            <w:vAlign w:val="center"/>
          </w:tcPr>
          <w:p w14:paraId="25DB3EF8" w14:textId="77777777" w:rsidR="00BF5DC4" w:rsidRPr="00D629B8" w:rsidRDefault="00BF5DC4" w:rsidP="00430B63">
            <w:pPr>
              <w:pStyle w:val="TableHeader"/>
              <w:rPr>
                <w:rStyle w:val="Strong"/>
                <w:b w:val="0"/>
                <w:bCs w:val="0"/>
                <w:color w:val="FFFFFF" w:themeColor="background1"/>
              </w:rPr>
            </w:pPr>
            <w:bookmarkStart w:id="17" w:name="_Toc229607841"/>
            <w:bookmarkStart w:id="18" w:name="_Toc229610179"/>
            <w:bookmarkStart w:id="19" w:name="_Toc230262767"/>
            <w:bookmarkStart w:id="20" w:name="_Toc230299606"/>
            <w:r w:rsidRPr="00D629B8">
              <w:rPr>
                <w:rStyle w:val="Heading1Char"/>
                <w:b/>
                <w:bCs/>
                <w:color w:val="FFFFFF" w:themeColor="background1"/>
                <w:sz w:val="28"/>
                <w:szCs w:val="28"/>
              </w:rPr>
              <w:t>M1</w:t>
            </w:r>
            <w:bookmarkEnd w:id="17"/>
            <w:bookmarkEnd w:id="18"/>
            <w:bookmarkEnd w:id="19"/>
            <w:bookmarkEnd w:id="20"/>
          </w:p>
        </w:tc>
        <w:tc>
          <w:tcPr>
            <w:tcW w:w="2067" w:type="dxa"/>
            <w:tcBorders>
              <w:top w:val="single" w:sz="36" w:space="0" w:color="A6A6A6" w:themeColor="background1" w:themeShade="A6"/>
              <w:bottom w:val="single" w:sz="6" w:space="0" w:color="A6A6A6" w:themeColor="background1" w:themeShade="A6"/>
              <w:right w:val="single" w:sz="6" w:space="0" w:color="BFBFBF" w:themeColor="background1" w:themeShade="BF"/>
            </w:tcBorders>
            <w:shd w:val="clear" w:color="auto" w:fill="F2F2F2" w:themeFill="background1" w:themeFillShade="F2"/>
            <w:vAlign w:val="center"/>
            <w:hideMark/>
          </w:tcPr>
          <w:p w14:paraId="670B6CC9" w14:textId="77777777" w:rsidR="00BF5DC4" w:rsidRPr="00E029BC" w:rsidRDefault="00BF5DC4" w:rsidP="00430B63">
            <w:pPr>
              <w:pStyle w:val="TableHeader"/>
              <w:rPr>
                <w:b/>
                <w:bCs/>
                <w:sz w:val="24"/>
                <w:szCs w:val="24"/>
              </w:rPr>
            </w:pPr>
            <w:r w:rsidRPr="00E029BC">
              <w:rPr>
                <w:b/>
                <w:bCs/>
                <w:sz w:val="24"/>
                <w:szCs w:val="24"/>
              </w:rPr>
              <w:t xml:space="preserve">Identify </w:t>
            </w:r>
            <w:r w:rsidRPr="00EF0CDC">
              <w:rPr>
                <w:b/>
                <w:sz w:val="24"/>
                <w:szCs w:val="24"/>
              </w:rPr>
              <w:t>α</w:t>
            </w:r>
            <w:r w:rsidRPr="00E029BC">
              <w:rPr>
                <w:b/>
                <w:bCs/>
                <w:sz w:val="24"/>
                <w:szCs w:val="24"/>
              </w:rPr>
              <w:t xml:space="preserve"> (ITT + LATE/CACE)</w:t>
            </w:r>
          </w:p>
        </w:tc>
        <w:tc>
          <w:tcPr>
            <w:tcW w:w="1837" w:type="dxa"/>
            <w:tcBorders>
              <w:top w:val="single" w:sz="36" w:space="0" w:color="A6A6A6" w:themeColor="background1" w:themeShade="A6"/>
              <w:left w:val="single" w:sz="6" w:space="0" w:color="BFBFBF" w:themeColor="background1" w:themeShade="BF"/>
              <w:bottom w:val="single" w:sz="6" w:space="0" w:color="D9D9D9" w:themeColor="background1" w:themeShade="D9"/>
            </w:tcBorders>
            <w:vAlign w:val="center"/>
            <w:hideMark/>
          </w:tcPr>
          <w:p w14:paraId="3C5939CE" w14:textId="744DE4A3" w:rsidR="00BF5DC4" w:rsidRPr="0039205C" w:rsidRDefault="00BF5DC4" w:rsidP="00430B63">
            <w:pPr>
              <w:pStyle w:val="TableText"/>
              <w:rPr>
                <w:sz w:val="19"/>
                <w:szCs w:val="19"/>
              </w:rPr>
            </w:pPr>
            <w:r w:rsidRPr="0039205C">
              <w:rPr>
                <w:sz w:val="19"/>
                <w:szCs w:val="19"/>
              </w:rPr>
              <w:t xml:space="preserve">Recovers biological effect under </w:t>
            </w:r>
            <w:r w:rsidRPr="0039205C">
              <w:rPr>
                <w:sz w:val="19"/>
                <w:szCs w:val="19"/>
              </w:rPr>
              <w:br/>
              <w:t>non</w:t>
            </w:r>
            <w:r w:rsidR="00AB5CE1">
              <w:rPr>
                <w:sz w:val="19"/>
                <w:szCs w:val="19"/>
              </w:rPr>
              <w:t>-</w:t>
            </w:r>
            <w:r w:rsidRPr="0039205C">
              <w:rPr>
                <w:sz w:val="19"/>
                <w:szCs w:val="19"/>
              </w:rPr>
              <w:t xml:space="preserve">adherence </w:t>
            </w:r>
            <w:r w:rsidRPr="0039205C">
              <w:rPr>
                <w:sz w:val="19"/>
                <w:szCs w:val="19"/>
              </w:rPr>
              <w:br/>
              <w:t>on clinical link</w:t>
            </w:r>
          </w:p>
        </w:tc>
        <w:tc>
          <w:tcPr>
            <w:tcW w:w="1535" w:type="dxa"/>
            <w:tcBorders>
              <w:top w:val="single" w:sz="36" w:space="0" w:color="A6A6A6" w:themeColor="background1" w:themeShade="A6"/>
              <w:bottom w:val="single" w:sz="6" w:space="0" w:color="D9D9D9" w:themeColor="background1" w:themeShade="D9"/>
            </w:tcBorders>
            <w:vAlign w:val="center"/>
            <w:hideMark/>
          </w:tcPr>
          <w:p w14:paraId="460B650F" w14:textId="77777777" w:rsidR="00BF5DC4" w:rsidRPr="00D629B8" w:rsidRDefault="00BF5DC4" w:rsidP="00430B63">
            <w:pPr>
              <w:pStyle w:val="TableText"/>
              <w:rPr>
                <w:sz w:val="22"/>
                <w:szCs w:val="22"/>
              </w:rPr>
            </w:pPr>
            <w:r w:rsidRPr="00D629B8">
              <w:rPr>
                <w:rStyle w:val="Strong"/>
                <w:sz w:val="22"/>
                <w:szCs w:val="22"/>
              </w:rPr>
              <w:t>R1</w:t>
            </w:r>
            <w:r w:rsidRPr="00D629B8">
              <w:rPr>
                <w:sz w:val="22"/>
                <w:szCs w:val="22"/>
              </w:rPr>
              <w:t xml:space="preserve">, </w:t>
            </w:r>
            <w:r w:rsidRPr="00D629B8">
              <w:rPr>
                <w:rStyle w:val="Strong"/>
                <w:sz w:val="22"/>
                <w:szCs w:val="22"/>
              </w:rPr>
              <w:t>R2</w:t>
            </w:r>
            <w:r w:rsidRPr="00D629B8">
              <w:rPr>
                <w:sz w:val="22"/>
                <w:szCs w:val="22"/>
              </w:rPr>
              <w:t xml:space="preserve">, </w:t>
            </w:r>
            <w:r w:rsidRPr="00D629B8">
              <w:rPr>
                <w:rStyle w:val="Strong"/>
                <w:sz w:val="22"/>
                <w:szCs w:val="22"/>
              </w:rPr>
              <w:t>R3</w:t>
            </w:r>
            <w:r w:rsidRPr="00D629B8">
              <w:rPr>
                <w:sz w:val="22"/>
                <w:szCs w:val="22"/>
              </w:rPr>
              <w:t xml:space="preserve">, </w:t>
            </w:r>
            <w:r w:rsidRPr="00D629B8">
              <w:rPr>
                <w:rStyle w:val="Strong"/>
                <w:sz w:val="22"/>
                <w:szCs w:val="22"/>
              </w:rPr>
              <w:t>R5</w:t>
            </w:r>
          </w:p>
        </w:tc>
        <w:tc>
          <w:tcPr>
            <w:tcW w:w="1339" w:type="dxa"/>
            <w:tcBorders>
              <w:top w:val="single" w:sz="36" w:space="0" w:color="A6A6A6" w:themeColor="background1" w:themeShade="A6"/>
              <w:bottom w:val="single" w:sz="6" w:space="0" w:color="D9D9D9" w:themeColor="background1" w:themeShade="D9"/>
            </w:tcBorders>
            <w:vAlign w:val="center"/>
            <w:hideMark/>
          </w:tcPr>
          <w:p w14:paraId="3E30C664" w14:textId="77777777" w:rsidR="00BF5DC4" w:rsidRPr="00D629B8" w:rsidRDefault="00BF5DC4" w:rsidP="00430B63">
            <w:pPr>
              <w:pStyle w:val="TableText"/>
              <w:rPr>
                <w:sz w:val="22"/>
                <w:szCs w:val="22"/>
              </w:rPr>
            </w:pPr>
            <w:r w:rsidRPr="00D629B8">
              <w:rPr>
                <w:rStyle w:val="Strong"/>
                <w:sz w:val="22"/>
                <w:szCs w:val="22"/>
              </w:rPr>
              <w:t>B1</w:t>
            </w:r>
            <w:r w:rsidRPr="00D629B8">
              <w:rPr>
                <w:sz w:val="22"/>
                <w:szCs w:val="22"/>
              </w:rPr>
              <w:t>,</w:t>
            </w:r>
            <w:r w:rsidRPr="00D629B8">
              <w:rPr>
                <w:rStyle w:val="Strong"/>
                <w:sz w:val="22"/>
                <w:szCs w:val="22"/>
              </w:rPr>
              <w:t xml:space="preserve"> B2</w:t>
            </w:r>
            <w:r w:rsidRPr="00D629B8">
              <w:rPr>
                <w:sz w:val="22"/>
                <w:szCs w:val="22"/>
              </w:rPr>
              <w:t>,</w:t>
            </w:r>
            <w:r w:rsidRPr="00D629B8">
              <w:rPr>
                <w:rStyle w:val="Strong"/>
                <w:sz w:val="22"/>
                <w:szCs w:val="22"/>
              </w:rPr>
              <w:t xml:space="preserve"> </w:t>
            </w:r>
            <w:r>
              <w:rPr>
                <w:rStyle w:val="Strong"/>
                <w:sz w:val="22"/>
                <w:szCs w:val="22"/>
              </w:rPr>
              <w:br/>
            </w:r>
            <w:r w:rsidRPr="00D629B8">
              <w:rPr>
                <w:rStyle w:val="Strong"/>
                <w:sz w:val="22"/>
                <w:szCs w:val="22"/>
              </w:rPr>
              <w:t>B3</w:t>
            </w:r>
            <w:r w:rsidRPr="00D629B8">
              <w:rPr>
                <w:sz w:val="22"/>
                <w:szCs w:val="22"/>
              </w:rPr>
              <w:t>,</w:t>
            </w:r>
            <w:r w:rsidRPr="00D629B8">
              <w:rPr>
                <w:rStyle w:val="Strong"/>
                <w:sz w:val="22"/>
                <w:szCs w:val="22"/>
              </w:rPr>
              <w:t xml:space="preserve"> B4</w:t>
            </w:r>
            <w:r w:rsidRPr="00D629B8">
              <w:rPr>
                <w:sz w:val="22"/>
                <w:szCs w:val="22"/>
              </w:rPr>
              <w:t xml:space="preserve"> </w:t>
            </w:r>
            <w:r w:rsidRPr="00D629B8">
              <w:rPr>
                <w:sz w:val="18"/>
                <w:szCs w:val="18"/>
              </w:rPr>
              <w:t>(all)</w:t>
            </w:r>
          </w:p>
        </w:tc>
        <w:tc>
          <w:tcPr>
            <w:tcW w:w="1808" w:type="dxa"/>
            <w:tcBorders>
              <w:top w:val="single" w:sz="36" w:space="0" w:color="A6A6A6" w:themeColor="background1" w:themeShade="A6"/>
              <w:bottom w:val="single" w:sz="6" w:space="0" w:color="D9D9D9" w:themeColor="background1" w:themeShade="D9"/>
              <w:right w:val="single" w:sz="6" w:space="0" w:color="BFBFBF" w:themeColor="background1" w:themeShade="BF"/>
            </w:tcBorders>
            <w:vAlign w:val="center"/>
            <w:hideMark/>
          </w:tcPr>
          <w:p w14:paraId="7037D147" w14:textId="743FD8F6" w:rsidR="00BF5DC4" w:rsidRPr="0039205C" w:rsidRDefault="00BF5DC4" w:rsidP="00430B63">
            <w:pPr>
              <w:pStyle w:val="TableText"/>
              <w:rPr>
                <w:sz w:val="19"/>
                <w:szCs w:val="19"/>
              </w:rPr>
            </w:pPr>
            <w:r w:rsidRPr="0039205C">
              <w:rPr>
                <w:sz w:val="19"/>
                <w:szCs w:val="19"/>
              </w:rPr>
              <w:t>ITT &amp; LATE;</w:t>
            </w:r>
            <w:r w:rsidRPr="0039205C">
              <w:rPr>
                <w:sz w:val="19"/>
                <w:szCs w:val="19"/>
                <w:vertAlign w:val="superscript"/>
              </w:rPr>
              <w:t>S2</w:t>
            </w:r>
            <w:r w:rsidRPr="0039205C">
              <w:rPr>
                <w:sz w:val="19"/>
                <w:szCs w:val="19"/>
              </w:rPr>
              <w:t xml:space="preserve"> </w:t>
            </w:r>
            <w:r w:rsidRPr="0039205C">
              <w:rPr>
                <w:sz w:val="19"/>
                <w:szCs w:val="19"/>
              </w:rPr>
              <w:br/>
              <w:t xml:space="preserve">IV assumptions box; </w:t>
            </w:r>
            <w:r w:rsidRPr="0039205C">
              <w:rPr>
                <w:sz w:val="19"/>
                <w:szCs w:val="19"/>
              </w:rPr>
              <w:br/>
              <w:t>survival</w:t>
            </w:r>
            <w:r w:rsidR="00AB5CE1">
              <w:rPr>
                <w:sz w:val="19"/>
                <w:szCs w:val="19"/>
              </w:rPr>
              <w:t>-</w:t>
            </w:r>
            <w:r w:rsidRPr="0039205C">
              <w:rPr>
                <w:sz w:val="19"/>
                <w:szCs w:val="19"/>
              </w:rPr>
              <w:t xml:space="preserve">scale α; </w:t>
            </w:r>
            <w:r w:rsidRPr="0039205C">
              <w:rPr>
                <w:sz w:val="19"/>
                <w:szCs w:val="19"/>
              </w:rPr>
              <w:br/>
              <w:t>CI/SE</w:t>
            </w:r>
          </w:p>
        </w:tc>
      </w:tr>
      <w:tr w:rsidR="00BF5DC4" w:rsidRPr="003942E7" w14:paraId="738283AE" w14:textId="77777777" w:rsidTr="00BF5DC4">
        <w:trPr>
          <w:jc w:val="center"/>
        </w:trPr>
        <w:tc>
          <w:tcPr>
            <w:tcW w:w="676" w:type="dxa"/>
            <w:tcBorders>
              <w:top w:val="single" w:sz="6" w:space="0" w:color="D9D9D9" w:themeColor="background1" w:themeShade="D9"/>
              <w:left w:val="single" w:sz="6" w:space="0" w:color="BFBFBF" w:themeColor="background1" w:themeShade="BF"/>
              <w:bottom w:val="single" w:sz="6" w:space="0" w:color="D9D9D9" w:themeColor="background1" w:themeShade="D9"/>
            </w:tcBorders>
            <w:shd w:val="clear" w:color="auto" w:fill="000000" w:themeFill="text1"/>
            <w:vAlign w:val="center"/>
          </w:tcPr>
          <w:p w14:paraId="32A8B494" w14:textId="77777777" w:rsidR="00BF5DC4" w:rsidRPr="00D629B8" w:rsidRDefault="00BF5DC4" w:rsidP="00430B63">
            <w:pPr>
              <w:pStyle w:val="TableHeader"/>
              <w:rPr>
                <w:rStyle w:val="Strong"/>
                <w:b w:val="0"/>
                <w:bCs w:val="0"/>
                <w:color w:val="FFFFFF" w:themeColor="background1"/>
              </w:rPr>
            </w:pPr>
            <w:bookmarkStart w:id="21" w:name="_Toc229607842"/>
            <w:bookmarkStart w:id="22" w:name="_Toc229610180"/>
            <w:bookmarkStart w:id="23" w:name="_Toc230262768"/>
            <w:bookmarkStart w:id="24" w:name="_Toc230299607"/>
            <w:r w:rsidRPr="00D629B8">
              <w:rPr>
                <w:rStyle w:val="Heading1Char"/>
                <w:b/>
                <w:bCs/>
                <w:color w:val="FFFFFF" w:themeColor="background1"/>
                <w:sz w:val="28"/>
                <w:szCs w:val="28"/>
              </w:rPr>
              <w:t>M2</w:t>
            </w:r>
            <w:bookmarkEnd w:id="21"/>
            <w:bookmarkEnd w:id="22"/>
            <w:bookmarkEnd w:id="23"/>
            <w:bookmarkEnd w:id="24"/>
          </w:p>
        </w:tc>
        <w:tc>
          <w:tcPr>
            <w:tcW w:w="2067" w:type="dxa"/>
            <w:tcBorders>
              <w:top w:val="single" w:sz="6" w:space="0" w:color="A6A6A6" w:themeColor="background1" w:themeShade="A6"/>
              <w:bottom w:val="single" w:sz="6" w:space="0" w:color="A6A6A6" w:themeColor="background1" w:themeShade="A6"/>
              <w:right w:val="single" w:sz="6" w:space="0" w:color="BFBFBF" w:themeColor="background1" w:themeShade="BF"/>
            </w:tcBorders>
            <w:shd w:val="clear" w:color="auto" w:fill="F2F2F2" w:themeFill="background1" w:themeFillShade="F2"/>
            <w:vAlign w:val="center"/>
            <w:hideMark/>
          </w:tcPr>
          <w:p w14:paraId="0D245BCC" w14:textId="77777777" w:rsidR="00BF5DC4" w:rsidRPr="00E029BC" w:rsidRDefault="00BF5DC4" w:rsidP="00430B63">
            <w:pPr>
              <w:pStyle w:val="TableHeader"/>
              <w:rPr>
                <w:b/>
                <w:bCs/>
                <w:sz w:val="24"/>
                <w:szCs w:val="24"/>
              </w:rPr>
            </w:pPr>
            <w:r w:rsidRPr="00E029BC">
              <w:rPr>
                <w:b/>
                <w:bCs/>
                <w:sz w:val="24"/>
                <w:szCs w:val="24"/>
              </w:rPr>
              <w:t xml:space="preserve">Define / </w:t>
            </w:r>
            <w:r w:rsidRPr="00E029BC">
              <w:rPr>
                <w:b/>
                <w:bCs/>
                <w:sz w:val="24"/>
                <w:szCs w:val="24"/>
              </w:rPr>
              <w:br/>
              <w:t xml:space="preserve">estimate </w:t>
            </w:r>
            <w:r w:rsidRPr="00EF0CDC">
              <w:rPr>
                <w:b/>
                <w:sz w:val="24"/>
                <w:szCs w:val="24"/>
              </w:rPr>
              <w:t>β</w:t>
            </w:r>
          </w:p>
        </w:tc>
        <w:tc>
          <w:tcPr>
            <w:tcW w:w="1837" w:type="dxa"/>
            <w:tcBorders>
              <w:top w:val="single" w:sz="6" w:space="0" w:color="D9D9D9" w:themeColor="background1" w:themeShade="D9"/>
              <w:left w:val="single" w:sz="6" w:space="0" w:color="BFBFBF" w:themeColor="background1" w:themeShade="BF"/>
              <w:bottom w:val="single" w:sz="6" w:space="0" w:color="D9D9D9" w:themeColor="background1" w:themeShade="D9"/>
            </w:tcBorders>
            <w:vAlign w:val="center"/>
            <w:hideMark/>
          </w:tcPr>
          <w:p w14:paraId="46E26645" w14:textId="74A38867" w:rsidR="00BF5DC4" w:rsidRPr="0039205C" w:rsidRDefault="00BF5DC4" w:rsidP="00430B63">
            <w:pPr>
              <w:pStyle w:val="TableText"/>
              <w:rPr>
                <w:sz w:val="19"/>
                <w:szCs w:val="19"/>
              </w:rPr>
            </w:pPr>
            <w:r w:rsidRPr="0039205C">
              <w:rPr>
                <w:sz w:val="19"/>
                <w:szCs w:val="19"/>
              </w:rPr>
              <w:t>Quantifies preference</w:t>
            </w:r>
            <w:r w:rsidR="00AB5CE1">
              <w:rPr>
                <w:sz w:val="19"/>
                <w:szCs w:val="19"/>
              </w:rPr>
              <w:t>-</w:t>
            </w:r>
            <w:r w:rsidRPr="0039205C">
              <w:rPr>
                <w:sz w:val="19"/>
                <w:szCs w:val="19"/>
              </w:rPr>
              <w:t xml:space="preserve">mediated effect aligned </w:t>
            </w:r>
            <w:r w:rsidRPr="0039205C">
              <w:rPr>
                <w:sz w:val="19"/>
                <w:szCs w:val="19"/>
              </w:rPr>
              <w:br/>
              <w:t>to α scale</w:t>
            </w:r>
          </w:p>
        </w:tc>
        <w:tc>
          <w:tcPr>
            <w:tcW w:w="1535" w:type="dxa"/>
            <w:tcBorders>
              <w:top w:val="single" w:sz="6" w:space="0" w:color="D9D9D9" w:themeColor="background1" w:themeShade="D9"/>
            </w:tcBorders>
            <w:vAlign w:val="center"/>
            <w:hideMark/>
          </w:tcPr>
          <w:p w14:paraId="767A31A4" w14:textId="77777777" w:rsidR="00BF5DC4" w:rsidRPr="00D629B8" w:rsidRDefault="00BF5DC4" w:rsidP="00430B63">
            <w:pPr>
              <w:pStyle w:val="TableText"/>
              <w:rPr>
                <w:sz w:val="22"/>
                <w:szCs w:val="22"/>
              </w:rPr>
            </w:pPr>
            <w:r w:rsidRPr="00D629B8">
              <w:rPr>
                <w:rStyle w:val="Strong"/>
                <w:sz w:val="22"/>
                <w:szCs w:val="22"/>
              </w:rPr>
              <w:t>R1</w:t>
            </w:r>
            <w:r w:rsidRPr="00D629B8">
              <w:rPr>
                <w:sz w:val="22"/>
                <w:szCs w:val="22"/>
              </w:rPr>
              <w:t xml:space="preserve">, </w:t>
            </w:r>
            <w:r w:rsidRPr="00D629B8">
              <w:rPr>
                <w:rStyle w:val="Strong"/>
                <w:sz w:val="22"/>
                <w:szCs w:val="22"/>
              </w:rPr>
              <w:t>R2</w:t>
            </w:r>
            <w:r w:rsidRPr="00D629B8">
              <w:rPr>
                <w:sz w:val="22"/>
                <w:szCs w:val="22"/>
              </w:rPr>
              <w:t xml:space="preserve">, </w:t>
            </w:r>
            <w:r w:rsidRPr="00D629B8">
              <w:rPr>
                <w:rStyle w:val="Strong"/>
                <w:sz w:val="22"/>
                <w:szCs w:val="22"/>
              </w:rPr>
              <w:t>R3</w:t>
            </w:r>
            <w:r w:rsidRPr="00D629B8">
              <w:rPr>
                <w:sz w:val="22"/>
                <w:szCs w:val="22"/>
              </w:rPr>
              <w:t xml:space="preserve">, </w:t>
            </w:r>
          </w:p>
          <w:p w14:paraId="48CF52D8" w14:textId="77777777" w:rsidR="00BF5DC4" w:rsidRPr="00D629B8" w:rsidRDefault="00BF5DC4" w:rsidP="00430B63">
            <w:pPr>
              <w:pStyle w:val="TableText"/>
              <w:rPr>
                <w:sz w:val="22"/>
                <w:szCs w:val="22"/>
              </w:rPr>
            </w:pPr>
            <w:r w:rsidRPr="00D629B8">
              <w:rPr>
                <w:b/>
                <w:bCs/>
                <w:sz w:val="22"/>
                <w:szCs w:val="22"/>
              </w:rPr>
              <w:t>R4</w:t>
            </w:r>
            <w:r w:rsidRPr="00D629B8">
              <w:rPr>
                <w:sz w:val="22"/>
                <w:szCs w:val="22"/>
              </w:rPr>
              <w:t xml:space="preserve">, </w:t>
            </w:r>
            <w:r w:rsidRPr="00D629B8">
              <w:rPr>
                <w:rStyle w:val="Strong"/>
                <w:sz w:val="22"/>
                <w:szCs w:val="22"/>
              </w:rPr>
              <w:t xml:space="preserve">R5 </w:t>
            </w:r>
            <w:r w:rsidRPr="00D629B8">
              <w:rPr>
                <w:rStyle w:val="Strong"/>
                <w:b w:val="0"/>
                <w:bCs w:val="0"/>
                <w:sz w:val="18"/>
                <w:szCs w:val="18"/>
              </w:rPr>
              <w:t>(all)</w:t>
            </w:r>
          </w:p>
        </w:tc>
        <w:tc>
          <w:tcPr>
            <w:tcW w:w="1339" w:type="dxa"/>
            <w:tcBorders>
              <w:top w:val="single" w:sz="6" w:space="0" w:color="D9D9D9" w:themeColor="background1" w:themeShade="D9"/>
            </w:tcBorders>
            <w:vAlign w:val="center"/>
            <w:hideMark/>
          </w:tcPr>
          <w:p w14:paraId="54AA0275" w14:textId="731FF355" w:rsidR="00BF5DC4" w:rsidRPr="00D629B8" w:rsidRDefault="00BF5DC4" w:rsidP="00430B63">
            <w:pPr>
              <w:pStyle w:val="TableText"/>
              <w:rPr>
                <w:sz w:val="22"/>
                <w:szCs w:val="22"/>
              </w:rPr>
            </w:pPr>
            <w:r w:rsidRPr="00D629B8">
              <w:rPr>
                <w:rStyle w:val="Strong"/>
                <w:sz w:val="22"/>
                <w:szCs w:val="22"/>
              </w:rPr>
              <w:t>B2</w:t>
            </w:r>
            <w:r w:rsidRPr="00D629B8">
              <w:rPr>
                <w:sz w:val="22"/>
                <w:szCs w:val="22"/>
              </w:rPr>
              <w:t>,</w:t>
            </w:r>
            <w:r w:rsidRPr="00D629B8">
              <w:rPr>
                <w:rStyle w:val="Strong"/>
                <w:sz w:val="22"/>
                <w:szCs w:val="22"/>
              </w:rPr>
              <w:t xml:space="preserve"> </w:t>
            </w:r>
            <w:r>
              <w:rPr>
                <w:rStyle w:val="Strong"/>
                <w:sz w:val="22"/>
                <w:szCs w:val="22"/>
              </w:rPr>
              <w:br/>
            </w:r>
            <w:r w:rsidRPr="00D629B8">
              <w:rPr>
                <w:rStyle w:val="Strong"/>
                <w:sz w:val="22"/>
                <w:szCs w:val="22"/>
              </w:rPr>
              <w:t>B4</w:t>
            </w:r>
            <w:r w:rsidRPr="00D629B8">
              <w:rPr>
                <w:sz w:val="22"/>
                <w:szCs w:val="22"/>
              </w:rPr>
              <w:t xml:space="preserve"> </w:t>
            </w:r>
            <w:r w:rsidRPr="00D629B8">
              <w:rPr>
                <w:sz w:val="18"/>
                <w:szCs w:val="18"/>
              </w:rPr>
              <w:t xml:space="preserve">(primary); </w:t>
            </w:r>
            <w:r w:rsidRPr="00D629B8">
              <w:rPr>
                <w:sz w:val="18"/>
                <w:szCs w:val="18"/>
              </w:rPr>
              <w:br/>
            </w:r>
            <w:r w:rsidRPr="00D629B8">
              <w:rPr>
                <w:rStyle w:val="Strong"/>
                <w:sz w:val="22"/>
                <w:szCs w:val="22"/>
              </w:rPr>
              <w:t>B3</w:t>
            </w:r>
            <w:r w:rsidRPr="00D629B8">
              <w:rPr>
                <w:sz w:val="22"/>
                <w:szCs w:val="22"/>
              </w:rPr>
              <w:t xml:space="preserve"> </w:t>
            </w:r>
            <w:r w:rsidRPr="00D629B8">
              <w:rPr>
                <w:sz w:val="18"/>
                <w:szCs w:val="18"/>
              </w:rPr>
              <w:t>(rule</w:t>
            </w:r>
            <w:r w:rsidR="00AB5CE1">
              <w:rPr>
                <w:sz w:val="18"/>
                <w:szCs w:val="18"/>
              </w:rPr>
              <w:t>-</w:t>
            </w:r>
            <w:r w:rsidRPr="00D629B8">
              <w:rPr>
                <w:sz w:val="18"/>
                <w:szCs w:val="18"/>
              </w:rPr>
              <w:t>out)</w:t>
            </w:r>
          </w:p>
        </w:tc>
        <w:tc>
          <w:tcPr>
            <w:tcW w:w="1808" w:type="dxa"/>
            <w:tcBorders>
              <w:top w:val="single" w:sz="6" w:space="0" w:color="D9D9D9" w:themeColor="background1" w:themeShade="D9"/>
              <w:bottom w:val="single" w:sz="6" w:space="0" w:color="D9D9D9" w:themeColor="background1" w:themeShade="D9"/>
              <w:right w:val="single" w:sz="6" w:space="0" w:color="BFBFBF" w:themeColor="background1" w:themeShade="BF"/>
            </w:tcBorders>
            <w:vAlign w:val="center"/>
            <w:hideMark/>
          </w:tcPr>
          <w:p w14:paraId="192D221D" w14:textId="77777777" w:rsidR="00BF5DC4" w:rsidRPr="0039205C" w:rsidRDefault="00BF5DC4" w:rsidP="00430B63">
            <w:pPr>
              <w:pStyle w:val="TableText"/>
              <w:rPr>
                <w:sz w:val="19"/>
                <w:szCs w:val="19"/>
              </w:rPr>
            </w:pPr>
            <w:r w:rsidRPr="0039205C">
              <w:rPr>
                <w:sz w:val="19"/>
                <w:szCs w:val="19"/>
              </w:rPr>
              <w:t xml:space="preserve">β via </w:t>
            </w:r>
            <w:r w:rsidRPr="0039205C">
              <w:rPr>
                <w:sz w:val="19"/>
                <w:szCs w:val="19"/>
              </w:rPr>
              <w:br/>
              <w:t>ΔOBS − Δα</w:t>
            </w:r>
            <w:r w:rsidRPr="0039205C">
              <w:rPr>
                <w:sz w:val="19"/>
                <w:szCs w:val="19"/>
                <w:vertAlign w:val="subscript"/>
              </w:rPr>
              <w:t>causal</w:t>
            </w:r>
            <w:r w:rsidRPr="0039205C">
              <w:rPr>
                <w:sz w:val="19"/>
                <w:szCs w:val="19"/>
              </w:rPr>
              <w:t xml:space="preserve">; estimator panel; </w:t>
            </w:r>
            <w:r w:rsidRPr="0039205C">
              <w:rPr>
                <w:sz w:val="19"/>
                <w:szCs w:val="19"/>
              </w:rPr>
              <w:br/>
              <w:t>MCID &amp; CI</w:t>
            </w:r>
          </w:p>
        </w:tc>
      </w:tr>
      <w:tr w:rsidR="00BF5DC4" w:rsidRPr="003942E7" w14:paraId="414A5362" w14:textId="77777777" w:rsidTr="00BF5DC4">
        <w:trPr>
          <w:trHeight w:val="1137"/>
          <w:jc w:val="center"/>
        </w:trPr>
        <w:tc>
          <w:tcPr>
            <w:tcW w:w="676" w:type="dxa"/>
            <w:tcBorders>
              <w:top w:val="single" w:sz="6" w:space="0" w:color="D9D9D9" w:themeColor="background1" w:themeShade="D9"/>
              <w:left w:val="single" w:sz="6" w:space="0" w:color="BFBFBF" w:themeColor="background1" w:themeShade="BF"/>
              <w:bottom w:val="single" w:sz="6" w:space="0" w:color="D9D9D9" w:themeColor="background1" w:themeShade="D9"/>
            </w:tcBorders>
            <w:shd w:val="clear" w:color="auto" w:fill="000000" w:themeFill="text1"/>
            <w:vAlign w:val="center"/>
          </w:tcPr>
          <w:p w14:paraId="71029F8C" w14:textId="77777777" w:rsidR="00BF5DC4" w:rsidRPr="00D629B8" w:rsidRDefault="00BF5DC4" w:rsidP="00430B63">
            <w:pPr>
              <w:pStyle w:val="TableHeader"/>
              <w:rPr>
                <w:rStyle w:val="Strong"/>
                <w:b w:val="0"/>
                <w:bCs w:val="0"/>
                <w:color w:val="FFFFFF" w:themeColor="background1"/>
              </w:rPr>
            </w:pPr>
            <w:bookmarkStart w:id="25" w:name="_Toc229607843"/>
            <w:bookmarkStart w:id="26" w:name="_Toc229610181"/>
            <w:bookmarkStart w:id="27" w:name="_Toc230262769"/>
            <w:bookmarkStart w:id="28" w:name="_Toc230299608"/>
            <w:r w:rsidRPr="00D629B8">
              <w:rPr>
                <w:rStyle w:val="Heading1Char"/>
                <w:b/>
                <w:bCs/>
                <w:color w:val="FFFFFF" w:themeColor="background1"/>
                <w:sz w:val="28"/>
                <w:szCs w:val="28"/>
              </w:rPr>
              <w:t>M3</w:t>
            </w:r>
            <w:bookmarkEnd w:id="25"/>
            <w:bookmarkEnd w:id="26"/>
            <w:bookmarkEnd w:id="27"/>
            <w:bookmarkEnd w:id="28"/>
          </w:p>
        </w:tc>
        <w:tc>
          <w:tcPr>
            <w:tcW w:w="2067" w:type="dxa"/>
            <w:tcBorders>
              <w:top w:val="single" w:sz="6" w:space="0" w:color="A6A6A6" w:themeColor="background1" w:themeShade="A6"/>
              <w:bottom w:val="single" w:sz="6" w:space="0" w:color="A6A6A6" w:themeColor="background1" w:themeShade="A6"/>
              <w:right w:val="single" w:sz="6" w:space="0" w:color="BFBFBF" w:themeColor="background1" w:themeShade="BF"/>
            </w:tcBorders>
            <w:shd w:val="clear" w:color="auto" w:fill="F2F2F2" w:themeFill="background1" w:themeFillShade="F2"/>
            <w:vAlign w:val="center"/>
            <w:hideMark/>
          </w:tcPr>
          <w:p w14:paraId="0CAFA916" w14:textId="77777777" w:rsidR="00BF5DC4" w:rsidRPr="00E029BC" w:rsidRDefault="00BF5DC4" w:rsidP="00430B63">
            <w:pPr>
              <w:pStyle w:val="TableHeader"/>
              <w:rPr>
                <w:b/>
                <w:bCs/>
                <w:sz w:val="24"/>
                <w:szCs w:val="24"/>
              </w:rPr>
            </w:pPr>
            <w:r w:rsidRPr="00E029BC">
              <w:rPr>
                <w:b/>
                <w:bCs/>
                <w:sz w:val="24"/>
                <w:szCs w:val="24"/>
              </w:rPr>
              <w:t>Instrument &amp; regime diagnostics</w:t>
            </w:r>
          </w:p>
        </w:tc>
        <w:tc>
          <w:tcPr>
            <w:tcW w:w="1837" w:type="dxa"/>
            <w:tcBorders>
              <w:top w:val="single" w:sz="6" w:space="0" w:color="D9D9D9" w:themeColor="background1" w:themeShade="D9"/>
              <w:left w:val="single" w:sz="6" w:space="0" w:color="BFBFBF" w:themeColor="background1" w:themeShade="BF"/>
              <w:bottom w:val="single" w:sz="6" w:space="0" w:color="D9D9D9" w:themeColor="background1" w:themeShade="D9"/>
            </w:tcBorders>
            <w:vAlign w:val="center"/>
            <w:hideMark/>
          </w:tcPr>
          <w:p w14:paraId="49F661C5" w14:textId="77777777" w:rsidR="00BF5DC4" w:rsidRPr="0039205C" w:rsidRDefault="00BF5DC4" w:rsidP="00430B63">
            <w:pPr>
              <w:pStyle w:val="TableText"/>
              <w:rPr>
                <w:sz w:val="19"/>
                <w:szCs w:val="19"/>
              </w:rPr>
            </w:pPr>
            <w:r w:rsidRPr="0039205C">
              <w:rPr>
                <w:sz w:val="19"/>
                <w:szCs w:val="19"/>
              </w:rPr>
              <w:t>Confirms identifiability; labels regime</w:t>
            </w:r>
          </w:p>
        </w:tc>
        <w:tc>
          <w:tcPr>
            <w:tcW w:w="1535" w:type="dxa"/>
            <w:vAlign w:val="center"/>
            <w:hideMark/>
          </w:tcPr>
          <w:p w14:paraId="0C11A5ED" w14:textId="77777777" w:rsidR="00BF5DC4" w:rsidRPr="00D629B8" w:rsidRDefault="00BF5DC4" w:rsidP="00430B63">
            <w:pPr>
              <w:pStyle w:val="TableText"/>
              <w:rPr>
                <w:sz w:val="22"/>
                <w:szCs w:val="22"/>
              </w:rPr>
            </w:pPr>
            <w:r w:rsidRPr="00D629B8">
              <w:rPr>
                <w:rStyle w:val="Strong"/>
                <w:sz w:val="22"/>
                <w:szCs w:val="22"/>
              </w:rPr>
              <w:t>R1</w:t>
            </w:r>
            <w:r w:rsidRPr="00D629B8">
              <w:rPr>
                <w:sz w:val="22"/>
                <w:szCs w:val="22"/>
              </w:rPr>
              <w:t>,</w:t>
            </w:r>
            <w:r w:rsidRPr="00D629B8">
              <w:rPr>
                <w:rStyle w:val="Strong"/>
                <w:sz w:val="22"/>
                <w:szCs w:val="22"/>
              </w:rPr>
              <w:t xml:space="preserve"> R2</w:t>
            </w:r>
            <w:r w:rsidRPr="00D629B8">
              <w:rPr>
                <w:sz w:val="22"/>
                <w:szCs w:val="22"/>
              </w:rPr>
              <w:t>,</w:t>
            </w:r>
            <w:r w:rsidRPr="00D629B8">
              <w:rPr>
                <w:rStyle w:val="Strong"/>
                <w:sz w:val="22"/>
                <w:szCs w:val="22"/>
              </w:rPr>
              <w:t xml:space="preserve"> R3</w:t>
            </w:r>
            <w:r w:rsidRPr="00D629B8">
              <w:rPr>
                <w:sz w:val="22"/>
                <w:szCs w:val="22"/>
              </w:rPr>
              <w:t>,</w:t>
            </w:r>
            <w:r w:rsidRPr="00D629B8">
              <w:rPr>
                <w:rStyle w:val="Strong"/>
                <w:sz w:val="22"/>
                <w:szCs w:val="22"/>
              </w:rPr>
              <w:t xml:space="preserve"> R5</w:t>
            </w:r>
          </w:p>
        </w:tc>
        <w:tc>
          <w:tcPr>
            <w:tcW w:w="1339" w:type="dxa"/>
            <w:vAlign w:val="center"/>
            <w:hideMark/>
          </w:tcPr>
          <w:p w14:paraId="1C172308" w14:textId="77777777" w:rsidR="00BF5DC4" w:rsidRPr="00D629B8" w:rsidRDefault="00BF5DC4" w:rsidP="00430B63">
            <w:pPr>
              <w:pStyle w:val="TableText"/>
              <w:rPr>
                <w:sz w:val="22"/>
                <w:szCs w:val="22"/>
              </w:rPr>
            </w:pPr>
            <w:r w:rsidRPr="00D629B8">
              <w:rPr>
                <w:rStyle w:val="Strong"/>
                <w:sz w:val="22"/>
                <w:szCs w:val="22"/>
              </w:rPr>
              <w:t>B2</w:t>
            </w:r>
            <w:r w:rsidRPr="00D629B8">
              <w:rPr>
                <w:sz w:val="22"/>
                <w:szCs w:val="22"/>
              </w:rPr>
              <w:t>,</w:t>
            </w:r>
            <w:r w:rsidRPr="00D629B8">
              <w:rPr>
                <w:rStyle w:val="Strong"/>
                <w:sz w:val="22"/>
                <w:szCs w:val="22"/>
              </w:rPr>
              <w:t xml:space="preserve"> B3</w:t>
            </w:r>
            <w:r w:rsidRPr="00D629B8">
              <w:rPr>
                <w:sz w:val="22"/>
                <w:szCs w:val="22"/>
              </w:rPr>
              <w:t>,</w:t>
            </w:r>
            <w:r w:rsidRPr="00D629B8">
              <w:rPr>
                <w:rStyle w:val="Strong"/>
                <w:sz w:val="22"/>
                <w:szCs w:val="22"/>
              </w:rPr>
              <w:t xml:space="preserve"> B4</w:t>
            </w:r>
          </w:p>
        </w:tc>
        <w:tc>
          <w:tcPr>
            <w:tcW w:w="1808" w:type="dxa"/>
            <w:tcBorders>
              <w:top w:val="single" w:sz="6" w:space="0" w:color="D9D9D9" w:themeColor="background1" w:themeShade="D9"/>
              <w:bottom w:val="single" w:sz="6" w:space="0" w:color="D9D9D9" w:themeColor="background1" w:themeShade="D9"/>
              <w:right w:val="single" w:sz="6" w:space="0" w:color="BFBFBF" w:themeColor="background1" w:themeShade="BF"/>
            </w:tcBorders>
            <w:vAlign w:val="center"/>
            <w:hideMark/>
          </w:tcPr>
          <w:p w14:paraId="3EA7AAA5" w14:textId="0C8A103D" w:rsidR="00BF5DC4" w:rsidRPr="0039205C" w:rsidRDefault="00BF5DC4" w:rsidP="00430B63">
            <w:pPr>
              <w:pStyle w:val="TableText"/>
              <w:rPr>
                <w:sz w:val="19"/>
                <w:szCs w:val="19"/>
              </w:rPr>
            </w:pPr>
            <w:r w:rsidRPr="0039205C">
              <w:rPr>
                <w:sz w:val="19"/>
                <w:szCs w:val="19"/>
              </w:rPr>
              <w:t>First</w:t>
            </w:r>
            <w:r w:rsidR="00AB5CE1">
              <w:rPr>
                <w:sz w:val="19"/>
                <w:szCs w:val="19"/>
              </w:rPr>
              <w:t>-</w:t>
            </w:r>
            <w:r w:rsidRPr="0039205C">
              <w:rPr>
                <w:sz w:val="19"/>
                <w:szCs w:val="19"/>
              </w:rPr>
              <w:t xml:space="preserve">stage </w:t>
            </w:r>
            <w:r w:rsidRPr="0039205C">
              <w:rPr>
                <w:rStyle w:val="Strong"/>
                <w:b w:val="0"/>
                <w:bCs w:val="0"/>
                <w:i/>
                <w:iCs/>
                <w:sz w:val="19"/>
                <w:szCs w:val="19"/>
              </w:rPr>
              <w:t>F</w:t>
            </w:r>
            <w:r w:rsidRPr="0039205C">
              <w:rPr>
                <w:sz w:val="19"/>
                <w:szCs w:val="19"/>
              </w:rPr>
              <w:t>, partial R²; monotonicity; regime label</w:t>
            </w:r>
          </w:p>
        </w:tc>
      </w:tr>
      <w:tr w:rsidR="00BF5DC4" w:rsidRPr="003942E7" w14:paraId="2F8C5159" w14:textId="77777777" w:rsidTr="00BF5DC4">
        <w:trPr>
          <w:trHeight w:val="1101"/>
          <w:jc w:val="center"/>
        </w:trPr>
        <w:tc>
          <w:tcPr>
            <w:tcW w:w="676" w:type="dxa"/>
            <w:tcBorders>
              <w:top w:val="single" w:sz="6" w:space="0" w:color="D9D9D9" w:themeColor="background1" w:themeShade="D9"/>
              <w:left w:val="single" w:sz="6" w:space="0" w:color="BFBFBF" w:themeColor="background1" w:themeShade="BF"/>
              <w:bottom w:val="single" w:sz="6" w:space="0" w:color="D9D9D9" w:themeColor="background1" w:themeShade="D9"/>
            </w:tcBorders>
            <w:shd w:val="clear" w:color="auto" w:fill="000000" w:themeFill="text1"/>
            <w:vAlign w:val="center"/>
          </w:tcPr>
          <w:p w14:paraId="5B6DAF77" w14:textId="77777777" w:rsidR="00BF5DC4" w:rsidRPr="00D629B8" w:rsidRDefault="00BF5DC4" w:rsidP="00430B63">
            <w:pPr>
              <w:pStyle w:val="TableHeader"/>
              <w:rPr>
                <w:rStyle w:val="Strong"/>
                <w:b w:val="0"/>
                <w:bCs w:val="0"/>
                <w:color w:val="FFFFFF" w:themeColor="background1"/>
              </w:rPr>
            </w:pPr>
            <w:bookmarkStart w:id="29" w:name="_Toc229607844"/>
            <w:bookmarkStart w:id="30" w:name="_Toc229610182"/>
            <w:bookmarkStart w:id="31" w:name="_Toc230262770"/>
            <w:bookmarkStart w:id="32" w:name="_Toc230299609"/>
            <w:r w:rsidRPr="00D629B8">
              <w:rPr>
                <w:rStyle w:val="Heading1Char"/>
                <w:b/>
                <w:bCs/>
                <w:color w:val="FFFFFF" w:themeColor="background1"/>
                <w:sz w:val="28"/>
                <w:szCs w:val="28"/>
              </w:rPr>
              <w:t>M4</w:t>
            </w:r>
            <w:bookmarkEnd w:id="29"/>
            <w:bookmarkEnd w:id="30"/>
            <w:bookmarkEnd w:id="31"/>
            <w:bookmarkEnd w:id="32"/>
          </w:p>
        </w:tc>
        <w:tc>
          <w:tcPr>
            <w:tcW w:w="2067" w:type="dxa"/>
            <w:tcBorders>
              <w:top w:val="single" w:sz="6" w:space="0" w:color="A6A6A6" w:themeColor="background1" w:themeShade="A6"/>
              <w:bottom w:val="single" w:sz="6" w:space="0" w:color="A6A6A6" w:themeColor="background1" w:themeShade="A6"/>
              <w:right w:val="single" w:sz="6" w:space="0" w:color="BFBFBF" w:themeColor="background1" w:themeShade="BF"/>
            </w:tcBorders>
            <w:shd w:val="clear" w:color="auto" w:fill="F2F2F2" w:themeFill="background1" w:themeFillShade="F2"/>
            <w:vAlign w:val="center"/>
            <w:hideMark/>
          </w:tcPr>
          <w:p w14:paraId="19F15268" w14:textId="77777777" w:rsidR="00BF5DC4" w:rsidRPr="00E029BC" w:rsidRDefault="00BF5DC4" w:rsidP="00430B63">
            <w:pPr>
              <w:pStyle w:val="TableHeader"/>
              <w:rPr>
                <w:b/>
                <w:bCs/>
                <w:sz w:val="24"/>
                <w:szCs w:val="24"/>
              </w:rPr>
            </w:pPr>
            <w:r w:rsidRPr="00E029BC">
              <w:rPr>
                <w:b/>
                <w:bCs/>
                <w:sz w:val="24"/>
                <w:szCs w:val="24"/>
              </w:rPr>
              <w:t>Uncertainty &amp; sensitivity</w:t>
            </w:r>
          </w:p>
        </w:tc>
        <w:tc>
          <w:tcPr>
            <w:tcW w:w="1837" w:type="dxa"/>
            <w:tcBorders>
              <w:top w:val="single" w:sz="6" w:space="0" w:color="D9D9D9" w:themeColor="background1" w:themeShade="D9"/>
              <w:left w:val="single" w:sz="6" w:space="0" w:color="BFBFBF" w:themeColor="background1" w:themeShade="BF"/>
              <w:bottom w:val="single" w:sz="6" w:space="0" w:color="D9D9D9" w:themeColor="background1" w:themeShade="D9"/>
            </w:tcBorders>
            <w:vAlign w:val="center"/>
            <w:hideMark/>
          </w:tcPr>
          <w:p w14:paraId="59F32204" w14:textId="77777777" w:rsidR="00BF5DC4" w:rsidRPr="0039205C" w:rsidRDefault="00BF5DC4" w:rsidP="00430B63">
            <w:pPr>
              <w:pStyle w:val="TableText"/>
              <w:rPr>
                <w:sz w:val="19"/>
                <w:szCs w:val="19"/>
              </w:rPr>
            </w:pPr>
            <w:r w:rsidRPr="0039205C">
              <w:rPr>
                <w:sz w:val="19"/>
                <w:szCs w:val="19"/>
              </w:rPr>
              <w:t>Quantifies precision / robustness</w:t>
            </w:r>
          </w:p>
        </w:tc>
        <w:tc>
          <w:tcPr>
            <w:tcW w:w="1535" w:type="dxa"/>
            <w:vAlign w:val="center"/>
            <w:hideMark/>
          </w:tcPr>
          <w:p w14:paraId="5F6CE32B" w14:textId="77777777" w:rsidR="00BF5DC4" w:rsidRPr="00D629B8" w:rsidRDefault="00BF5DC4" w:rsidP="00430B63">
            <w:pPr>
              <w:pStyle w:val="TableText"/>
              <w:rPr>
                <w:sz w:val="22"/>
                <w:szCs w:val="22"/>
              </w:rPr>
            </w:pPr>
            <w:r w:rsidRPr="00D629B8">
              <w:rPr>
                <w:rStyle w:val="Strong"/>
                <w:sz w:val="22"/>
                <w:szCs w:val="22"/>
              </w:rPr>
              <w:t>R1</w:t>
            </w:r>
            <w:r w:rsidRPr="00D629B8">
              <w:rPr>
                <w:sz w:val="22"/>
                <w:szCs w:val="22"/>
              </w:rPr>
              <w:t xml:space="preserve">, </w:t>
            </w:r>
            <w:r w:rsidRPr="00D629B8">
              <w:rPr>
                <w:rStyle w:val="Strong"/>
                <w:sz w:val="22"/>
                <w:szCs w:val="22"/>
              </w:rPr>
              <w:t>R2</w:t>
            </w:r>
            <w:r w:rsidRPr="00D629B8">
              <w:rPr>
                <w:sz w:val="22"/>
                <w:szCs w:val="22"/>
              </w:rPr>
              <w:t>,</w:t>
            </w:r>
            <w:r w:rsidRPr="00D629B8">
              <w:rPr>
                <w:rStyle w:val="Strong"/>
                <w:sz w:val="22"/>
                <w:szCs w:val="22"/>
              </w:rPr>
              <w:t xml:space="preserve"> R3</w:t>
            </w:r>
            <w:r w:rsidRPr="00D629B8">
              <w:rPr>
                <w:sz w:val="22"/>
                <w:szCs w:val="22"/>
              </w:rPr>
              <w:t xml:space="preserve">, </w:t>
            </w:r>
            <w:r w:rsidRPr="00D629B8">
              <w:rPr>
                <w:b/>
                <w:bCs/>
                <w:sz w:val="22"/>
                <w:szCs w:val="22"/>
              </w:rPr>
              <w:t>R4</w:t>
            </w:r>
            <w:r w:rsidRPr="00D629B8">
              <w:rPr>
                <w:sz w:val="22"/>
                <w:szCs w:val="22"/>
              </w:rPr>
              <w:t>,</w:t>
            </w:r>
            <w:r w:rsidRPr="00D629B8">
              <w:rPr>
                <w:rStyle w:val="Strong"/>
                <w:sz w:val="22"/>
                <w:szCs w:val="22"/>
              </w:rPr>
              <w:t xml:space="preserve"> R5</w:t>
            </w:r>
            <w:r w:rsidRPr="00D629B8">
              <w:rPr>
                <w:rStyle w:val="Strong"/>
                <w:b w:val="0"/>
                <w:bCs w:val="0"/>
                <w:sz w:val="22"/>
                <w:szCs w:val="22"/>
              </w:rPr>
              <w:t xml:space="preserve"> </w:t>
            </w:r>
            <w:r w:rsidRPr="00D629B8">
              <w:rPr>
                <w:rStyle w:val="Strong"/>
                <w:b w:val="0"/>
                <w:bCs w:val="0"/>
                <w:sz w:val="18"/>
                <w:szCs w:val="18"/>
              </w:rPr>
              <w:t>(all)</w:t>
            </w:r>
          </w:p>
        </w:tc>
        <w:tc>
          <w:tcPr>
            <w:tcW w:w="1339" w:type="dxa"/>
            <w:vAlign w:val="center"/>
            <w:hideMark/>
          </w:tcPr>
          <w:p w14:paraId="6F53E227" w14:textId="77777777" w:rsidR="00BF5DC4" w:rsidRPr="00D629B8" w:rsidRDefault="00BF5DC4" w:rsidP="00430B63">
            <w:pPr>
              <w:pStyle w:val="TableText"/>
              <w:rPr>
                <w:sz w:val="22"/>
                <w:szCs w:val="22"/>
              </w:rPr>
            </w:pPr>
            <w:r w:rsidRPr="00D629B8">
              <w:rPr>
                <w:rStyle w:val="Strong"/>
                <w:sz w:val="22"/>
                <w:szCs w:val="22"/>
              </w:rPr>
              <w:t>B2</w:t>
            </w:r>
            <w:r w:rsidRPr="00D629B8">
              <w:rPr>
                <w:sz w:val="22"/>
                <w:szCs w:val="22"/>
              </w:rPr>
              <w:t>,</w:t>
            </w:r>
            <w:r w:rsidRPr="00D629B8">
              <w:rPr>
                <w:rStyle w:val="Strong"/>
                <w:sz w:val="22"/>
                <w:szCs w:val="22"/>
              </w:rPr>
              <w:t xml:space="preserve"> B3</w:t>
            </w:r>
            <w:r w:rsidRPr="00D629B8">
              <w:rPr>
                <w:sz w:val="22"/>
                <w:szCs w:val="22"/>
              </w:rPr>
              <w:t>,</w:t>
            </w:r>
            <w:r w:rsidRPr="00D629B8">
              <w:rPr>
                <w:rStyle w:val="Strong"/>
                <w:sz w:val="22"/>
                <w:szCs w:val="22"/>
              </w:rPr>
              <w:t xml:space="preserve"> B4</w:t>
            </w:r>
            <w:r w:rsidRPr="00D629B8">
              <w:rPr>
                <w:sz w:val="22"/>
                <w:szCs w:val="22"/>
              </w:rPr>
              <w:t xml:space="preserve"> </w:t>
            </w:r>
            <w:r w:rsidRPr="00D629B8">
              <w:rPr>
                <w:sz w:val="18"/>
                <w:szCs w:val="18"/>
              </w:rPr>
              <w:t>(most critical)</w:t>
            </w:r>
          </w:p>
        </w:tc>
        <w:tc>
          <w:tcPr>
            <w:tcW w:w="1808" w:type="dxa"/>
            <w:tcBorders>
              <w:top w:val="single" w:sz="6" w:space="0" w:color="D9D9D9" w:themeColor="background1" w:themeShade="D9"/>
              <w:bottom w:val="single" w:sz="6" w:space="0" w:color="D9D9D9" w:themeColor="background1" w:themeShade="D9"/>
              <w:right w:val="single" w:sz="6" w:space="0" w:color="BFBFBF" w:themeColor="background1" w:themeShade="BF"/>
            </w:tcBorders>
            <w:vAlign w:val="center"/>
            <w:hideMark/>
          </w:tcPr>
          <w:p w14:paraId="0017E3D7" w14:textId="3D5A2BA5" w:rsidR="00BF5DC4" w:rsidRPr="0039205C" w:rsidRDefault="00BF5DC4" w:rsidP="00430B63">
            <w:pPr>
              <w:pStyle w:val="TableText"/>
              <w:rPr>
                <w:iCs/>
                <w:sz w:val="19"/>
                <w:szCs w:val="19"/>
              </w:rPr>
            </w:pPr>
            <w:r w:rsidRPr="0039205C">
              <w:rPr>
                <w:iCs/>
                <w:sz w:val="19"/>
                <w:szCs w:val="19"/>
              </w:rPr>
              <w:t>Sandwich SEs; perturb</w:t>
            </w:r>
            <w:r w:rsidR="00AB5CE1">
              <w:rPr>
                <w:iCs/>
                <w:sz w:val="19"/>
                <w:szCs w:val="19"/>
              </w:rPr>
              <w:t>-</w:t>
            </w:r>
            <w:r w:rsidRPr="0039205C">
              <w:rPr>
                <w:iCs/>
                <w:sz w:val="19"/>
                <w:szCs w:val="19"/>
              </w:rPr>
              <w:t xml:space="preserve">resampling; bootstrap; </w:t>
            </w:r>
            <w:r w:rsidRPr="0039205C">
              <w:rPr>
                <w:iCs/>
                <w:sz w:val="19"/>
                <w:szCs w:val="19"/>
              </w:rPr>
              <w:br/>
            </w:r>
            <w:r w:rsidRPr="0039205C">
              <w:rPr>
                <w:rStyle w:val="Emphasis"/>
                <w:iCs w:val="0"/>
                <w:sz w:val="19"/>
                <w:szCs w:val="19"/>
              </w:rPr>
              <w:t>E</w:t>
            </w:r>
            <w:r w:rsidR="00AB5CE1">
              <w:rPr>
                <w:rStyle w:val="Emphasis"/>
                <w:i w:val="0"/>
                <w:sz w:val="19"/>
                <w:szCs w:val="19"/>
              </w:rPr>
              <w:t>-</w:t>
            </w:r>
            <w:r w:rsidRPr="0039205C">
              <w:rPr>
                <w:rStyle w:val="Emphasis"/>
                <w:i w:val="0"/>
                <w:sz w:val="19"/>
                <w:szCs w:val="19"/>
              </w:rPr>
              <w:t>values</w:t>
            </w:r>
          </w:p>
        </w:tc>
      </w:tr>
      <w:tr w:rsidR="00BF5DC4" w:rsidRPr="003942E7" w14:paraId="43043307" w14:textId="77777777" w:rsidTr="00BF5DC4">
        <w:trPr>
          <w:trHeight w:val="1005"/>
          <w:jc w:val="center"/>
        </w:trPr>
        <w:tc>
          <w:tcPr>
            <w:tcW w:w="676" w:type="dxa"/>
            <w:tcBorders>
              <w:top w:val="single" w:sz="6" w:space="0" w:color="D9D9D9" w:themeColor="background1" w:themeShade="D9"/>
              <w:left w:val="single" w:sz="6" w:space="0" w:color="BFBFBF" w:themeColor="background1" w:themeShade="BF"/>
              <w:bottom w:val="single" w:sz="6" w:space="0" w:color="D9D9D9" w:themeColor="background1" w:themeShade="D9"/>
            </w:tcBorders>
            <w:shd w:val="clear" w:color="auto" w:fill="000000" w:themeFill="text1"/>
            <w:vAlign w:val="center"/>
          </w:tcPr>
          <w:p w14:paraId="35199D8C" w14:textId="77777777" w:rsidR="00BF5DC4" w:rsidRPr="00D629B8" w:rsidRDefault="00BF5DC4" w:rsidP="00430B63">
            <w:pPr>
              <w:pStyle w:val="TableHeader"/>
              <w:rPr>
                <w:rStyle w:val="Strong"/>
                <w:b w:val="0"/>
                <w:bCs w:val="0"/>
                <w:color w:val="FFFFFF" w:themeColor="background1"/>
              </w:rPr>
            </w:pPr>
            <w:bookmarkStart w:id="33" w:name="_Toc229607845"/>
            <w:bookmarkStart w:id="34" w:name="_Toc229610183"/>
            <w:bookmarkStart w:id="35" w:name="_Toc230262771"/>
            <w:bookmarkStart w:id="36" w:name="_Toc230299610"/>
            <w:r w:rsidRPr="00D629B8">
              <w:rPr>
                <w:rStyle w:val="Heading1Char"/>
                <w:b/>
                <w:bCs/>
                <w:color w:val="FFFFFF" w:themeColor="background1"/>
                <w:sz w:val="28"/>
                <w:szCs w:val="28"/>
              </w:rPr>
              <w:t>M5</w:t>
            </w:r>
            <w:bookmarkEnd w:id="33"/>
            <w:bookmarkEnd w:id="34"/>
            <w:bookmarkEnd w:id="35"/>
            <w:bookmarkEnd w:id="36"/>
          </w:p>
        </w:tc>
        <w:tc>
          <w:tcPr>
            <w:tcW w:w="2067" w:type="dxa"/>
            <w:tcBorders>
              <w:top w:val="single" w:sz="6" w:space="0" w:color="A6A6A6" w:themeColor="background1" w:themeShade="A6"/>
              <w:bottom w:val="single" w:sz="6" w:space="0" w:color="A6A6A6" w:themeColor="background1" w:themeShade="A6"/>
              <w:right w:val="single" w:sz="6" w:space="0" w:color="BFBFBF" w:themeColor="background1" w:themeShade="BF"/>
            </w:tcBorders>
            <w:shd w:val="clear" w:color="auto" w:fill="F2F2F2" w:themeFill="background1" w:themeFillShade="F2"/>
            <w:vAlign w:val="center"/>
            <w:hideMark/>
          </w:tcPr>
          <w:p w14:paraId="32BDDFA6" w14:textId="77777777" w:rsidR="00BF5DC4" w:rsidRPr="00E029BC" w:rsidRDefault="00BF5DC4" w:rsidP="00430B63">
            <w:pPr>
              <w:pStyle w:val="TableHeader"/>
              <w:rPr>
                <w:b/>
                <w:bCs/>
                <w:sz w:val="24"/>
                <w:szCs w:val="24"/>
              </w:rPr>
            </w:pPr>
            <w:r w:rsidRPr="00E029BC">
              <w:rPr>
                <w:b/>
                <w:bCs/>
                <w:sz w:val="24"/>
                <w:szCs w:val="24"/>
              </w:rPr>
              <w:t xml:space="preserve">Conditions for Valid </w:t>
            </w:r>
            <w:r w:rsidRPr="00EF0CDC">
              <w:rPr>
                <w:b/>
                <w:sz w:val="24"/>
                <w:szCs w:val="24"/>
              </w:rPr>
              <w:t>β</w:t>
            </w:r>
            <w:r w:rsidRPr="00E029BC">
              <w:rPr>
                <w:b/>
                <w:bCs/>
                <w:sz w:val="24"/>
                <w:szCs w:val="24"/>
              </w:rPr>
              <w:t xml:space="preserve"> Inference</w:t>
            </w:r>
          </w:p>
        </w:tc>
        <w:tc>
          <w:tcPr>
            <w:tcW w:w="1837" w:type="dxa"/>
            <w:tcBorders>
              <w:top w:val="single" w:sz="6" w:space="0" w:color="D9D9D9" w:themeColor="background1" w:themeShade="D9"/>
              <w:left w:val="single" w:sz="6" w:space="0" w:color="BFBFBF" w:themeColor="background1" w:themeShade="BF"/>
              <w:bottom w:val="single" w:sz="6" w:space="0" w:color="D9D9D9" w:themeColor="background1" w:themeShade="D9"/>
            </w:tcBorders>
            <w:vAlign w:val="center"/>
            <w:hideMark/>
          </w:tcPr>
          <w:p w14:paraId="3939AA56" w14:textId="77777777" w:rsidR="00BF5DC4" w:rsidRPr="0039205C" w:rsidRDefault="00BF5DC4" w:rsidP="00430B63">
            <w:pPr>
              <w:pStyle w:val="TableText"/>
              <w:rPr>
                <w:sz w:val="19"/>
                <w:szCs w:val="19"/>
              </w:rPr>
            </w:pPr>
            <w:r w:rsidRPr="0039205C">
              <w:rPr>
                <w:sz w:val="19"/>
                <w:szCs w:val="19"/>
              </w:rPr>
              <w:t>Measures preferences without steering or confounding</w:t>
            </w:r>
          </w:p>
        </w:tc>
        <w:tc>
          <w:tcPr>
            <w:tcW w:w="1535" w:type="dxa"/>
            <w:tcBorders>
              <w:bottom w:val="single" w:sz="6" w:space="0" w:color="D9D9D9" w:themeColor="background1" w:themeShade="D9"/>
            </w:tcBorders>
            <w:vAlign w:val="center"/>
            <w:hideMark/>
          </w:tcPr>
          <w:p w14:paraId="74488692" w14:textId="77777777" w:rsidR="00BF5DC4" w:rsidRPr="00D629B8" w:rsidRDefault="00BF5DC4" w:rsidP="00430B63">
            <w:pPr>
              <w:pStyle w:val="TableText"/>
              <w:rPr>
                <w:sz w:val="22"/>
                <w:szCs w:val="22"/>
              </w:rPr>
            </w:pPr>
            <w:r w:rsidRPr="00D629B8">
              <w:rPr>
                <w:rStyle w:val="Strong"/>
                <w:sz w:val="22"/>
                <w:szCs w:val="22"/>
              </w:rPr>
              <w:t>R4</w:t>
            </w:r>
          </w:p>
        </w:tc>
        <w:tc>
          <w:tcPr>
            <w:tcW w:w="1339" w:type="dxa"/>
            <w:tcBorders>
              <w:bottom w:val="single" w:sz="6" w:space="0" w:color="D9D9D9" w:themeColor="background1" w:themeShade="D9"/>
            </w:tcBorders>
            <w:vAlign w:val="center"/>
            <w:hideMark/>
          </w:tcPr>
          <w:p w14:paraId="1D5F8D5F" w14:textId="77777777" w:rsidR="00BF5DC4" w:rsidRPr="00D629B8" w:rsidRDefault="00BF5DC4" w:rsidP="00430B63">
            <w:pPr>
              <w:pStyle w:val="TableText"/>
              <w:rPr>
                <w:sz w:val="22"/>
                <w:szCs w:val="22"/>
              </w:rPr>
            </w:pPr>
            <w:r w:rsidRPr="00D629B8">
              <w:rPr>
                <w:rStyle w:val="Strong"/>
                <w:sz w:val="22"/>
                <w:szCs w:val="22"/>
              </w:rPr>
              <w:t>B2</w:t>
            </w:r>
            <w:r w:rsidRPr="00D629B8">
              <w:rPr>
                <w:sz w:val="22"/>
                <w:szCs w:val="22"/>
              </w:rPr>
              <w:t>,</w:t>
            </w:r>
            <w:r w:rsidRPr="00D629B8">
              <w:rPr>
                <w:rStyle w:val="Strong"/>
                <w:sz w:val="22"/>
                <w:szCs w:val="22"/>
              </w:rPr>
              <w:t xml:space="preserve"> B3</w:t>
            </w:r>
            <w:r w:rsidRPr="00D629B8">
              <w:rPr>
                <w:sz w:val="22"/>
                <w:szCs w:val="22"/>
              </w:rPr>
              <w:t>,</w:t>
            </w:r>
            <w:r w:rsidRPr="00D629B8">
              <w:rPr>
                <w:rStyle w:val="Strong"/>
                <w:sz w:val="22"/>
                <w:szCs w:val="22"/>
              </w:rPr>
              <w:t xml:space="preserve"> B4</w:t>
            </w:r>
          </w:p>
        </w:tc>
        <w:tc>
          <w:tcPr>
            <w:tcW w:w="1808" w:type="dxa"/>
            <w:tcBorders>
              <w:top w:val="single" w:sz="6" w:space="0" w:color="D9D9D9" w:themeColor="background1" w:themeShade="D9"/>
              <w:bottom w:val="single" w:sz="6" w:space="0" w:color="D9D9D9" w:themeColor="background1" w:themeShade="D9"/>
              <w:right w:val="single" w:sz="6" w:space="0" w:color="BFBFBF" w:themeColor="background1" w:themeShade="BF"/>
            </w:tcBorders>
            <w:vAlign w:val="center"/>
            <w:hideMark/>
          </w:tcPr>
          <w:p w14:paraId="75BF3293" w14:textId="77777777" w:rsidR="00BF5DC4" w:rsidRPr="0039205C" w:rsidRDefault="00BF5DC4" w:rsidP="00430B63">
            <w:pPr>
              <w:pStyle w:val="TableText"/>
              <w:rPr>
                <w:sz w:val="19"/>
                <w:szCs w:val="19"/>
              </w:rPr>
            </w:pPr>
            <w:r w:rsidRPr="0039205C">
              <w:rPr>
                <w:sz w:val="19"/>
                <w:szCs w:val="19"/>
              </w:rPr>
              <w:t>Timing audit; neutrality checklist; adherence linkage</w:t>
            </w:r>
          </w:p>
        </w:tc>
      </w:tr>
      <w:tr w:rsidR="00BF5DC4" w:rsidRPr="003942E7" w14:paraId="4D6A6A1E" w14:textId="77777777" w:rsidTr="00BF5DC4">
        <w:trPr>
          <w:trHeight w:val="1398"/>
          <w:jc w:val="center"/>
        </w:trPr>
        <w:tc>
          <w:tcPr>
            <w:tcW w:w="676" w:type="dxa"/>
            <w:tcBorders>
              <w:top w:val="single" w:sz="6" w:space="0" w:color="D9D9D9" w:themeColor="background1" w:themeShade="D9"/>
              <w:left w:val="single" w:sz="6" w:space="0" w:color="BFBFBF" w:themeColor="background1" w:themeShade="BF"/>
              <w:bottom w:val="single" w:sz="6" w:space="0" w:color="BFBFBF" w:themeColor="background1" w:themeShade="BF"/>
            </w:tcBorders>
            <w:shd w:val="clear" w:color="auto" w:fill="000000" w:themeFill="text1"/>
            <w:vAlign w:val="center"/>
          </w:tcPr>
          <w:p w14:paraId="132676AD" w14:textId="77777777" w:rsidR="00BF5DC4" w:rsidRPr="00D629B8" w:rsidRDefault="00BF5DC4" w:rsidP="00430B63">
            <w:pPr>
              <w:pStyle w:val="TableHeader"/>
              <w:rPr>
                <w:rStyle w:val="Strong"/>
                <w:b w:val="0"/>
                <w:bCs w:val="0"/>
                <w:color w:val="FFFFFF" w:themeColor="background1"/>
              </w:rPr>
            </w:pPr>
            <w:bookmarkStart w:id="37" w:name="_Toc229607846"/>
            <w:bookmarkStart w:id="38" w:name="_Toc229610184"/>
            <w:bookmarkStart w:id="39" w:name="_Toc230262772"/>
            <w:bookmarkStart w:id="40" w:name="_Toc230299611"/>
            <w:r w:rsidRPr="00D629B8">
              <w:rPr>
                <w:rStyle w:val="Heading1Char"/>
                <w:b/>
                <w:bCs/>
                <w:color w:val="FFFFFF" w:themeColor="background1"/>
                <w:sz w:val="28"/>
                <w:szCs w:val="28"/>
              </w:rPr>
              <w:t>M6</w:t>
            </w:r>
            <w:bookmarkEnd w:id="37"/>
            <w:bookmarkEnd w:id="38"/>
            <w:bookmarkEnd w:id="39"/>
            <w:bookmarkEnd w:id="40"/>
          </w:p>
        </w:tc>
        <w:tc>
          <w:tcPr>
            <w:tcW w:w="2067" w:type="dxa"/>
            <w:tcBorders>
              <w:top w:val="single" w:sz="6" w:space="0" w:color="A6A6A6" w:themeColor="background1" w:themeShade="A6"/>
              <w:bottom w:val="single" w:sz="6" w:space="0" w:color="BFBFBF" w:themeColor="background1" w:themeShade="BF"/>
              <w:right w:val="single" w:sz="6" w:space="0" w:color="BFBFBF" w:themeColor="background1" w:themeShade="BF"/>
            </w:tcBorders>
            <w:shd w:val="clear" w:color="auto" w:fill="F2F2F2" w:themeFill="background1" w:themeFillShade="F2"/>
            <w:vAlign w:val="center"/>
            <w:hideMark/>
          </w:tcPr>
          <w:p w14:paraId="45A38A3D" w14:textId="5FEB8048" w:rsidR="00BF5DC4" w:rsidRPr="00E029BC" w:rsidRDefault="00BF5DC4" w:rsidP="00430B63">
            <w:pPr>
              <w:pStyle w:val="TableHeader"/>
              <w:rPr>
                <w:b/>
                <w:bCs/>
                <w:sz w:val="24"/>
                <w:szCs w:val="24"/>
              </w:rPr>
            </w:pPr>
            <w:r w:rsidRPr="00E029BC">
              <w:rPr>
                <w:b/>
                <w:bCs/>
                <w:sz w:val="24"/>
                <w:szCs w:val="24"/>
              </w:rPr>
              <w:t xml:space="preserve">Joint power &amp; interim </w:t>
            </w:r>
            <w:r>
              <w:rPr>
                <w:b/>
                <w:bCs/>
                <w:sz w:val="24"/>
                <w:szCs w:val="24"/>
              </w:rPr>
              <w:br/>
            </w:r>
            <w:r w:rsidRPr="00E029BC">
              <w:rPr>
                <w:b/>
                <w:bCs/>
                <w:sz w:val="24"/>
                <w:szCs w:val="24"/>
              </w:rPr>
              <w:t>re</w:t>
            </w:r>
            <w:r w:rsidR="00AB5CE1">
              <w:rPr>
                <w:b/>
                <w:bCs/>
                <w:sz w:val="24"/>
                <w:szCs w:val="24"/>
              </w:rPr>
              <w:t>-</w:t>
            </w:r>
            <w:r w:rsidRPr="00E029BC">
              <w:rPr>
                <w:b/>
                <w:bCs/>
                <w:sz w:val="24"/>
                <w:szCs w:val="24"/>
              </w:rPr>
              <w:t>estimation</w:t>
            </w:r>
          </w:p>
        </w:tc>
        <w:tc>
          <w:tcPr>
            <w:tcW w:w="1837" w:type="dxa"/>
            <w:tcBorders>
              <w:top w:val="single" w:sz="6" w:space="0" w:color="D9D9D9" w:themeColor="background1" w:themeShade="D9"/>
              <w:left w:val="single" w:sz="6" w:space="0" w:color="BFBFBF" w:themeColor="background1" w:themeShade="BF"/>
              <w:bottom w:val="single" w:sz="6" w:space="0" w:color="BFBFBF" w:themeColor="background1" w:themeShade="BF"/>
            </w:tcBorders>
            <w:vAlign w:val="center"/>
            <w:hideMark/>
          </w:tcPr>
          <w:p w14:paraId="2DFB1343" w14:textId="77777777" w:rsidR="00BF5DC4" w:rsidRPr="0039205C" w:rsidRDefault="00BF5DC4" w:rsidP="00430B63">
            <w:pPr>
              <w:pStyle w:val="TableText"/>
              <w:rPr>
                <w:sz w:val="19"/>
                <w:szCs w:val="19"/>
              </w:rPr>
            </w:pPr>
            <w:r w:rsidRPr="0039205C">
              <w:rPr>
                <w:sz w:val="19"/>
                <w:szCs w:val="19"/>
              </w:rPr>
              <w:t xml:space="preserve">Ensures adequate power for </w:t>
            </w:r>
            <w:r w:rsidRPr="0039205C">
              <w:rPr>
                <w:rStyle w:val="Strong"/>
                <w:b w:val="0"/>
                <w:bCs w:val="0"/>
                <w:sz w:val="19"/>
                <w:szCs w:val="19"/>
              </w:rPr>
              <w:t>α</w:t>
            </w:r>
            <w:r w:rsidRPr="0039205C">
              <w:rPr>
                <w:sz w:val="19"/>
                <w:szCs w:val="19"/>
              </w:rPr>
              <w:t xml:space="preserve"> &amp; </w:t>
            </w:r>
            <w:r w:rsidRPr="0039205C">
              <w:rPr>
                <w:rStyle w:val="Strong"/>
                <w:b w:val="0"/>
                <w:bCs w:val="0"/>
                <w:sz w:val="19"/>
                <w:szCs w:val="19"/>
              </w:rPr>
              <w:t>β</w:t>
            </w:r>
            <w:r w:rsidRPr="0039205C">
              <w:rPr>
                <w:sz w:val="19"/>
                <w:szCs w:val="19"/>
              </w:rPr>
              <w:t xml:space="preserve">; adapts to realized </w:t>
            </w:r>
            <w:r w:rsidRPr="0039205C">
              <w:rPr>
                <w:rStyle w:val="Strong"/>
                <w:b w:val="0"/>
                <w:bCs w:val="0"/>
                <w:i/>
                <w:iCs/>
                <w:sz w:val="19"/>
                <w:szCs w:val="19"/>
              </w:rPr>
              <w:t>F</w:t>
            </w:r>
            <w:r w:rsidRPr="0039205C">
              <w:rPr>
                <w:rStyle w:val="Strong"/>
                <w:b w:val="0"/>
                <w:bCs w:val="0"/>
                <w:sz w:val="19"/>
                <w:szCs w:val="19"/>
              </w:rPr>
              <w:t>/π</w:t>
            </w:r>
          </w:p>
        </w:tc>
        <w:tc>
          <w:tcPr>
            <w:tcW w:w="1535" w:type="dxa"/>
            <w:tcBorders>
              <w:top w:val="single" w:sz="6" w:space="0" w:color="D9D9D9" w:themeColor="background1" w:themeShade="D9"/>
              <w:bottom w:val="single" w:sz="6" w:space="0" w:color="BFBFBF" w:themeColor="background1" w:themeShade="BF"/>
            </w:tcBorders>
            <w:vAlign w:val="center"/>
            <w:hideMark/>
          </w:tcPr>
          <w:p w14:paraId="141EC7A9" w14:textId="77777777" w:rsidR="00BF5DC4" w:rsidRPr="00D629B8" w:rsidRDefault="00BF5DC4" w:rsidP="00430B63">
            <w:pPr>
              <w:pStyle w:val="TableText"/>
              <w:rPr>
                <w:sz w:val="22"/>
                <w:szCs w:val="22"/>
              </w:rPr>
            </w:pPr>
            <w:r w:rsidRPr="00D629B8">
              <w:rPr>
                <w:rStyle w:val="Strong"/>
                <w:sz w:val="22"/>
                <w:szCs w:val="22"/>
              </w:rPr>
              <w:t>R3</w:t>
            </w:r>
            <w:r w:rsidRPr="00D629B8">
              <w:rPr>
                <w:sz w:val="22"/>
                <w:szCs w:val="22"/>
              </w:rPr>
              <w:t>,</w:t>
            </w:r>
            <w:r w:rsidRPr="00D629B8">
              <w:rPr>
                <w:rStyle w:val="Strong"/>
                <w:sz w:val="22"/>
                <w:szCs w:val="22"/>
              </w:rPr>
              <w:t xml:space="preserve"> R5</w:t>
            </w:r>
          </w:p>
        </w:tc>
        <w:tc>
          <w:tcPr>
            <w:tcW w:w="1339" w:type="dxa"/>
            <w:tcBorders>
              <w:top w:val="single" w:sz="6" w:space="0" w:color="D9D9D9" w:themeColor="background1" w:themeShade="D9"/>
              <w:bottom w:val="single" w:sz="6" w:space="0" w:color="BFBFBF" w:themeColor="background1" w:themeShade="BF"/>
            </w:tcBorders>
            <w:vAlign w:val="center"/>
            <w:hideMark/>
          </w:tcPr>
          <w:p w14:paraId="7BDE5B75" w14:textId="77777777" w:rsidR="00BF5DC4" w:rsidRPr="00D629B8" w:rsidRDefault="00BF5DC4" w:rsidP="00430B63">
            <w:pPr>
              <w:pStyle w:val="TableText"/>
              <w:rPr>
                <w:sz w:val="22"/>
                <w:szCs w:val="22"/>
              </w:rPr>
            </w:pPr>
            <w:r w:rsidRPr="00D629B8">
              <w:rPr>
                <w:rStyle w:val="Strong"/>
                <w:sz w:val="22"/>
                <w:szCs w:val="22"/>
              </w:rPr>
              <w:t>B2</w:t>
            </w:r>
            <w:r w:rsidRPr="00D629B8">
              <w:rPr>
                <w:sz w:val="22"/>
                <w:szCs w:val="22"/>
              </w:rPr>
              <w:t>,</w:t>
            </w:r>
            <w:r w:rsidRPr="00D629B8">
              <w:rPr>
                <w:rStyle w:val="Strong"/>
                <w:sz w:val="22"/>
                <w:szCs w:val="22"/>
              </w:rPr>
              <w:t xml:space="preserve"> B3</w:t>
            </w:r>
            <w:r w:rsidRPr="00D629B8">
              <w:rPr>
                <w:sz w:val="22"/>
                <w:szCs w:val="22"/>
              </w:rPr>
              <w:t>,</w:t>
            </w:r>
            <w:r w:rsidRPr="00D629B8">
              <w:rPr>
                <w:rStyle w:val="Strong"/>
                <w:sz w:val="22"/>
                <w:szCs w:val="22"/>
              </w:rPr>
              <w:t xml:space="preserve"> B4</w:t>
            </w:r>
          </w:p>
        </w:tc>
        <w:tc>
          <w:tcPr>
            <w:tcW w:w="1808" w:type="dxa"/>
            <w:tcBorders>
              <w:top w:val="single" w:sz="6" w:space="0" w:color="D9D9D9" w:themeColor="background1" w:themeShade="D9"/>
              <w:bottom w:val="single" w:sz="6" w:space="0" w:color="BFBFBF" w:themeColor="background1" w:themeShade="BF"/>
              <w:right w:val="single" w:sz="6" w:space="0" w:color="BFBFBF" w:themeColor="background1" w:themeShade="BF"/>
            </w:tcBorders>
            <w:vAlign w:val="center"/>
            <w:hideMark/>
          </w:tcPr>
          <w:p w14:paraId="1C679922" w14:textId="3F455AA9" w:rsidR="00BF5DC4" w:rsidRPr="0039205C" w:rsidRDefault="00BF5DC4" w:rsidP="00430B63">
            <w:pPr>
              <w:pStyle w:val="TableText"/>
              <w:rPr>
                <w:sz w:val="19"/>
                <w:szCs w:val="19"/>
              </w:rPr>
            </w:pPr>
            <w:r w:rsidRPr="0039205C">
              <w:rPr>
                <w:sz w:val="19"/>
                <w:szCs w:val="19"/>
              </w:rPr>
              <w:t>β power</w:t>
            </w:r>
            <w:r w:rsidR="00AB5CE1">
              <w:rPr>
                <w:sz w:val="19"/>
                <w:szCs w:val="19"/>
              </w:rPr>
              <w:t>-</w:t>
            </w:r>
            <w:r w:rsidRPr="0039205C">
              <w:rPr>
                <w:sz w:val="19"/>
                <w:szCs w:val="19"/>
              </w:rPr>
              <w:t xml:space="preserve">contours; </w:t>
            </w:r>
            <w:r w:rsidRPr="0039205C">
              <w:rPr>
                <w:sz w:val="19"/>
                <w:szCs w:val="19"/>
              </w:rPr>
              <w:br/>
              <w:t xml:space="preserve">N tables; </w:t>
            </w:r>
            <w:r w:rsidRPr="0039205C">
              <w:rPr>
                <w:sz w:val="19"/>
                <w:szCs w:val="19"/>
              </w:rPr>
              <w:br/>
              <w:t>re</w:t>
            </w:r>
            <w:r w:rsidR="00AB5CE1">
              <w:rPr>
                <w:sz w:val="19"/>
                <w:szCs w:val="19"/>
              </w:rPr>
              <w:t>-</w:t>
            </w:r>
            <w:r w:rsidRPr="0039205C">
              <w:rPr>
                <w:sz w:val="19"/>
                <w:szCs w:val="19"/>
              </w:rPr>
              <w:t>estimation triggers</w:t>
            </w:r>
          </w:p>
        </w:tc>
      </w:tr>
    </w:tbl>
    <w:p w14:paraId="0675E6A8" w14:textId="4653D4E0" w:rsidR="00BF5DC4" w:rsidRPr="003942E7" w:rsidRDefault="00BF5DC4" w:rsidP="00BF5DC4">
      <w:pPr>
        <w:pStyle w:val="FigureCaption"/>
      </w:pPr>
      <w:r>
        <w:t>Mapping of the minimal methods set (M1–M6) to the prespecified rules (R1–R5) and the regimes (B1–B4) in which they are required, showing how statistical implementation supports identification, interpretation, and design within β</w:t>
      </w:r>
      <w:r w:rsidR="00AB5CE1">
        <w:rPr>
          <w:rFonts w:ascii="Cambria Math" w:hAnsi="Cambria Math" w:cs="Cambria Math"/>
        </w:rPr>
        <w:t>-</w:t>
      </w:r>
      <w:r>
        <w:t xml:space="preserve">identifying </w:t>
      </w:r>
      <w:r>
        <w:lastRenderedPageBreak/>
        <w:t>inference. Each method serves a distinct role in the inferential pipeline: M1 and M2 identify and estimate the core causal estimands (α, β) on a common clinical scale; M3 establishes identifiability and governs regime assignment through diagnostic thresholds; M4 quantifies uncertainty and robustness; M5 enforces measurement conditions required for valid β inference; and M6 ensures adequate power to resolve causal structure. Across regimes, the table makes explicit that methods are not interchangeable: α</w:t>
      </w:r>
      <w:r w:rsidR="00AB5CE1">
        <w:rPr>
          <w:rFonts w:ascii="Cambria Math" w:hAnsi="Cambria Math" w:cs="Cambria Math"/>
        </w:rPr>
        <w:t>-</w:t>
      </w:r>
      <w:r>
        <w:t xml:space="preserve">dominant settings rely primarily on standard causal estimation, whereas mixed and </w:t>
      </w:r>
      <w:r>
        <w:rPr>
          <w:rFonts w:ascii="Aptos" w:hAnsi="Aptos" w:cs="Aptos"/>
        </w:rPr>
        <w:t>β</w:t>
      </w:r>
      <w:r w:rsidR="00AB5CE1">
        <w:rPr>
          <w:rFonts w:ascii="Cambria Math" w:hAnsi="Cambria Math" w:cs="Cambria Math"/>
        </w:rPr>
        <w:t>-</w:t>
      </w:r>
      <w:r>
        <w:t>dominant regimes require additional diagnostics, preference measurement, and joint powering to preserve identifiability. Under the Regime</w:t>
      </w:r>
      <w:r w:rsidR="00AB5CE1">
        <w:rPr>
          <w:rFonts w:ascii="Cambria Math" w:hAnsi="Cambria Math" w:cs="Cambria Math"/>
        </w:rPr>
        <w:t>-</w:t>
      </w:r>
      <w:r>
        <w:t>Routing Rule (R2) and Interpretation Rule (R1), this wiring ensures that estimation supports regime classification and interpretation rather than substituting for it. The table therefore formalizes how a minimal methods kit implements the axioms and rules in practice, linking identification (A5), measurement constraints (A6; R4), and power (R3, R5) to regime</w:t>
      </w:r>
      <w:r w:rsidR="00AB5CE1">
        <w:rPr>
          <w:rFonts w:ascii="Cambria Math" w:hAnsi="Cambria Math" w:cs="Cambria Math"/>
        </w:rPr>
        <w:t>-</w:t>
      </w:r>
      <w:r>
        <w:t>specific inference, and ensuring that conclusions follow causal structure rather than analytic convention.</w:t>
      </w:r>
    </w:p>
    <w:p w14:paraId="741E61C4" w14:textId="77777777" w:rsidR="00BF5DC4" w:rsidRPr="00730EFA" w:rsidRDefault="00BF5DC4" w:rsidP="00BF5DC4">
      <w:pPr>
        <w:pStyle w:val="Heading1"/>
        <w:pageBreakBefore w:val="0"/>
        <w:jc w:val="left"/>
        <w:rPr>
          <w:sz w:val="36"/>
          <w:szCs w:val="36"/>
        </w:rPr>
      </w:pPr>
      <w:bookmarkStart w:id="41" w:name="_Toc230299612"/>
      <w:r>
        <w:rPr>
          <w:b/>
          <w:bCs/>
        </w:rPr>
        <w:t xml:space="preserve">S7 </w:t>
      </w:r>
      <w:r w:rsidRPr="00730EFA">
        <w:rPr>
          <w:sz w:val="36"/>
          <w:szCs w:val="36"/>
        </w:rPr>
        <w:t>Regime Assignment Under Uncertainty</w:t>
      </w:r>
      <w:bookmarkEnd w:id="41"/>
    </w:p>
    <w:p w14:paraId="4C9998E2" w14:textId="77777777" w:rsidR="00BF5DC4" w:rsidRDefault="00BF5DC4" w:rsidP="00BF5DC4">
      <w:r>
        <w:t>This section specifies how regime assignment and interpretation proceed when estimates of Δα and/or β are uncertain relative to prespecified MCID thresholds.</w:t>
      </w:r>
    </w:p>
    <w:p w14:paraId="3B8AF988" w14:textId="23944066" w:rsidR="00BF5DC4" w:rsidRPr="00247453" w:rsidRDefault="00BF5DC4" w:rsidP="00BF5DC4">
      <w:r>
        <w:t>The main text defines regime assignment by the joint magnitude of (Δα, β) on a common scale with accompanying uncertainty and identification diagnostics. Assignment is deterministic given identified estimates, MCID thresholds, and uncertainty bounds, without subjective weighting or post</w:t>
      </w:r>
      <w:r w:rsidR="00AB5CE1">
        <w:rPr>
          <w:rFonts w:ascii="Cambria Math" w:hAnsi="Cambria Math" w:cs="Cambria Math"/>
        </w:rPr>
        <w:t>-</w:t>
      </w:r>
      <w:r>
        <w:t xml:space="preserve">hoc judgment. Here we specify:  </w:t>
      </w:r>
    </w:p>
    <w:p w14:paraId="5D93B1AB" w14:textId="77777777" w:rsidR="00BF5DC4" w:rsidRPr="00FC16C5" w:rsidRDefault="00BF5DC4">
      <w:pPr>
        <w:pStyle w:val="ListParagraph"/>
        <w:numPr>
          <w:ilvl w:val="0"/>
          <w:numId w:val="4"/>
        </w:numPr>
        <w:ind w:right="360"/>
      </w:pPr>
      <w:r w:rsidRPr="00FC16C5">
        <w:t>the treatment of confidence intervals (CIs) that straddle MCID thresholds;</w:t>
      </w:r>
    </w:p>
    <w:p w14:paraId="0613D01B" w14:textId="77777777" w:rsidR="00BF5DC4" w:rsidRPr="00FC16C5" w:rsidRDefault="00BF5DC4">
      <w:pPr>
        <w:pStyle w:val="ListParagraph"/>
        <w:numPr>
          <w:ilvl w:val="0"/>
          <w:numId w:val="4"/>
        </w:numPr>
        <w:ind w:right="360"/>
      </w:pPr>
      <w:r w:rsidRPr="00FC16C5">
        <w:t>interpretation of point estimates exceeding MCID under limited precision; and</w:t>
      </w:r>
    </w:p>
    <w:p w14:paraId="41234D43" w14:textId="77777777" w:rsidR="00BF5DC4" w:rsidRPr="00247453" w:rsidRDefault="00BF5DC4">
      <w:pPr>
        <w:pStyle w:val="ListParagraph"/>
        <w:numPr>
          <w:ilvl w:val="0"/>
          <w:numId w:val="4"/>
        </w:numPr>
        <w:ind w:right="360"/>
      </w:pPr>
      <w:r w:rsidRPr="00FC16C5">
        <w:t>constraints on permissible conclusions imposed by uncertainty under the regime rules.</w:t>
      </w:r>
    </w:p>
    <w:p w14:paraId="0257D8B0" w14:textId="77777777" w:rsidR="00BF5DC4" w:rsidRPr="00247453" w:rsidRDefault="00BF5DC4" w:rsidP="00BF5DC4">
      <w:r w:rsidRPr="00247453">
        <w:t>No new estimands, assumptions, or methods are introduced</w:t>
      </w:r>
      <w:r>
        <w:t>.</w:t>
      </w:r>
      <w:r w:rsidRPr="00247453">
        <w:t xml:space="preserve"> This supplement clarifies how existing regime </w:t>
      </w:r>
      <w:r>
        <w:t>rule</w:t>
      </w:r>
      <w:r w:rsidRPr="00247453">
        <w:t>s (</w:t>
      </w:r>
      <w:r>
        <w:t>R</w:t>
      </w:r>
      <w:r w:rsidRPr="00247453">
        <w:t>1</w:t>
      </w:r>
      <w:r>
        <w:t xml:space="preserve"> to R</w:t>
      </w:r>
      <w:r w:rsidRPr="00247453">
        <w:t>3) operate near MCID boundaries for clinical trial evidence</w:t>
      </w:r>
      <w:r>
        <w:t>.</w:t>
      </w:r>
    </w:p>
    <w:p w14:paraId="7F208724" w14:textId="77777777" w:rsidR="00BF5DC4" w:rsidRPr="00AD4FBF" w:rsidRDefault="00BF5DC4" w:rsidP="00BF5DC4">
      <w:pPr>
        <w:pStyle w:val="Heading2"/>
      </w:pPr>
      <w:bookmarkStart w:id="42" w:name="_Toc230299613"/>
      <w:r w:rsidRPr="002F5C70">
        <w:rPr>
          <w:b/>
          <w:bCs/>
        </w:rPr>
        <w:t>S7.1</w:t>
      </w:r>
      <w:r w:rsidRPr="00AD4FBF">
        <w:t xml:space="preserve"> Principle: Regime Assignment Is Conservative Under Uncertainty</w:t>
      </w:r>
      <w:bookmarkEnd w:id="42"/>
    </w:p>
    <w:p w14:paraId="1DED5A8E" w14:textId="07033272" w:rsidR="00BF5DC4" w:rsidRPr="00247453" w:rsidRDefault="00BF5DC4" w:rsidP="00BF5DC4">
      <w:pPr>
        <w:rPr>
          <w:b/>
          <w:bCs/>
        </w:rPr>
      </w:pPr>
      <w:r w:rsidRPr="00FC16C5">
        <w:t>Regime labels (B1–B4) are inferential conclusions, not point</w:t>
      </w:r>
      <w:r w:rsidR="00AB5CE1">
        <w:rPr>
          <w:rFonts w:ascii="Cambria Math" w:hAnsi="Cambria Math" w:cs="Cambria Math"/>
        </w:rPr>
        <w:t>-</w:t>
      </w:r>
      <w:r w:rsidRPr="00FC16C5">
        <w:t>estimate classifications. When uncertainty prevents a determinate conclusion that an estimand exceeds or falls below MCID, the appropriate regime is decision</w:t>
      </w:r>
      <w:r w:rsidR="00AB5CE1">
        <w:rPr>
          <w:rFonts w:ascii="Cambria Math" w:hAnsi="Cambria Math" w:cs="Cambria Math"/>
        </w:rPr>
        <w:t>-</w:t>
      </w:r>
      <w:r w:rsidRPr="00FC16C5">
        <w:t>limited ambiguity (B3). This follows directly from the axioms and rules of the framework:</w:t>
      </w:r>
    </w:p>
    <w:p w14:paraId="35B7C856" w14:textId="77777777" w:rsidR="00BF5DC4" w:rsidRPr="00247453" w:rsidRDefault="00BF5DC4">
      <w:pPr>
        <w:pStyle w:val="ListParagraph"/>
        <w:numPr>
          <w:ilvl w:val="0"/>
          <w:numId w:val="5"/>
        </w:numPr>
        <w:spacing w:before="120" w:after="120"/>
        <w:ind w:right="360"/>
        <w:contextualSpacing w:val="0"/>
      </w:pPr>
      <w:r w:rsidRPr="00730EFA">
        <w:rPr>
          <w:b/>
          <w:bCs/>
        </w:rPr>
        <w:t>A3 (MCID Discipline)</w:t>
      </w:r>
      <w:r w:rsidRPr="00247453">
        <w:t xml:space="preserve"> </w:t>
      </w:r>
      <w:r>
        <w:t>I</w:t>
      </w:r>
      <w:r w:rsidRPr="00FC16C5">
        <w:t>nterpretation is anchored to clinical materiality;</w:t>
      </w:r>
    </w:p>
    <w:p w14:paraId="668D6168" w14:textId="77777777" w:rsidR="00BF5DC4" w:rsidRPr="00247453" w:rsidRDefault="00BF5DC4">
      <w:pPr>
        <w:pStyle w:val="ListParagraph"/>
        <w:numPr>
          <w:ilvl w:val="0"/>
          <w:numId w:val="5"/>
        </w:numPr>
        <w:spacing w:before="120" w:after="120"/>
        <w:ind w:right="360"/>
        <w:contextualSpacing w:val="0"/>
      </w:pPr>
      <w:r w:rsidRPr="00730EFA">
        <w:rPr>
          <w:b/>
          <w:bCs/>
        </w:rPr>
        <w:t>A5 (Identifiability Before Optimization)</w:t>
      </w:r>
      <w:r w:rsidRPr="00247453">
        <w:t xml:space="preserve"> </w:t>
      </w:r>
      <w:r>
        <w:t>I</w:t>
      </w:r>
      <w:r w:rsidRPr="00FC16C5">
        <w:t>nference requires identification and sufficient precision;</w:t>
      </w:r>
    </w:p>
    <w:p w14:paraId="58DECEA3" w14:textId="5B724322" w:rsidR="00BF5DC4" w:rsidRPr="00FC16C5" w:rsidRDefault="00BF5DC4">
      <w:pPr>
        <w:pStyle w:val="ListParagraph"/>
        <w:numPr>
          <w:ilvl w:val="0"/>
          <w:numId w:val="5"/>
        </w:numPr>
        <w:spacing w:before="120" w:after="120"/>
        <w:ind w:right="360"/>
        <w:contextualSpacing w:val="0"/>
      </w:pPr>
      <w:r w:rsidRPr="00730EFA">
        <w:rPr>
          <w:b/>
          <w:bCs/>
        </w:rPr>
        <w:t>R1 (Interpretation Rule)</w:t>
      </w:r>
      <w:r w:rsidRPr="00247453">
        <w:t xml:space="preserve"> </w:t>
      </w:r>
      <w:r>
        <w:t>V</w:t>
      </w:r>
      <w:r w:rsidRPr="00FC16C5">
        <w:t>alid interpretation requires resolution of the joint (</w:t>
      </w:r>
      <w:r w:rsidR="00476EDB">
        <w:rPr>
          <w:rFonts w:ascii="Cambria Math" w:hAnsi="Cambria Math" w:cs="Cambria Math"/>
        </w:rPr>
        <w:t>∣Δα∣</w:t>
      </w:r>
      <w:r w:rsidRPr="00FC16C5">
        <w:t>,</w:t>
      </w:r>
      <w:r w:rsidRPr="00730EFA">
        <w:rPr>
          <w:rFonts w:ascii="Arial" w:hAnsi="Arial" w:cs="Arial"/>
        </w:rPr>
        <w:t> </w:t>
      </w:r>
      <w:r w:rsidRPr="00730EFA">
        <w:rPr>
          <w:rFonts w:cs="Aptos"/>
        </w:rPr>
        <w:t>β</w:t>
      </w:r>
      <w:r w:rsidRPr="00FC16C5">
        <w:t>)</w:t>
      </w:r>
      <w:r>
        <w:t xml:space="preserve"> structure</w:t>
      </w:r>
      <w:r w:rsidRPr="00FC16C5">
        <w:t>.</w:t>
      </w:r>
    </w:p>
    <w:p w14:paraId="76AA26B7" w14:textId="77777777" w:rsidR="00BF5DC4" w:rsidRPr="00247453" w:rsidRDefault="00BF5DC4" w:rsidP="00BF5DC4">
      <w:r w:rsidRPr="00247453">
        <w:t xml:space="preserve">Thus, indeterminacy is resolved by </w:t>
      </w:r>
      <w:r>
        <w:t>rule</w:t>
      </w:r>
      <w:r w:rsidRPr="00247453">
        <w:t>, not by convention</w:t>
      </w:r>
      <w:r>
        <w:t>.</w:t>
      </w:r>
    </w:p>
    <w:p w14:paraId="789C4312" w14:textId="0BD7E99B" w:rsidR="00BF5DC4" w:rsidRPr="00AD4FBF" w:rsidRDefault="00BF5DC4" w:rsidP="00BF5DC4">
      <w:pPr>
        <w:pStyle w:val="Heading2"/>
        <w:pageBreakBefore/>
      </w:pPr>
      <w:bookmarkStart w:id="43" w:name="_Toc230299614"/>
      <w:r w:rsidRPr="002F5C70">
        <w:rPr>
          <w:b/>
          <w:bCs/>
        </w:rPr>
        <w:lastRenderedPageBreak/>
        <w:t>S7.2</w:t>
      </w:r>
      <w:r w:rsidRPr="00AD4FBF">
        <w:t xml:space="preserve"> Decision Logic for CI</w:t>
      </w:r>
      <w:r w:rsidR="00AB5CE1">
        <w:t>-</w:t>
      </w:r>
      <w:r w:rsidRPr="00AD4FBF">
        <w:t>Crossing Near MCID</w:t>
      </w:r>
      <w:bookmarkEnd w:id="43"/>
    </w:p>
    <w:p w14:paraId="1DC60ED7" w14:textId="416D5A8F" w:rsidR="00BF5DC4" w:rsidRPr="00247453" w:rsidRDefault="00BF5DC4" w:rsidP="00BF5DC4">
      <w:r w:rsidRPr="00247453">
        <w:t xml:space="preserve">Let MCID be prespecified on the clinical outcome link used to report both </w:t>
      </w:r>
      <w:r w:rsidR="00476EDB">
        <w:rPr>
          <w:rFonts w:ascii="Cambria Math" w:hAnsi="Cambria Math" w:cs="Cambria Math"/>
        </w:rPr>
        <w:t>∣Δα∣</w:t>
      </w:r>
      <w:r w:rsidRPr="00247453">
        <w:t xml:space="preserve"> and β</w:t>
      </w:r>
      <w:r>
        <w:t>.</w:t>
      </w:r>
    </w:p>
    <w:p w14:paraId="523406FA" w14:textId="77777777" w:rsidR="00BF5DC4" w:rsidRPr="00AD4FBF" w:rsidRDefault="00BF5DC4" w:rsidP="00BF5DC4">
      <w:pPr>
        <w:pStyle w:val="Heading3"/>
        <w:ind w:left="360"/>
      </w:pPr>
      <w:bookmarkStart w:id="44" w:name="_Toc229607850"/>
      <w:bookmarkStart w:id="45" w:name="_Toc230299615"/>
      <w:r w:rsidRPr="00AD4FBF">
        <w:t>Step 1</w:t>
      </w:r>
      <w:r>
        <w:t>.</w:t>
      </w:r>
      <w:r w:rsidRPr="00AD4FBF">
        <w:t xml:space="preserve"> Assess Identification</w:t>
      </w:r>
      <w:bookmarkEnd w:id="44"/>
      <w:bookmarkEnd w:id="45"/>
    </w:p>
    <w:p w14:paraId="30FC797E" w14:textId="77777777" w:rsidR="00BF5DC4" w:rsidRPr="00247453" w:rsidRDefault="00BF5DC4" w:rsidP="00BF5DC4">
      <w:pPr>
        <w:ind w:left="720"/>
      </w:pPr>
      <w:r w:rsidRPr="00247453">
        <w:t>Before regime assignment:</w:t>
      </w:r>
    </w:p>
    <w:p w14:paraId="60CD93FD" w14:textId="57F2FAB0" w:rsidR="00BF5DC4" w:rsidRPr="00247453" w:rsidRDefault="00BF5DC4">
      <w:pPr>
        <w:pStyle w:val="ListParagraph"/>
        <w:numPr>
          <w:ilvl w:val="0"/>
          <w:numId w:val="6"/>
        </w:numPr>
        <w:ind w:right="1080"/>
      </w:pPr>
      <w:r w:rsidRPr="00247453">
        <w:t>α must be causally identified (e</w:t>
      </w:r>
      <w:r>
        <w:t>.</w:t>
      </w:r>
      <w:r w:rsidRPr="00247453">
        <w:t>g</w:t>
      </w:r>
      <w:r>
        <w:t>.</w:t>
      </w:r>
      <w:r w:rsidRPr="00247453">
        <w:t>, LATE/CACE with adequate first</w:t>
      </w:r>
      <w:r w:rsidR="00AB5CE1">
        <w:t>-</w:t>
      </w:r>
      <w:r w:rsidRPr="00247453">
        <w:t>stage strength);</w:t>
      </w:r>
      <w:r w:rsidRPr="001753BB">
        <w:rPr>
          <w:vertAlign w:val="superscript"/>
        </w:rPr>
        <w:t>S2</w:t>
      </w:r>
    </w:p>
    <w:p w14:paraId="49B33A1C" w14:textId="77777777" w:rsidR="00BF5DC4" w:rsidRPr="00247453" w:rsidRDefault="00BF5DC4">
      <w:pPr>
        <w:pStyle w:val="ListParagraph"/>
        <w:numPr>
          <w:ilvl w:val="0"/>
          <w:numId w:val="6"/>
        </w:numPr>
        <w:ind w:right="1080"/>
      </w:pPr>
      <w:r w:rsidRPr="00247453">
        <w:t>β must be defined on the same outcome link as α;</w:t>
      </w:r>
    </w:p>
    <w:p w14:paraId="7BC91EE8" w14:textId="43F60369" w:rsidR="00BF5DC4" w:rsidRPr="00247453" w:rsidRDefault="00BF5DC4">
      <w:pPr>
        <w:pStyle w:val="ListParagraph"/>
        <w:numPr>
          <w:ilvl w:val="0"/>
          <w:numId w:val="6"/>
        </w:numPr>
        <w:ind w:right="1080"/>
      </w:pPr>
      <w:r w:rsidRPr="00247453">
        <w:t>identification diagnostics (e</w:t>
      </w:r>
      <w:r>
        <w:t>.</w:t>
      </w:r>
      <w:r w:rsidRPr="00247453">
        <w:t>g</w:t>
      </w:r>
      <w:r>
        <w:t>.</w:t>
      </w:r>
      <w:r w:rsidRPr="00247453">
        <w:t>, first</w:t>
      </w:r>
      <w:r w:rsidR="00AB5CE1">
        <w:t>-</w:t>
      </w:r>
      <w:r w:rsidRPr="00247453">
        <w:t xml:space="preserve">stage </w:t>
      </w:r>
      <w:r w:rsidRPr="001753BB">
        <w:rPr>
          <w:i/>
          <w:iCs/>
        </w:rPr>
        <w:t>F</w:t>
      </w:r>
      <w:r w:rsidRPr="00247453">
        <w:t>, sensitivity) must meet prespecified thresholds</w:t>
      </w:r>
      <w:r>
        <w:t>.</w:t>
      </w:r>
    </w:p>
    <w:p w14:paraId="6DB3A935" w14:textId="6ACA5FF6" w:rsidR="00BF5DC4" w:rsidRPr="00247453" w:rsidRDefault="00BF5DC4" w:rsidP="00BF5DC4">
      <w:pPr>
        <w:ind w:left="720"/>
      </w:pPr>
      <w:r w:rsidRPr="00247453">
        <w:t>When identification conditions are not satisfied, the appropriate conclusion is design</w:t>
      </w:r>
      <w:r w:rsidR="00AB5CE1">
        <w:t>-</w:t>
      </w:r>
      <w:r w:rsidRPr="00247453">
        <w:t>limited ambiguity (B3)</w:t>
      </w:r>
      <w:r>
        <w:t>.</w:t>
      </w:r>
    </w:p>
    <w:p w14:paraId="206F4B12" w14:textId="77777777" w:rsidR="00BF5DC4" w:rsidRPr="00AD4FBF" w:rsidRDefault="00BF5DC4" w:rsidP="00BF5DC4">
      <w:pPr>
        <w:pStyle w:val="Heading3"/>
        <w:ind w:left="360"/>
      </w:pPr>
      <w:bookmarkStart w:id="46" w:name="_Toc229607851"/>
      <w:bookmarkStart w:id="47" w:name="_Toc230299616"/>
      <w:r w:rsidRPr="00AD4FBF">
        <w:t>Step 2</w:t>
      </w:r>
      <w:r>
        <w:t>.</w:t>
      </w:r>
      <w:r w:rsidRPr="00AD4FBF">
        <w:t xml:space="preserve"> Compare Estimates and CIs to MCID</w:t>
      </w:r>
      <w:bookmarkEnd w:id="46"/>
      <w:bookmarkEnd w:id="47"/>
    </w:p>
    <w:p w14:paraId="689FABE8" w14:textId="00AEC57C" w:rsidR="00BF5DC4" w:rsidRPr="00AD4FBF" w:rsidRDefault="00BF5DC4" w:rsidP="00BF5DC4">
      <w:pPr>
        <w:ind w:left="720"/>
      </w:pPr>
      <w:r w:rsidRPr="00213AEF">
        <w:t>Both point estimates and confidence intervals are evaluated relative to MCID</w:t>
      </w:r>
      <w:r>
        <w:t xml:space="preserve">. </w:t>
      </w:r>
      <w:r w:rsidRPr="00213AEF">
        <w:t>Confidence intervals are interpreted with respect to clinical materiality, not hypothesis</w:t>
      </w:r>
      <w:r w:rsidR="00AB5CE1">
        <w:t>-</w:t>
      </w:r>
      <w:r w:rsidRPr="00213AEF">
        <w:t>testing nulls</w:t>
      </w:r>
      <w:r>
        <w:t>.</w:t>
      </w:r>
    </w:p>
    <w:p w14:paraId="5092D03A" w14:textId="4A4630C8" w:rsidR="00BF5DC4" w:rsidRPr="00AD4FBF" w:rsidRDefault="00BF5DC4" w:rsidP="00BF5DC4">
      <w:pPr>
        <w:pStyle w:val="Heading4"/>
        <w:ind w:left="720"/>
      </w:pPr>
      <w:r w:rsidRPr="00AD4FBF">
        <w:t xml:space="preserve">Case A: </w:t>
      </w:r>
      <w:r w:rsidR="00476EDB">
        <w:rPr>
          <w:rFonts w:ascii="Cambria Math" w:hAnsi="Cambria Math" w:cs="Cambria Math"/>
          <w:i w:val="0"/>
          <w:iCs w:val="0"/>
        </w:rPr>
        <w:t>∣Δα∣</w:t>
      </w:r>
      <w:r w:rsidRPr="00AD4FBF">
        <w:t xml:space="preserve"> CI entirely exceeds MCID</w:t>
      </w:r>
    </w:p>
    <w:p w14:paraId="2B4B1EF5" w14:textId="77777777" w:rsidR="00BF5DC4" w:rsidRPr="00247453" w:rsidRDefault="00BF5DC4">
      <w:pPr>
        <w:pStyle w:val="ListParagraph"/>
        <w:numPr>
          <w:ilvl w:val="0"/>
          <w:numId w:val="7"/>
        </w:numPr>
        <w:ind w:left="1440"/>
      </w:pPr>
      <w:r>
        <w:rPr>
          <w:rFonts w:ascii="Cambria Math" w:hAnsi="Cambria Math" w:cs="Cambria Math"/>
        </w:rPr>
        <w:t>∣</w:t>
      </w:r>
      <w:r w:rsidRPr="00247453">
        <w:t>Δα</w:t>
      </w:r>
      <w:r w:rsidRPr="00730EFA">
        <w:rPr>
          <w:vertAlign w:val="subscript"/>
        </w:rPr>
        <w:t>lower</w:t>
      </w:r>
      <w:r>
        <w:rPr>
          <w:rFonts w:ascii="Cambria Math" w:hAnsi="Cambria Math" w:cs="Cambria Math"/>
        </w:rPr>
        <w:t>∣</w:t>
      </w:r>
      <w:r w:rsidRPr="00247453">
        <w:t xml:space="preserve"> ≥ MCID</w:t>
      </w:r>
    </w:p>
    <w:p w14:paraId="7BEF6754" w14:textId="77777777" w:rsidR="00BF5DC4" w:rsidRPr="00247453" w:rsidRDefault="00BF5DC4" w:rsidP="00BF5DC4">
      <w:pPr>
        <w:ind w:left="1080"/>
      </w:pPr>
      <w:r w:rsidRPr="00247453">
        <w:t>→ α is decisively clinically meaningful; the biological contrast is clinically decisive</w:t>
      </w:r>
      <w:r>
        <w:t>.</w:t>
      </w:r>
    </w:p>
    <w:p w14:paraId="2A5C08EA" w14:textId="77777777" w:rsidR="00BF5DC4" w:rsidRPr="00247453" w:rsidRDefault="00BF5DC4" w:rsidP="00BF5DC4">
      <w:pPr>
        <w:ind w:left="360" w:firstLine="720"/>
      </w:pPr>
      <w:r w:rsidRPr="00247453">
        <w:t>Proceed to assess β:</w:t>
      </w:r>
    </w:p>
    <w:p w14:paraId="27CEB52D" w14:textId="2775A8BB" w:rsidR="00BF5DC4" w:rsidRPr="00247453" w:rsidRDefault="00BF5DC4">
      <w:pPr>
        <w:pStyle w:val="ListParagraph"/>
        <w:numPr>
          <w:ilvl w:val="0"/>
          <w:numId w:val="7"/>
        </w:numPr>
      </w:pPr>
      <w:r w:rsidRPr="00247453">
        <w:t>if β &lt; MCID → B1 (α</w:t>
      </w:r>
      <w:r w:rsidR="00AB5CE1">
        <w:t>-</w:t>
      </w:r>
      <w:r w:rsidRPr="00247453">
        <w:t>dominant)</w:t>
      </w:r>
    </w:p>
    <w:p w14:paraId="400953B8" w14:textId="77777777" w:rsidR="00BF5DC4" w:rsidRPr="00247453" w:rsidRDefault="00BF5DC4">
      <w:pPr>
        <w:pStyle w:val="ListParagraph"/>
        <w:numPr>
          <w:ilvl w:val="0"/>
          <w:numId w:val="7"/>
        </w:numPr>
      </w:pPr>
      <w:r w:rsidRPr="00247453">
        <w:t>if β ≥ MCID → B2 (mixed)</w:t>
      </w:r>
    </w:p>
    <w:p w14:paraId="40DD818D" w14:textId="4A3FF2F6" w:rsidR="00BF5DC4" w:rsidRPr="00AD4FBF" w:rsidRDefault="00BF5DC4" w:rsidP="00BF5DC4">
      <w:pPr>
        <w:pStyle w:val="Heading4"/>
        <w:ind w:left="720"/>
      </w:pPr>
      <w:r w:rsidRPr="00AD4FBF">
        <w:t xml:space="preserve">Case B: </w:t>
      </w:r>
      <w:r w:rsidR="00476EDB">
        <w:rPr>
          <w:rFonts w:ascii="Cambria Math" w:hAnsi="Cambria Math" w:cs="Cambria Math"/>
          <w:i w:val="0"/>
          <w:iCs w:val="0"/>
        </w:rPr>
        <w:t>∣Δα∣</w:t>
      </w:r>
      <w:r w:rsidRPr="00AD4FBF">
        <w:t xml:space="preserve"> CI entirely below MCID</w:t>
      </w:r>
    </w:p>
    <w:p w14:paraId="0CBFD18C" w14:textId="77777777" w:rsidR="00BF5DC4" w:rsidRPr="00247453" w:rsidRDefault="00BF5DC4">
      <w:pPr>
        <w:pStyle w:val="ListParagraph"/>
        <w:numPr>
          <w:ilvl w:val="0"/>
          <w:numId w:val="7"/>
        </w:numPr>
        <w:ind w:left="1440"/>
      </w:pPr>
      <w:r>
        <w:rPr>
          <w:rFonts w:ascii="Cambria Math" w:hAnsi="Cambria Math" w:cs="Cambria Math"/>
        </w:rPr>
        <w:t>∣</w:t>
      </w:r>
      <w:r w:rsidRPr="00247453">
        <w:t>Δα</w:t>
      </w:r>
      <w:r w:rsidRPr="00730EFA">
        <w:rPr>
          <w:vertAlign w:val="subscript"/>
        </w:rPr>
        <w:t>upper</w:t>
      </w:r>
      <w:r>
        <w:rPr>
          <w:rFonts w:ascii="Cambria Math" w:hAnsi="Cambria Math" w:cs="Cambria Math"/>
        </w:rPr>
        <w:t>∣</w:t>
      </w:r>
      <w:r w:rsidRPr="00247453">
        <w:t xml:space="preserve"> &lt; MCID</w:t>
      </w:r>
    </w:p>
    <w:p w14:paraId="35D69ABD" w14:textId="77777777" w:rsidR="00BF5DC4" w:rsidRPr="00247453" w:rsidRDefault="00BF5DC4" w:rsidP="00BF5DC4">
      <w:pPr>
        <w:ind w:left="360" w:firstLine="720"/>
      </w:pPr>
      <w:r w:rsidRPr="00247453">
        <w:t>→ biological equipoise</w:t>
      </w:r>
    </w:p>
    <w:p w14:paraId="04FB04F4" w14:textId="77777777" w:rsidR="00BF5DC4" w:rsidRPr="00247453" w:rsidRDefault="00BF5DC4" w:rsidP="00BF5DC4">
      <w:pPr>
        <w:ind w:left="360" w:firstLine="720"/>
      </w:pPr>
      <w:r w:rsidRPr="00247453">
        <w:t>Proceed to assess β:</w:t>
      </w:r>
    </w:p>
    <w:p w14:paraId="2CF9B246" w14:textId="77777777" w:rsidR="00BF5DC4" w:rsidRPr="00247453" w:rsidRDefault="00BF5DC4">
      <w:pPr>
        <w:pStyle w:val="ListParagraph"/>
        <w:numPr>
          <w:ilvl w:val="0"/>
          <w:numId w:val="7"/>
        </w:numPr>
      </w:pPr>
      <w:r w:rsidRPr="00247453">
        <w:t>if β</w:t>
      </w:r>
      <w:r w:rsidRPr="001639ED">
        <w:rPr>
          <w:vertAlign w:val="subscript"/>
        </w:rPr>
        <w:t>lower</w:t>
      </w:r>
      <w:r w:rsidRPr="00247453">
        <w:t xml:space="preserve"> ≥ MCID → B4 (β dominant)</w:t>
      </w:r>
    </w:p>
    <w:p w14:paraId="0238F2A9" w14:textId="397B14A1" w:rsidR="00BF5DC4" w:rsidRPr="00247453" w:rsidRDefault="00BF5DC4">
      <w:pPr>
        <w:pStyle w:val="ListParagraph"/>
        <w:numPr>
          <w:ilvl w:val="0"/>
          <w:numId w:val="7"/>
        </w:numPr>
      </w:pPr>
      <w:r w:rsidRPr="00247453">
        <w:t>if β CI &lt; MCID → B3 (decision</w:t>
      </w:r>
      <w:r w:rsidR="00AB5CE1">
        <w:t>-</w:t>
      </w:r>
      <w:r w:rsidRPr="00247453">
        <w:t>limited)</w:t>
      </w:r>
    </w:p>
    <w:p w14:paraId="5DC1FEF5" w14:textId="77777777" w:rsidR="00BF5DC4" w:rsidRPr="00247453" w:rsidRDefault="00BF5DC4" w:rsidP="00BF5DC4">
      <w:pPr>
        <w:ind w:left="360" w:firstLine="720"/>
      </w:pPr>
      <w:r w:rsidRPr="00247453">
        <w:t>(Neither biology nor preference is definitively resolved</w:t>
      </w:r>
      <w:r>
        <w:t>.</w:t>
      </w:r>
      <w:r w:rsidRPr="00247453">
        <w:t>)</w:t>
      </w:r>
    </w:p>
    <w:p w14:paraId="765ED45F" w14:textId="6B786A95" w:rsidR="00BF5DC4" w:rsidRPr="00AD4FBF" w:rsidRDefault="00BF5DC4" w:rsidP="00BF5DC4">
      <w:pPr>
        <w:pStyle w:val="Heading4"/>
        <w:ind w:left="720"/>
      </w:pPr>
      <w:r w:rsidRPr="00AD4FBF">
        <w:lastRenderedPageBreak/>
        <w:t xml:space="preserve">Case C: </w:t>
      </w:r>
      <w:r w:rsidR="00476EDB">
        <w:rPr>
          <w:rFonts w:ascii="Cambria Math" w:hAnsi="Cambria Math" w:cs="Cambria Math"/>
          <w:i w:val="0"/>
          <w:iCs w:val="0"/>
        </w:rPr>
        <w:t>∣Δα∣</w:t>
      </w:r>
      <w:r w:rsidRPr="00AD4FBF">
        <w:t xml:space="preserve"> CI straddles MCID</w:t>
      </w:r>
    </w:p>
    <w:p w14:paraId="2F06296A" w14:textId="77777777" w:rsidR="00BF5DC4" w:rsidRPr="00730EFA" w:rsidRDefault="00BF5DC4">
      <w:pPr>
        <w:pStyle w:val="ListParagraph"/>
        <w:numPr>
          <w:ilvl w:val="0"/>
          <w:numId w:val="7"/>
        </w:numPr>
        <w:ind w:left="1440"/>
      </w:pPr>
      <w:r>
        <w:rPr>
          <w:rFonts w:ascii="Cambria Math" w:hAnsi="Cambria Math" w:cs="Cambria Math"/>
        </w:rPr>
        <w:t>∣</w:t>
      </w:r>
      <w:r w:rsidRPr="00730EFA">
        <w:t>Δα</w:t>
      </w:r>
      <w:r w:rsidRPr="00730EFA">
        <w:rPr>
          <w:vertAlign w:val="subscript"/>
        </w:rPr>
        <w:t>lower</w:t>
      </w:r>
      <w:r>
        <w:rPr>
          <w:rFonts w:ascii="Cambria Math" w:hAnsi="Cambria Math" w:cs="Cambria Math"/>
        </w:rPr>
        <w:t>∣</w:t>
      </w:r>
      <w:r w:rsidRPr="00730EFA">
        <w:t xml:space="preserve"> &lt; MCID &lt; Δα</w:t>
      </w:r>
      <w:r w:rsidRPr="00730EFA">
        <w:rPr>
          <w:vertAlign w:val="subscript"/>
        </w:rPr>
        <w:t>upper</w:t>
      </w:r>
    </w:p>
    <w:p w14:paraId="1A6F8660" w14:textId="77777777" w:rsidR="00BF5DC4" w:rsidRPr="00730EFA" w:rsidRDefault="00BF5DC4" w:rsidP="00BF5DC4">
      <w:pPr>
        <w:ind w:left="360" w:firstLine="720"/>
      </w:pPr>
      <w:r w:rsidRPr="00730EFA">
        <w:t>→ biological effect is uncertain at the level of clinical materiality.</w:t>
      </w:r>
    </w:p>
    <w:p w14:paraId="4382D390" w14:textId="77777777" w:rsidR="00BF5DC4" w:rsidRPr="00730EFA" w:rsidRDefault="00BF5DC4" w:rsidP="00BF5DC4">
      <w:pPr>
        <w:ind w:left="360" w:firstLine="720"/>
      </w:pPr>
      <w:r w:rsidRPr="00730EFA">
        <w:t>By rule:</w:t>
      </w:r>
    </w:p>
    <w:p w14:paraId="0CFB081E" w14:textId="5FEB4F9C" w:rsidR="00BF5DC4" w:rsidRPr="00730EFA" w:rsidRDefault="00BF5DC4">
      <w:pPr>
        <w:pStyle w:val="ListParagraph"/>
        <w:numPr>
          <w:ilvl w:val="0"/>
          <w:numId w:val="7"/>
        </w:numPr>
        <w:tabs>
          <w:tab w:val="num" w:pos="2160"/>
        </w:tabs>
      </w:pPr>
      <w:r w:rsidRPr="00730EFA">
        <w:t>α</w:t>
      </w:r>
      <w:r w:rsidR="00AB5CE1">
        <w:t>-</w:t>
      </w:r>
      <w:r w:rsidRPr="00730EFA">
        <w:t>dominance cannot be concluded;</w:t>
      </w:r>
    </w:p>
    <w:p w14:paraId="15732158" w14:textId="52F3A102" w:rsidR="00BF5DC4" w:rsidRPr="00730EFA" w:rsidRDefault="00BF5DC4">
      <w:pPr>
        <w:pStyle w:val="ListParagraph"/>
        <w:numPr>
          <w:ilvl w:val="0"/>
          <w:numId w:val="7"/>
        </w:numPr>
        <w:tabs>
          <w:tab w:val="num" w:pos="2160"/>
        </w:tabs>
      </w:pPr>
      <w:r w:rsidRPr="00730EFA">
        <w:t>β</w:t>
      </w:r>
      <w:r w:rsidR="00AB5CE1">
        <w:t>-</w:t>
      </w:r>
      <w:r w:rsidRPr="00730EFA">
        <w:t>dominance cannot be excluded.</w:t>
      </w:r>
    </w:p>
    <w:p w14:paraId="7CD2FA84" w14:textId="046578CE" w:rsidR="00BF5DC4" w:rsidRPr="001639ED" w:rsidRDefault="00BF5DC4" w:rsidP="00BF5DC4">
      <w:pPr>
        <w:ind w:left="360" w:firstLine="720"/>
        <w:rPr>
          <w:b/>
          <w:bCs/>
        </w:rPr>
      </w:pPr>
      <w:r w:rsidRPr="001639ED">
        <w:rPr>
          <w:b/>
          <w:bCs/>
        </w:rPr>
        <w:t>Regime assignment: B3 (decision</w:t>
      </w:r>
      <w:r w:rsidR="00AB5CE1">
        <w:rPr>
          <w:b/>
          <w:bCs/>
        </w:rPr>
        <w:t>-</w:t>
      </w:r>
      <w:r w:rsidRPr="001639ED">
        <w:rPr>
          <w:b/>
          <w:bCs/>
        </w:rPr>
        <w:t>limited ambiguity)</w:t>
      </w:r>
    </w:p>
    <w:p w14:paraId="44E19A15" w14:textId="77777777" w:rsidR="00BF5DC4" w:rsidRPr="00247453" w:rsidRDefault="00BF5DC4" w:rsidP="00BF5DC4">
      <w:pPr>
        <w:ind w:left="360" w:firstLine="720"/>
      </w:pPr>
      <w:r w:rsidRPr="00247453">
        <w:t>Interpretive consequence:</w:t>
      </w:r>
    </w:p>
    <w:p w14:paraId="1DE0E27C" w14:textId="77777777" w:rsidR="00BF5DC4" w:rsidRPr="00247453" w:rsidRDefault="00BF5DC4">
      <w:pPr>
        <w:pStyle w:val="ListParagraph"/>
        <w:numPr>
          <w:ilvl w:val="0"/>
          <w:numId w:val="7"/>
        </w:numPr>
      </w:pPr>
      <w:r w:rsidRPr="00247453">
        <w:t>Comparative or dominance conclusions are not supported by the evidence</w:t>
      </w:r>
      <w:r>
        <w:t>.</w:t>
      </w:r>
    </w:p>
    <w:p w14:paraId="575D7421" w14:textId="77777777" w:rsidR="00BF5DC4" w:rsidRPr="00247453" w:rsidRDefault="00BF5DC4">
      <w:pPr>
        <w:pStyle w:val="ListParagraph"/>
        <w:numPr>
          <w:ilvl w:val="0"/>
          <w:numId w:val="7"/>
        </w:numPr>
      </w:pPr>
      <w:r w:rsidRPr="00247453">
        <w:t>Additional design strength (instrumentation, power, elicitation quality, or stratification) is required before substantive interpretation</w:t>
      </w:r>
      <w:r>
        <w:t>.</w:t>
      </w:r>
    </w:p>
    <w:p w14:paraId="373D01F6" w14:textId="77777777" w:rsidR="00BF5DC4" w:rsidRPr="00AD4FBF" w:rsidRDefault="00BF5DC4" w:rsidP="00BF5DC4">
      <w:pPr>
        <w:pStyle w:val="Heading3"/>
        <w:ind w:left="360"/>
      </w:pPr>
      <w:bookmarkStart w:id="48" w:name="_Toc229607852"/>
      <w:bookmarkStart w:id="49" w:name="_Toc230299617"/>
      <w:r w:rsidRPr="00AD4FBF">
        <w:t>Step 3</w:t>
      </w:r>
      <w:r>
        <w:t>.</w:t>
      </w:r>
      <w:r w:rsidRPr="00AD4FBF">
        <w:t xml:space="preserve"> Evaluate β Under Uncertainty</w:t>
      </w:r>
      <w:bookmarkEnd w:id="48"/>
      <w:bookmarkEnd w:id="49"/>
    </w:p>
    <w:p w14:paraId="3A810A64" w14:textId="77777777" w:rsidR="00BF5DC4" w:rsidRPr="00247453" w:rsidRDefault="00BF5DC4" w:rsidP="00BF5DC4">
      <w:pPr>
        <w:ind w:firstLine="720"/>
      </w:pPr>
      <w:r w:rsidRPr="00247453">
        <w:t>β is evaluated symmetrically</w:t>
      </w:r>
      <w:r>
        <w:t>.</w:t>
      </w:r>
      <w:r w:rsidRPr="00247453">
        <w:t xml:space="preserve"> When:</w:t>
      </w:r>
    </w:p>
    <w:p w14:paraId="037877DF" w14:textId="77777777" w:rsidR="00BF5DC4" w:rsidRPr="00247453" w:rsidRDefault="00BF5DC4">
      <w:pPr>
        <w:pStyle w:val="ListParagraph"/>
        <w:numPr>
          <w:ilvl w:val="0"/>
          <w:numId w:val="7"/>
        </w:numPr>
        <w:ind w:left="1440"/>
      </w:pPr>
      <w:r w:rsidRPr="00247453">
        <w:t>β point estimate ≥ MCID, but CI straddles MCID</w:t>
      </w:r>
    </w:p>
    <w:p w14:paraId="3F9B5BD0" w14:textId="77777777" w:rsidR="00BF5DC4" w:rsidRPr="00247453" w:rsidRDefault="00BF5DC4">
      <w:pPr>
        <w:pStyle w:val="ListParagraph"/>
        <w:numPr>
          <w:ilvl w:val="0"/>
          <w:numId w:val="7"/>
        </w:numPr>
        <w:ind w:left="1440"/>
      </w:pPr>
      <w:r w:rsidRPr="00247453">
        <w:t>β</w:t>
      </w:r>
      <w:r w:rsidRPr="00730EFA">
        <w:rPr>
          <w:vertAlign w:val="subscript"/>
        </w:rPr>
        <w:t>lower</w:t>
      </w:r>
      <w:r w:rsidRPr="00247453">
        <w:t xml:space="preserve"> &lt; MCID &lt; β</w:t>
      </w:r>
      <w:r w:rsidRPr="00730EFA">
        <w:rPr>
          <w:vertAlign w:val="subscript"/>
        </w:rPr>
        <w:t>upper</w:t>
      </w:r>
    </w:p>
    <w:p w14:paraId="461DFE13" w14:textId="77777777" w:rsidR="00BF5DC4" w:rsidRPr="00247453" w:rsidRDefault="00BF5DC4" w:rsidP="00BF5DC4">
      <w:pPr>
        <w:ind w:firstLine="720"/>
      </w:pPr>
      <w:r w:rsidRPr="00247453">
        <w:t>Interpretation:</w:t>
      </w:r>
    </w:p>
    <w:p w14:paraId="07A8EBA2" w14:textId="54D3C824" w:rsidR="00BF5DC4" w:rsidRPr="00247453" w:rsidRDefault="00BF5DC4">
      <w:pPr>
        <w:pStyle w:val="ListParagraph"/>
        <w:numPr>
          <w:ilvl w:val="0"/>
          <w:numId w:val="8"/>
        </w:numPr>
      </w:pPr>
      <w:r w:rsidRPr="00247453">
        <w:t>Preference</w:t>
      </w:r>
      <w:r w:rsidR="00AB5CE1">
        <w:t>-</w:t>
      </w:r>
      <w:r w:rsidRPr="00247453">
        <w:t>mediated effects may be clinically consequential, but the evidence is insufficient to resolve their materiality</w:t>
      </w:r>
      <w:r>
        <w:t>.</w:t>
      </w:r>
    </w:p>
    <w:p w14:paraId="76645953" w14:textId="77777777" w:rsidR="00BF5DC4" w:rsidRPr="00247453" w:rsidRDefault="00BF5DC4" w:rsidP="00BF5DC4">
      <w:pPr>
        <w:ind w:left="720" w:firstLine="720"/>
      </w:pPr>
      <w:r w:rsidRPr="001639ED">
        <w:rPr>
          <w:b/>
          <w:bCs/>
        </w:rPr>
        <w:t>Regime assignment remains B3</w:t>
      </w:r>
      <w:r w:rsidRPr="00247453">
        <w:t>, even if Δα suggests biological equipoise</w:t>
      </w:r>
      <w:r>
        <w:t>.</w:t>
      </w:r>
    </w:p>
    <w:p w14:paraId="02C3BD31" w14:textId="77777777" w:rsidR="00BF5DC4" w:rsidRPr="00247453" w:rsidRDefault="00BF5DC4" w:rsidP="00BF5DC4">
      <w:pPr>
        <w:ind w:left="720"/>
      </w:pPr>
      <w:r w:rsidRPr="00247453">
        <w:t>Interpretive consequence:</w:t>
      </w:r>
    </w:p>
    <w:p w14:paraId="2A3DB3FA" w14:textId="556FDA76" w:rsidR="00BF5DC4" w:rsidRPr="00247453" w:rsidRDefault="00BF5DC4">
      <w:pPr>
        <w:pStyle w:val="ListParagraph"/>
        <w:numPr>
          <w:ilvl w:val="0"/>
          <w:numId w:val="8"/>
        </w:numPr>
      </w:pPr>
      <w:r w:rsidRPr="00247453">
        <w:t>Preference</w:t>
      </w:r>
      <w:r w:rsidR="00AB5CE1">
        <w:t>-</w:t>
      </w:r>
      <w:r w:rsidRPr="00247453">
        <w:t>first conclusions are not supported by the trial evidence</w:t>
      </w:r>
      <w:r>
        <w:t>.</w:t>
      </w:r>
    </w:p>
    <w:p w14:paraId="1C2E59FD" w14:textId="4DA09300" w:rsidR="00BF5DC4" w:rsidRPr="00247453" w:rsidRDefault="00BF5DC4">
      <w:pPr>
        <w:pStyle w:val="ListParagraph"/>
        <w:numPr>
          <w:ilvl w:val="0"/>
          <w:numId w:val="8"/>
        </w:numPr>
      </w:pPr>
      <w:r w:rsidRPr="00247453">
        <w:t>The appropriate evidentiary conclusion remains decision</w:t>
      </w:r>
      <w:r w:rsidR="00AB5CE1">
        <w:t>-</w:t>
      </w:r>
      <w:r w:rsidRPr="00247453">
        <w:t>limited</w:t>
      </w:r>
      <w:r>
        <w:t>.</w:t>
      </w:r>
    </w:p>
    <w:p w14:paraId="393EF310" w14:textId="05A512E4" w:rsidR="00BF5DC4" w:rsidRDefault="00BF5DC4" w:rsidP="00BF5DC4">
      <w:r>
        <w:t>Regime assignment under uncertainty follows a conservative, rule</w:t>
      </w:r>
      <w:r w:rsidR="00AB5CE1">
        <w:t>-</w:t>
      </w:r>
      <w:r>
        <w:t xml:space="preserve">based logic anchored to clinical materiality and summarized in Table S4. Classification depends on whether the confidence intervals for </w:t>
      </w:r>
      <w:r w:rsidR="00476EDB">
        <w:rPr>
          <w:rFonts w:ascii="Cambria Math" w:hAnsi="Cambria Math" w:cs="Cambria Math"/>
        </w:rPr>
        <w:t>∣</w:t>
      </w:r>
      <w:r w:rsidR="00476EDB">
        <w:rPr>
          <w:rFonts w:ascii="Aptos" w:hAnsi="Aptos" w:cs="Aptos"/>
        </w:rPr>
        <w:t>Δα</w:t>
      </w:r>
      <w:r w:rsidR="00476EDB">
        <w:rPr>
          <w:rFonts w:ascii="Cambria Math" w:hAnsi="Cambria Math" w:cs="Cambria Math"/>
        </w:rPr>
        <w:t>∣</w:t>
      </w:r>
      <w:r>
        <w:t xml:space="preserve"> and β lie above, below, or across a prespecified MCID on a common outcome scale. As shown in Table S4, when the CI for </w:t>
      </w:r>
      <w:r w:rsidR="00476EDB">
        <w:rPr>
          <w:rFonts w:ascii="Cambria Math" w:hAnsi="Cambria Math" w:cs="Cambria Math"/>
        </w:rPr>
        <w:t>∣</w:t>
      </w:r>
      <w:r w:rsidR="00476EDB">
        <w:rPr>
          <w:rFonts w:ascii="Aptos" w:hAnsi="Aptos" w:cs="Aptos"/>
        </w:rPr>
        <w:t>Δα</w:t>
      </w:r>
      <w:r w:rsidR="00476EDB">
        <w:rPr>
          <w:rFonts w:ascii="Cambria Math" w:hAnsi="Cambria Math" w:cs="Cambria Math"/>
        </w:rPr>
        <w:t>∣</w:t>
      </w:r>
      <w:r>
        <w:t xml:space="preserve"> lies entirely above MCID, biological effects are clinically decisive, yielding α</w:t>
      </w:r>
      <w:r>
        <w:rPr>
          <w:rFonts w:ascii="Cambria Math" w:hAnsi="Cambria Math" w:cs="Cambria Math"/>
        </w:rPr>
        <w:t>‑</w:t>
      </w:r>
      <w:r>
        <w:t xml:space="preserve">dominant or mixed interpretation depending on </w:t>
      </w:r>
      <w:r>
        <w:rPr>
          <w:rFonts w:ascii="Aptos" w:hAnsi="Aptos" w:cs="Aptos"/>
        </w:rPr>
        <w:t>β</w:t>
      </w:r>
      <w:r>
        <w:t xml:space="preserve">. When the CI for </w:t>
      </w:r>
      <w:r w:rsidR="00476EDB">
        <w:rPr>
          <w:rFonts w:ascii="Cambria Math" w:hAnsi="Cambria Math" w:cs="Cambria Math"/>
        </w:rPr>
        <w:t>∣</w:t>
      </w:r>
      <w:r w:rsidR="00476EDB">
        <w:rPr>
          <w:rFonts w:ascii="Aptos" w:hAnsi="Aptos" w:cs="Aptos"/>
        </w:rPr>
        <w:t>Δα</w:t>
      </w:r>
      <w:r w:rsidR="00476EDB">
        <w:rPr>
          <w:rFonts w:ascii="Cambria Math" w:hAnsi="Cambria Math" w:cs="Cambria Math"/>
        </w:rPr>
        <w:t>∣</w:t>
      </w:r>
      <w:r>
        <w:t xml:space="preserve"> lies entirely below MCID, biological equipoise is established and interpretation depends on β.</w:t>
      </w:r>
    </w:p>
    <w:p w14:paraId="3EFF7079" w14:textId="7EC1158C" w:rsidR="00BF5DC4" w:rsidRDefault="00BF5DC4" w:rsidP="00BF5DC4">
      <w:r>
        <w:lastRenderedPageBreak/>
        <w:t xml:space="preserve">When the CI for </w:t>
      </w:r>
      <w:r w:rsidR="00476EDB">
        <w:rPr>
          <w:rFonts w:ascii="Cambria Math" w:hAnsi="Cambria Math" w:cs="Cambria Math"/>
        </w:rPr>
        <w:t>∣</w:t>
      </w:r>
      <w:r w:rsidR="00476EDB">
        <w:rPr>
          <w:rFonts w:ascii="Aptos" w:hAnsi="Aptos" w:cs="Aptos"/>
        </w:rPr>
        <w:t>Δα</w:t>
      </w:r>
      <w:r w:rsidR="00476EDB">
        <w:rPr>
          <w:rFonts w:ascii="Cambria Math" w:hAnsi="Cambria Math" w:cs="Cambria Math"/>
        </w:rPr>
        <w:t>∣</w:t>
      </w:r>
      <w:r>
        <w:t xml:space="preserve"> straddles MCID, biological dominance cannot be concluded and regime assignment defaults to decision</w:t>
      </w:r>
      <w:r>
        <w:rPr>
          <w:rFonts w:ascii="Cambria Math" w:hAnsi="Cambria Math" w:cs="Cambria Math"/>
        </w:rPr>
        <w:t>‑</w:t>
      </w:r>
      <w:r>
        <w:t xml:space="preserve">limited ambiguity (B3), as indicated in Table S4. The same applies when </w:t>
      </w:r>
      <w:r>
        <w:rPr>
          <w:rFonts w:ascii="Aptos" w:hAnsi="Aptos" w:cs="Aptos"/>
        </w:rPr>
        <w:t>β</w:t>
      </w:r>
      <w:r>
        <w:t xml:space="preserve"> is not resolved relative to MCID: even when point estimates suggest clinically meaningful effects, insufficient precision precludes dominance classification. This rule ensures that dominance is concluded only when clinical materiality is resolved, preventing over</w:t>
      </w:r>
      <w:r>
        <w:rPr>
          <w:rFonts w:ascii="Cambria Math" w:hAnsi="Cambria Math" w:cs="Cambria Math"/>
        </w:rPr>
        <w:t>‑</w:t>
      </w:r>
      <w:r>
        <w:t>interpretation and distinguishing true biological or preference effects from insufficient evidence.</w:t>
      </w:r>
    </w:p>
    <w:p w14:paraId="688AAC9E" w14:textId="77777777" w:rsidR="00BF5DC4" w:rsidRPr="00AD4FBF" w:rsidRDefault="00BF5DC4" w:rsidP="00BF5DC4">
      <w:pPr>
        <w:pStyle w:val="FigureTitle"/>
      </w:pPr>
      <w:r w:rsidRPr="001427BC">
        <w:rPr>
          <w:b/>
          <w:bCs/>
        </w:rPr>
        <w:t>Table S4</w:t>
      </w:r>
      <w:r>
        <w:t>.</w:t>
      </w:r>
      <w:r w:rsidRPr="008575B5">
        <w:t xml:space="preserve"> Decision Table for Regime Assignment Near MCID</w:t>
      </w:r>
    </w:p>
    <w:tbl>
      <w:tblPr>
        <w:tblW w:w="0" w:type="auto"/>
        <w:jc w:val="center"/>
        <w:tblBorders>
          <w:top w:val="single" w:sz="6" w:space="0" w:color="auto"/>
          <w:left w:val="single" w:sz="6" w:space="0" w:color="auto"/>
          <w:bottom w:val="single" w:sz="6" w:space="0" w:color="auto"/>
          <w:right w:val="single" w:sz="6" w:space="0" w:color="auto"/>
          <w:insideH w:val="single" w:sz="6" w:space="0" w:color="E6E6E6"/>
          <w:insideV w:val="single" w:sz="6" w:space="0" w:color="E6E6E6"/>
        </w:tblBorders>
        <w:tblCellMar>
          <w:left w:w="0" w:type="dxa"/>
          <w:right w:w="0" w:type="dxa"/>
        </w:tblCellMar>
        <w:tblLook w:val="04A0" w:firstRow="1" w:lastRow="0" w:firstColumn="1" w:lastColumn="0" w:noHBand="0" w:noVBand="1"/>
      </w:tblPr>
      <w:tblGrid>
        <w:gridCol w:w="1815"/>
        <w:gridCol w:w="1514"/>
        <w:gridCol w:w="1123"/>
        <w:gridCol w:w="2245"/>
        <w:gridCol w:w="2647"/>
      </w:tblGrid>
      <w:tr w:rsidR="00BF5DC4" w:rsidRPr="00AD4FBF" w14:paraId="27D3D0DE" w14:textId="77777777" w:rsidTr="00BF5DC4">
        <w:trPr>
          <w:tblHeader/>
          <w:jc w:val="center"/>
        </w:trPr>
        <w:tc>
          <w:tcPr>
            <w:tcW w:w="0" w:type="auto"/>
            <w:tcBorders>
              <w:top w:val="single" w:sz="6" w:space="0" w:color="BFBFBF" w:themeColor="background1" w:themeShade="BF"/>
              <w:left w:val="single" w:sz="6" w:space="0" w:color="BFBFBF" w:themeColor="background1" w:themeShade="BF"/>
              <w:bottom w:val="single" w:sz="36" w:space="0" w:color="A6A6A6" w:themeColor="background1" w:themeShade="A6"/>
              <w:right w:val="single" w:sz="6" w:space="0" w:color="BFBFBF" w:themeColor="background1" w:themeShade="BF"/>
            </w:tcBorders>
            <w:shd w:val="clear" w:color="auto" w:fill="F5F5F5"/>
            <w:vAlign w:val="bottom"/>
            <w:hideMark/>
          </w:tcPr>
          <w:p w14:paraId="2B0D215C" w14:textId="3D905153" w:rsidR="00BF5DC4" w:rsidRPr="00AD4FBF" w:rsidRDefault="00476EDB" w:rsidP="00430B63">
            <w:pPr>
              <w:keepNext/>
              <w:keepLines/>
              <w:spacing w:before="240" w:after="120" w:line="240" w:lineRule="auto"/>
              <w:ind w:left="144" w:right="144"/>
              <w:jc w:val="center"/>
              <w:rPr>
                <w:rFonts w:eastAsia="Times New Roman" w:cs="Times New Roman"/>
                <w:b/>
                <w:bCs/>
                <w:kern w:val="0"/>
                <w14:ligatures w14:val="none"/>
              </w:rPr>
            </w:pPr>
            <w:r>
              <w:rPr>
                <w:rFonts w:ascii="Cambria Math" w:eastAsia="Times New Roman" w:hAnsi="Cambria Math" w:cs="Cambria Math"/>
                <w:b/>
                <w:bCs/>
                <w:kern w:val="0"/>
                <w14:ligatures w14:val="none"/>
              </w:rPr>
              <w:t>∣Δα∣</w:t>
            </w:r>
            <w:r w:rsidR="00BF5DC4" w:rsidRPr="00AD4FBF">
              <w:rPr>
                <w:rFonts w:eastAsia="Times New Roman" w:cs="Times New Roman"/>
                <w:b/>
                <w:bCs/>
                <w:kern w:val="0"/>
                <w14:ligatures w14:val="none"/>
              </w:rPr>
              <w:t xml:space="preserve"> vs MCID </w:t>
            </w:r>
            <w:r w:rsidR="00BF5DC4" w:rsidRPr="00EF0CDC">
              <w:rPr>
                <w:rFonts w:eastAsia="Times New Roman" w:cs="Times New Roman"/>
                <w:kern w:val="0"/>
                <w14:ligatures w14:val="none"/>
              </w:rPr>
              <w:t>(CI)</w:t>
            </w:r>
          </w:p>
        </w:tc>
        <w:tc>
          <w:tcPr>
            <w:tcW w:w="0" w:type="auto"/>
            <w:tcBorders>
              <w:top w:val="single" w:sz="6" w:space="0" w:color="BFBFBF" w:themeColor="background1" w:themeShade="BF"/>
              <w:left w:val="single" w:sz="6" w:space="0" w:color="BFBFBF" w:themeColor="background1" w:themeShade="BF"/>
              <w:bottom w:val="single" w:sz="36" w:space="0" w:color="A6A6A6" w:themeColor="background1" w:themeShade="A6"/>
              <w:right w:val="single" w:sz="6" w:space="0" w:color="BFBFBF" w:themeColor="background1" w:themeShade="BF"/>
            </w:tcBorders>
            <w:shd w:val="clear" w:color="auto" w:fill="F5F5F5"/>
            <w:vAlign w:val="bottom"/>
            <w:hideMark/>
          </w:tcPr>
          <w:p w14:paraId="31C598D8" w14:textId="77777777" w:rsidR="00BF5DC4" w:rsidRPr="00AD4FBF" w:rsidRDefault="00BF5DC4" w:rsidP="00430B63">
            <w:pPr>
              <w:keepNext/>
              <w:keepLines/>
              <w:spacing w:before="240" w:after="120" w:line="240" w:lineRule="auto"/>
              <w:ind w:left="144" w:right="144"/>
              <w:jc w:val="center"/>
              <w:rPr>
                <w:rFonts w:eastAsia="Times New Roman" w:cs="Times New Roman"/>
                <w:b/>
                <w:bCs/>
                <w:kern w:val="0"/>
                <w14:ligatures w14:val="none"/>
              </w:rPr>
            </w:pPr>
            <w:r w:rsidRPr="00AD4FBF">
              <w:rPr>
                <w:rFonts w:eastAsia="Times New Roman" w:cs="Times New Roman"/>
                <w:b/>
                <w:bCs/>
                <w:kern w:val="0"/>
                <w14:ligatures w14:val="none"/>
              </w:rPr>
              <w:t xml:space="preserve">β vs MCID </w:t>
            </w:r>
            <w:r w:rsidRPr="00EF0CDC">
              <w:rPr>
                <w:rFonts w:eastAsia="Times New Roman" w:cs="Times New Roman"/>
                <w:kern w:val="0"/>
                <w14:ligatures w14:val="none"/>
              </w:rPr>
              <w:t>(CI)</w:t>
            </w:r>
          </w:p>
        </w:tc>
        <w:tc>
          <w:tcPr>
            <w:tcW w:w="0" w:type="auto"/>
            <w:tcBorders>
              <w:top w:val="single" w:sz="6" w:space="0" w:color="BFBFBF" w:themeColor="background1" w:themeShade="BF"/>
              <w:left w:val="single" w:sz="6" w:space="0" w:color="BFBFBF" w:themeColor="background1" w:themeShade="BF"/>
              <w:bottom w:val="single" w:sz="36" w:space="0" w:color="A6A6A6" w:themeColor="background1" w:themeShade="A6"/>
              <w:right w:val="single" w:sz="6" w:space="0" w:color="BFBFBF" w:themeColor="background1" w:themeShade="BF"/>
            </w:tcBorders>
            <w:shd w:val="clear" w:color="auto" w:fill="F5F5F5"/>
            <w:vAlign w:val="bottom"/>
            <w:hideMark/>
          </w:tcPr>
          <w:p w14:paraId="048568D2" w14:textId="77777777" w:rsidR="00BF5DC4" w:rsidRPr="00AD4FBF" w:rsidRDefault="00BF5DC4" w:rsidP="00430B63">
            <w:pPr>
              <w:keepNext/>
              <w:keepLines/>
              <w:spacing w:before="240" w:after="120" w:line="240" w:lineRule="auto"/>
              <w:ind w:left="144" w:right="144"/>
              <w:jc w:val="center"/>
              <w:rPr>
                <w:rFonts w:eastAsia="Times New Roman" w:cs="Times New Roman"/>
                <w:b/>
                <w:bCs/>
                <w:kern w:val="0"/>
                <w14:ligatures w14:val="none"/>
              </w:rPr>
            </w:pPr>
            <w:r w:rsidRPr="00AD4FBF">
              <w:rPr>
                <w:rFonts w:eastAsia="Times New Roman" w:cs="Times New Roman"/>
                <w:b/>
                <w:bCs/>
                <w:kern w:val="0"/>
                <w14:ligatures w14:val="none"/>
              </w:rPr>
              <w:t>Regime</w:t>
            </w:r>
          </w:p>
        </w:tc>
        <w:tc>
          <w:tcPr>
            <w:tcW w:w="2245" w:type="dxa"/>
            <w:tcBorders>
              <w:top w:val="single" w:sz="6" w:space="0" w:color="BFBFBF" w:themeColor="background1" w:themeShade="BF"/>
              <w:left w:val="single" w:sz="6" w:space="0" w:color="BFBFBF" w:themeColor="background1" w:themeShade="BF"/>
              <w:bottom w:val="single" w:sz="36" w:space="0" w:color="A6A6A6" w:themeColor="background1" w:themeShade="A6"/>
              <w:right w:val="single" w:sz="6" w:space="0" w:color="BFBFBF" w:themeColor="background1" w:themeShade="BF"/>
            </w:tcBorders>
            <w:shd w:val="clear" w:color="auto" w:fill="F5F5F5"/>
            <w:vAlign w:val="bottom"/>
            <w:hideMark/>
          </w:tcPr>
          <w:p w14:paraId="0D12E54F" w14:textId="77777777" w:rsidR="00BF5DC4" w:rsidRPr="00AD4FBF" w:rsidRDefault="00BF5DC4" w:rsidP="00430B63">
            <w:pPr>
              <w:keepNext/>
              <w:keepLines/>
              <w:spacing w:before="240" w:after="120" w:line="240" w:lineRule="auto"/>
              <w:ind w:left="144" w:right="144"/>
              <w:jc w:val="center"/>
              <w:rPr>
                <w:rFonts w:eastAsia="Times New Roman" w:cs="Times New Roman"/>
                <w:b/>
                <w:bCs/>
                <w:kern w:val="0"/>
                <w14:ligatures w14:val="none"/>
              </w:rPr>
            </w:pPr>
            <w:r w:rsidRPr="00AD4FBF">
              <w:rPr>
                <w:rFonts w:eastAsia="Times New Roman" w:cs="Times New Roman"/>
                <w:b/>
                <w:bCs/>
                <w:kern w:val="0"/>
                <w14:ligatures w14:val="none"/>
              </w:rPr>
              <w:t>Interpretation</w:t>
            </w:r>
          </w:p>
        </w:tc>
        <w:tc>
          <w:tcPr>
            <w:tcW w:w="2647" w:type="dxa"/>
            <w:tcBorders>
              <w:top w:val="single" w:sz="6" w:space="0" w:color="BFBFBF" w:themeColor="background1" w:themeShade="BF"/>
              <w:left w:val="single" w:sz="6" w:space="0" w:color="BFBFBF" w:themeColor="background1" w:themeShade="BF"/>
              <w:bottom w:val="single" w:sz="36" w:space="0" w:color="A6A6A6" w:themeColor="background1" w:themeShade="A6"/>
              <w:right w:val="single" w:sz="6" w:space="0" w:color="BFBFBF" w:themeColor="background1" w:themeShade="BF"/>
            </w:tcBorders>
            <w:shd w:val="clear" w:color="auto" w:fill="F5F5F5"/>
            <w:vAlign w:val="bottom"/>
            <w:hideMark/>
          </w:tcPr>
          <w:p w14:paraId="28F3B0D6" w14:textId="77777777" w:rsidR="00BF5DC4" w:rsidRPr="00AD4FBF" w:rsidRDefault="00BF5DC4" w:rsidP="00430B63">
            <w:pPr>
              <w:keepNext/>
              <w:keepLines/>
              <w:spacing w:before="240" w:after="120" w:line="240" w:lineRule="auto"/>
              <w:ind w:left="144" w:right="144"/>
              <w:jc w:val="center"/>
              <w:rPr>
                <w:rFonts w:eastAsia="Times New Roman" w:cs="Times New Roman"/>
                <w:b/>
                <w:bCs/>
                <w:kern w:val="0"/>
                <w14:ligatures w14:val="none"/>
              </w:rPr>
            </w:pPr>
            <w:r w:rsidRPr="00AD4FBF">
              <w:rPr>
                <w:rFonts w:eastAsia="Times New Roman" w:cs="Times New Roman"/>
                <w:b/>
                <w:bCs/>
                <w:kern w:val="0"/>
                <w14:ligatures w14:val="none"/>
              </w:rPr>
              <w:t>Action</w:t>
            </w:r>
          </w:p>
        </w:tc>
      </w:tr>
      <w:tr w:rsidR="00BF5DC4" w:rsidRPr="00EF0CDC" w14:paraId="41BE33B6" w14:textId="77777777" w:rsidTr="00BF5DC4">
        <w:trPr>
          <w:jc w:val="center"/>
        </w:trPr>
        <w:tc>
          <w:tcPr>
            <w:tcW w:w="0" w:type="auto"/>
            <w:tcBorders>
              <w:top w:val="single" w:sz="36" w:space="0" w:color="A6A6A6" w:themeColor="background1" w:themeShade="A6"/>
              <w:left w:val="single" w:sz="6" w:space="0" w:color="BFBFBF" w:themeColor="background1" w:themeShade="BF"/>
              <w:bottom w:val="single" w:sz="6" w:space="0" w:color="E6E6E6"/>
            </w:tcBorders>
            <w:shd w:val="clear" w:color="auto" w:fill="000000" w:themeFill="text1"/>
            <w:vAlign w:val="center"/>
            <w:hideMark/>
          </w:tcPr>
          <w:p w14:paraId="0400A74C" w14:textId="77777777" w:rsidR="00BF5DC4" w:rsidRPr="00C74C73" w:rsidRDefault="00BF5DC4" w:rsidP="00430B63">
            <w:pPr>
              <w:keepNext/>
              <w:keepLines/>
              <w:spacing w:before="240" w:after="240" w:line="240" w:lineRule="auto"/>
              <w:ind w:left="144" w:right="144"/>
              <w:jc w:val="center"/>
              <w:rPr>
                <w:rFonts w:ascii="Aptos Narrow" w:eastAsia="Times New Roman" w:hAnsi="Aptos Narrow" w:cs="Times New Roman"/>
                <w:b/>
                <w:bCs/>
                <w:color w:val="FFFFFF" w:themeColor="background1"/>
                <w:kern w:val="0"/>
                <w14:ligatures w14:val="none"/>
              </w:rPr>
            </w:pPr>
            <w:r w:rsidRPr="00C74C73">
              <w:rPr>
                <w:rFonts w:ascii="Aptos Narrow" w:eastAsia="Times New Roman" w:hAnsi="Aptos Narrow" w:cs="Times New Roman"/>
                <w:b/>
                <w:bCs/>
                <w:color w:val="FFFFFF" w:themeColor="background1"/>
                <w:kern w:val="0"/>
                <w14:ligatures w14:val="none"/>
              </w:rPr>
              <w:t xml:space="preserve">CI </w:t>
            </w:r>
            <w:r w:rsidRPr="00C74C73">
              <w:rPr>
                <w:rFonts w:ascii="Cambria Math" w:eastAsia="Times New Roman" w:hAnsi="Cambria Math" w:cs="Cambria Math"/>
                <w:b/>
                <w:bCs/>
                <w:color w:val="FFFFFF" w:themeColor="background1"/>
                <w:kern w:val="0"/>
                <w14:ligatures w14:val="none"/>
              </w:rPr>
              <w:t>≫</w:t>
            </w:r>
            <w:r w:rsidRPr="00C74C73">
              <w:rPr>
                <w:rFonts w:ascii="Aptos Narrow" w:eastAsia="Times New Roman" w:hAnsi="Aptos Narrow" w:cs="Times New Roman"/>
                <w:b/>
                <w:bCs/>
                <w:color w:val="FFFFFF" w:themeColor="background1"/>
                <w:kern w:val="0"/>
                <w14:ligatures w14:val="none"/>
              </w:rPr>
              <w:t xml:space="preserve"> MCID</w:t>
            </w:r>
          </w:p>
        </w:tc>
        <w:tc>
          <w:tcPr>
            <w:tcW w:w="0" w:type="auto"/>
            <w:tcBorders>
              <w:top w:val="single" w:sz="36" w:space="0" w:color="A6A6A6" w:themeColor="background1" w:themeShade="A6"/>
              <w:bottom w:val="single" w:sz="6" w:space="0" w:color="E6E6E6"/>
            </w:tcBorders>
            <w:shd w:val="clear" w:color="auto" w:fill="000000" w:themeFill="text1"/>
            <w:vAlign w:val="center"/>
            <w:hideMark/>
          </w:tcPr>
          <w:p w14:paraId="281ECF80" w14:textId="77777777" w:rsidR="00BF5DC4" w:rsidRPr="00C74C73" w:rsidRDefault="00BF5DC4" w:rsidP="00430B63">
            <w:pPr>
              <w:keepNext/>
              <w:keepLines/>
              <w:spacing w:before="240" w:after="240" w:line="240" w:lineRule="auto"/>
              <w:ind w:left="144" w:right="144"/>
              <w:jc w:val="center"/>
              <w:rPr>
                <w:rFonts w:ascii="Aptos Narrow" w:eastAsia="Times New Roman" w:hAnsi="Aptos Narrow" w:cs="Times New Roman"/>
                <w:b/>
                <w:bCs/>
                <w:color w:val="FFFFFF" w:themeColor="background1"/>
                <w:kern w:val="0"/>
                <w14:ligatures w14:val="none"/>
              </w:rPr>
            </w:pPr>
            <w:r w:rsidRPr="00C74C73">
              <w:rPr>
                <w:rFonts w:ascii="Aptos Narrow" w:eastAsia="Times New Roman" w:hAnsi="Aptos Narrow" w:cs="Times New Roman"/>
                <w:b/>
                <w:bCs/>
                <w:color w:val="FFFFFF" w:themeColor="background1"/>
                <w:kern w:val="0"/>
                <w14:ligatures w14:val="none"/>
              </w:rPr>
              <w:t>CI &lt; MCID</w:t>
            </w:r>
          </w:p>
        </w:tc>
        <w:tc>
          <w:tcPr>
            <w:tcW w:w="0" w:type="auto"/>
            <w:tcBorders>
              <w:top w:val="single" w:sz="36" w:space="0" w:color="A6A6A6" w:themeColor="background1" w:themeShade="A6"/>
              <w:bottom w:val="single" w:sz="6" w:space="0" w:color="E6E6E6"/>
            </w:tcBorders>
            <w:shd w:val="clear" w:color="auto" w:fill="000000" w:themeFill="text1"/>
            <w:vAlign w:val="center"/>
            <w:hideMark/>
          </w:tcPr>
          <w:p w14:paraId="410B2084" w14:textId="77777777" w:rsidR="00BF5DC4" w:rsidRPr="001427BC" w:rsidRDefault="00BF5DC4" w:rsidP="00430B63">
            <w:pPr>
              <w:keepNext/>
              <w:keepLines/>
              <w:spacing w:before="240" w:after="240" w:line="240" w:lineRule="auto"/>
              <w:ind w:left="144" w:right="144"/>
              <w:jc w:val="center"/>
              <w:rPr>
                <w:rFonts w:ascii="Aptos Narrow" w:eastAsia="Times New Roman" w:hAnsi="Aptos Narrow" w:cs="Times New Roman"/>
                <w:color w:val="FFFFFF" w:themeColor="background1"/>
                <w:kern w:val="0"/>
                <w:sz w:val="28"/>
                <w:szCs w:val="28"/>
                <w14:ligatures w14:val="none"/>
              </w:rPr>
            </w:pPr>
            <w:r w:rsidRPr="001427BC">
              <w:rPr>
                <w:rFonts w:ascii="Aptos Narrow" w:eastAsia="Times New Roman" w:hAnsi="Aptos Narrow" w:cs="Times New Roman"/>
                <w:b/>
                <w:bCs/>
                <w:color w:val="FFFFFF" w:themeColor="background1"/>
                <w:kern w:val="0"/>
                <w:sz w:val="28"/>
                <w:szCs w:val="28"/>
                <w14:ligatures w14:val="none"/>
              </w:rPr>
              <w:t>B1</w:t>
            </w:r>
          </w:p>
        </w:tc>
        <w:tc>
          <w:tcPr>
            <w:tcW w:w="2245" w:type="dxa"/>
            <w:tcBorders>
              <w:top w:val="single" w:sz="36" w:space="0" w:color="A6A6A6" w:themeColor="background1" w:themeShade="A6"/>
              <w:bottom w:val="single" w:sz="6" w:space="0" w:color="E6E6E6"/>
              <w:right w:val="single" w:sz="6" w:space="0" w:color="D9D9D9" w:themeColor="background1" w:themeShade="D9"/>
            </w:tcBorders>
            <w:shd w:val="clear" w:color="auto" w:fill="000000" w:themeFill="text1"/>
            <w:vAlign w:val="center"/>
            <w:hideMark/>
          </w:tcPr>
          <w:p w14:paraId="62EB3893" w14:textId="2AD2EBB1" w:rsidR="00BF5DC4" w:rsidRPr="008B7518" w:rsidRDefault="00BF5DC4" w:rsidP="00430B63">
            <w:pPr>
              <w:keepNext/>
              <w:keepLines/>
              <w:spacing w:before="240" w:after="240" w:line="240" w:lineRule="auto"/>
              <w:ind w:left="144" w:right="144"/>
              <w:jc w:val="center"/>
              <w:rPr>
                <w:rFonts w:ascii="Aptos Narrow" w:eastAsia="Times New Roman" w:hAnsi="Aptos Narrow" w:cs="Times New Roman"/>
                <w:color w:val="FFFFFF" w:themeColor="background1"/>
                <w:kern w:val="0"/>
                <w:sz w:val="23"/>
                <w:szCs w:val="23"/>
                <w14:ligatures w14:val="none"/>
              </w:rPr>
            </w:pPr>
            <w:r w:rsidRPr="008B7518">
              <w:rPr>
                <w:rFonts w:ascii="Aptos Narrow" w:eastAsia="Times New Roman" w:hAnsi="Aptos Narrow" w:cs="Times New Roman"/>
                <w:color w:val="FFFFFF" w:themeColor="background1"/>
                <w:kern w:val="0"/>
                <w:sz w:val="23"/>
                <w:szCs w:val="23"/>
                <w14:ligatures w14:val="none"/>
              </w:rPr>
              <w:t>α</w:t>
            </w:r>
            <w:r w:rsidR="00AB5CE1">
              <w:rPr>
                <w:rFonts w:ascii="Aptos Narrow" w:eastAsia="Times New Roman" w:hAnsi="Aptos Narrow" w:cs="Times New Roman"/>
                <w:color w:val="FFFFFF" w:themeColor="background1"/>
                <w:kern w:val="0"/>
                <w:sz w:val="23"/>
                <w:szCs w:val="23"/>
                <w14:ligatures w14:val="none"/>
              </w:rPr>
              <w:t>-</w:t>
            </w:r>
            <w:r w:rsidRPr="008B7518">
              <w:rPr>
                <w:rFonts w:ascii="Aptos Narrow" w:eastAsia="Times New Roman" w:hAnsi="Aptos Narrow" w:cs="Times New Roman"/>
                <w:color w:val="FFFFFF" w:themeColor="background1"/>
                <w:kern w:val="0"/>
                <w:sz w:val="23"/>
                <w:szCs w:val="23"/>
                <w14:ligatures w14:val="none"/>
              </w:rPr>
              <w:t>dominant</w:t>
            </w:r>
          </w:p>
        </w:tc>
        <w:tc>
          <w:tcPr>
            <w:tcW w:w="2647" w:type="dxa"/>
            <w:tcBorders>
              <w:top w:val="single" w:sz="36" w:space="0" w:color="A6A6A6" w:themeColor="background1" w:themeShade="A6"/>
              <w:left w:val="single" w:sz="6" w:space="0" w:color="D9D9D9" w:themeColor="background1" w:themeShade="D9"/>
              <w:bottom w:val="single" w:sz="6" w:space="0" w:color="E6E6E6"/>
              <w:right w:val="single" w:sz="6" w:space="0" w:color="BFBFBF" w:themeColor="background1" w:themeShade="BF"/>
            </w:tcBorders>
            <w:shd w:val="clear" w:color="auto" w:fill="000000" w:themeFill="text1"/>
            <w:vAlign w:val="center"/>
            <w:hideMark/>
          </w:tcPr>
          <w:p w14:paraId="74E64A52" w14:textId="77777777" w:rsidR="00BF5DC4" w:rsidRPr="008B7518" w:rsidRDefault="00BF5DC4" w:rsidP="00430B63">
            <w:pPr>
              <w:keepNext/>
              <w:keepLines/>
              <w:spacing w:before="240" w:after="240" w:line="240" w:lineRule="auto"/>
              <w:ind w:left="144" w:right="144"/>
              <w:jc w:val="center"/>
              <w:rPr>
                <w:rFonts w:ascii="Aptos Narrow" w:eastAsia="Times New Roman" w:hAnsi="Aptos Narrow" w:cs="Times New Roman"/>
                <w:color w:val="FFFFFF" w:themeColor="background1"/>
                <w:kern w:val="0"/>
                <w:sz w:val="23"/>
                <w:szCs w:val="23"/>
                <w14:ligatures w14:val="none"/>
              </w:rPr>
            </w:pPr>
            <w:r w:rsidRPr="008B7518">
              <w:rPr>
                <w:rFonts w:ascii="Aptos Narrow" w:eastAsia="Times New Roman" w:hAnsi="Aptos Narrow" w:cs="Times New Roman"/>
                <w:color w:val="FFFFFF" w:themeColor="background1"/>
                <w:kern w:val="0"/>
                <w:sz w:val="23"/>
                <w:szCs w:val="23"/>
                <w14:ligatures w14:val="none"/>
              </w:rPr>
              <w:t>Biological superiority supported</w:t>
            </w:r>
          </w:p>
        </w:tc>
      </w:tr>
      <w:tr w:rsidR="00BF5DC4" w:rsidRPr="00AD4FBF" w14:paraId="75F8C5F5" w14:textId="77777777" w:rsidTr="00BF5DC4">
        <w:trPr>
          <w:jc w:val="center"/>
        </w:trPr>
        <w:tc>
          <w:tcPr>
            <w:tcW w:w="0" w:type="auto"/>
            <w:tcBorders>
              <w:top w:val="single" w:sz="6" w:space="0" w:color="E6E6E6"/>
              <w:left w:val="single" w:sz="6" w:space="0" w:color="BFBFBF" w:themeColor="background1" w:themeShade="BF"/>
              <w:bottom w:val="single" w:sz="6" w:space="0" w:color="E6E6E6"/>
              <w:right w:val="single" w:sz="6" w:space="0" w:color="A6A6A6" w:themeColor="background1" w:themeShade="A6"/>
            </w:tcBorders>
            <w:shd w:val="clear" w:color="auto" w:fill="DCC5ED"/>
            <w:vAlign w:val="center"/>
            <w:hideMark/>
          </w:tcPr>
          <w:p w14:paraId="38D293C6" w14:textId="77777777" w:rsidR="00BF5DC4" w:rsidRPr="00C74C73" w:rsidRDefault="00BF5DC4" w:rsidP="00430B63">
            <w:pPr>
              <w:keepNext/>
              <w:keepLines/>
              <w:spacing w:before="240" w:after="240" w:line="240" w:lineRule="auto"/>
              <w:ind w:left="144" w:right="144"/>
              <w:jc w:val="center"/>
              <w:rPr>
                <w:rFonts w:ascii="Aptos Narrow" w:eastAsia="Times New Roman" w:hAnsi="Aptos Narrow" w:cs="Times New Roman"/>
                <w:b/>
                <w:bCs/>
                <w:kern w:val="0"/>
                <w14:ligatures w14:val="none"/>
              </w:rPr>
            </w:pPr>
            <w:r w:rsidRPr="00C74C73">
              <w:rPr>
                <w:rFonts w:ascii="Aptos Narrow" w:eastAsia="Times New Roman" w:hAnsi="Aptos Narrow" w:cs="Times New Roman"/>
                <w:b/>
                <w:bCs/>
                <w:kern w:val="0"/>
                <w14:ligatures w14:val="none"/>
              </w:rPr>
              <w:t xml:space="preserve">CI </w:t>
            </w:r>
            <w:r w:rsidRPr="00C74C73">
              <w:rPr>
                <w:rFonts w:ascii="Cambria Math" w:eastAsia="Times New Roman" w:hAnsi="Cambria Math" w:cs="Cambria Math"/>
                <w:b/>
                <w:bCs/>
                <w:kern w:val="0"/>
                <w14:ligatures w14:val="none"/>
              </w:rPr>
              <w:t>≫</w:t>
            </w:r>
            <w:r w:rsidRPr="00C74C73">
              <w:rPr>
                <w:rFonts w:ascii="Aptos Narrow" w:eastAsia="Times New Roman" w:hAnsi="Aptos Narrow" w:cs="Times New Roman"/>
                <w:b/>
                <w:bCs/>
                <w:kern w:val="0"/>
                <w14:ligatures w14:val="none"/>
              </w:rPr>
              <w:t xml:space="preserve"> MCID</w:t>
            </w:r>
          </w:p>
        </w:tc>
        <w:tc>
          <w:tcPr>
            <w:tcW w:w="0" w:type="auto"/>
            <w:tcBorders>
              <w:top w:val="single" w:sz="6" w:space="0" w:color="E6E6E6"/>
              <w:left w:val="single" w:sz="6" w:space="0" w:color="A6A6A6" w:themeColor="background1" w:themeShade="A6"/>
              <w:bottom w:val="single" w:sz="6" w:space="0" w:color="E6E6E6"/>
              <w:right w:val="single" w:sz="6" w:space="0" w:color="A6A6A6" w:themeColor="background1" w:themeShade="A6"/>
            </w:tcBorders>
            <w:shd w:val="clear" w:color="auto" w:fill="DCC5ED"/>
            <w:vAlign w:val="center"/>
            <w:hideMark/>
          </w:tcPr>
          <w:p w14:paraId="017BF7CA" w14:textId="77777777" w:rsidR="00BF5DC4" w:rsidRPr="00C74C73" w:rsidRDefault="00BF5DC4" w:rsidP="00430B63">
            <w:pPr>
              <w:keepNext/>
              <w:keepLines/>
              <w:spacing w:before="240" w:after="240" w:line="240" w:lineRule="auto"/>
              <w:ind w:left="144" w:right="144"/>
              <w:jc w:val="center"/>
              <w:rPr>
                <w:rFonts w:ascii="Aptos Narrow" w:eastAsia="Times New Roman" w:hAnsi="Aptos Narrow" w:cs="Times New Roman"/>
                <w:b/>
                <w:bCs/>
                <w:kern w:val="0"/>
                <w14:ligatures w14:val="none"/>
              </w:rPr>
            </w:pPr>
            <w:r w:rsidRPr="00C74C73">
              <w:rPr>
                <w:rFonts w:ascii="Aptos Narrow" w:eastAsia="Times New Roman" w:hAnsi="Aptos Narrow" w:cs="Times New Roman"/>
                <w:b/>
                <w:bCs/>
                <w:kern w:val="0"/>
                <w14:ligatures w14:val="none"/>
              </w:rPr>
              <w:t>CI ≥ MCID</w:t>
            </w:r>
          </w:p>
        </w:tc>
        <w:tc>
          <w:tcPr>
            <w:tcW w:w="0" w:type="auto"/>
            <w:tcBorders>
              <w:top w:val="single" w:sz="6" w:space="0" w:color="E6E6E6"/>
              <w:left w:val="single" w:sz="6" w:space="0" w:color="A6A6A6" w:themeColor="background1" w:themeShade="A6"/>
              <w:bottom w:val="single" w:sz="6" w:space="0" w:color="E6E6E6"/>
              <w:right w:val="single" w:sz="6" w:space="0" w:color="A6A6A6" w:themeColor="background1" w:themeShade="A6"/>
            </w:tcBorders>
            <w:shd w:val="clear" w:color="auto" w:fill="DCC5ED"/>
            <w:vAlign w:val="center"/>
            <w:hideMark/>
          </w:tcPr>
          <w:p w14:paraId="0BDDA03B" w14:textId="77777777" w:rsidR="00BF5DC4" w:rsidRPr="001427BC" w:rsidRDefault="00BF5DC4" w:rsidP="00430B63">
            <w:pPr>
              <w:keepNext/>
              <w:keepLines/>
              <w:spacing w:before="240" w:after="240" w:line="240" w:lineRule="auto"/>
              <w:ind w:left="144" w:right="144"/>
              <w:jc w:val="center"/>
              <w:rPr>
                <w:rFonts w:ascii="Aptos Narrow" w:eastAsia="Times New Roman" w:hAnsi="Aptos Narrow" w:cs="Times New Roman"/>
                <w:kern w:val="0"/>
                <w:sz w:val="28"/>
                <w:szCs w:val="28"/>
                <w14:ligatures w14:val="none"/>
              </w:rPr>
            </w:pPr>
            <w:r w:rsidRPr="001427BC">
              <w:rPr>
                <w:rFonts w:ascii="Aptos Narrow" w:eastAsia="Times New Roman" w:hAnsi="Aptos Narrow" w:cs="Times New Roman"/>
                <w:b/>
                <w:bCs/>
                <w:kern w:val="0"/>
                <w:sz w:val="28"/>
                <w:szCs w:val="28"/>
                <w14:ligatures w14:val="none"/>
              </w:rPr>
              <w:t>B2</w:t>
            </w:r>
          </w:p>
        </w:tc>
        <w:tc>
          <w:tcPr>
            <w:tcW w:w="2245" w:type="dxa"/>
            <w:tcBorders>
              <w:top w:val="single" w:sz="6" w:space="0" w:color="E6E6E6"/>
              <w:left w:val="single" w:sz="6" w:space="0" w:color="A6A6A6" w:themeColor="background1" w:themeShade="A6"/>
              <w:bottom w:val="single" w:sz="6" w:space="0" w:color="E6E6E6"/>
              <w:right w:val="single" w:sz="6" w:space="0" w:color="D9D9D9" w:themeColor="background1" w:themeShade="D9"/>
            </w:tcBorders>
            <w:shd w:val="clear" w:color="auto" w:fill="DCC5ED"/>
            <w:vAlign w:val="center"/>
            <w:hideMark/>
          </w:tcPr>
          <w:p w14:paraId="5058B27A" w14:textId="77777777" w:rsidR="00BF5DC4" w:rsidRPr="008B7518" w:rsidRDefault="00BF5DC4" w:rsidP="00430B63">
            <w:pPr>
              <w:keepNext/>
              <w:keepLines/>
              <w:spacing w:before="240" w:after="240" w:line="240" w:lineRule="auto"/>
              <w:ind w:left="144" w:right="144"/>
              <w:jc w:val="center"/>
              <w:rPr>
                <w:rFonts w:ascii="Aptos Narrow" w:eastAsia="Times New Roman" w:hAnsi="Aptos Narrow" w:cs="Times New Roman"/>
                <w:kern w:val="0"/>
                <w:sz w:val="23"/>
                <w:szCs w:val="23"/>
                <w14:ligatures w14:val="none"/>
              </w:rPr>
            </w:pPr>
            <w:r w:rsidRPr="008B7518">
              <w:rPr>
                <w:rFonts w:ascii="Aptos Narrow" w:eastAsia="Times New Roman" w:hAnsi="Aptos Narrow" w:cs="Times New Roman"/>
                <w:kern w:val="0"/>
                <w:sz w:val="23"/>
                <w:szCs w:val="23"/>
                <w14:ligatures w14:val="none"/>
              </w:rPr>
              <w:t>Mixed</w:t>
            </w:r>
          </w:p>
        </w:tc>
        <w:tc>
          <w:tcPr>
            <w:tcW w:w="2647" w:type="dxa"/>
            <w:tcBorders>
              <w:top w:val="single" w:sz="6" w:space="0" w:color="E6E6E6"/>
              <w:left w:val="single" w:sz="6" w:space="0" w:color="D9D9D9" w:themeColor="background1" w:themeShade="D9"/>
              <w:bottom w:val="single" w:sz="6" w:space="0" w:color="E6E6E6"/>
              <w:right w:val="single" w:sz="6" w:space="0" w:color="BFBFBF" w:themeColor="background1" w:themeShade="BF"/>
            </w:tcBorders>
            <w:shd w:val="clear" w:color="auto" w:fill="DCC5ED"/>
            <w:vAlign w:val="center"/>
            <w:hideMark/>
          </w:tcPr>
          <w:p w14:paraId="75C3DCC1" w14:textId="77777777" w:rsidR="00BF5DC4" w:rsidRPr="008B7518" w:rsidRDefault="00BF5DC4" w:rsidP="00430B63">
            <w:pPr>
              <w:keepNext/>
              <w:keepLines/>
              <w:spacing w:before="240" w:after="240" w:line="240" w:lineRule="auto"/>
              <w:ind w:left="144" w:right="144"/>
              <w:jc w:val="center"/>
              <w:rPr>
                <w:rFonts w:ascii="Aptos Narrow" w:eastAsia="Times New Roman" w:hAnsi="Aptos Narrow" w:cs="Times New Roman"/>
                <w:kern w:val="0"/>
                <w:sz w:val="23"/>
                <w:szCs w:val="23"/>
                <w14:ligatures w14:val="none"/>
              </w:rPr>
            </w:pPr>
            <w:r w:rsidRPr="008B7518">
              <w:rPr>
                <w:rFonts w:ascii="Aptos Narrow" w:eastAsia="Times New Roman" w:hAnsi="Aptos Narrow" w:cs="Times New Roman"/>
                <w:kern w:val="0"/>
                <w:sz w:val="23"/>
                <w:szCs w:val="23"/>
                <w14:ligatures w14:val="none"/>
              </w:rPr>
              <w:t>Joint biological and preference effects supported</w:t>
            </w:r>
          </w:p>
        </w:tc>
      </w:tr>
      <w:tr w:rsidR="00BF5DC4" w:rsidRPr="00EF0CDC" w14:paraId="1B886F80" w14:textId="77777777" w:rsidTr="00BF5DC4">
        <w:trPr>
          <w:jc w:val="center"/>
        </w:trPr>
        <w:tc>
          <w:tcPr>
            <w:tcW w:w="0" w:type="auto"/>
            <w:tcBorders>
              <w:top w:val="single" w:sz="6" w:space="0" w:color="E6E6E6"/>
              <w:left w:val="single" w:sz="6" w:space="0" w:color="BFBFBF" w:themeColor="background1" w:themeShade="BF"/>
              <w:bottom w:val="single" w:sz="6" w:space="0" w:color="E6E6E6"/>
            </w:tcBorders>
            <w:shd w:val="clear" w:color="auto" w:fill="7030A0"/>
            <w:vAlign w:val="center"/>
            <w:hideMark/>
          </w:tcPr>
          <w:p w14:paraId="63CF2CEE" w14:textId="77777777" w:rsidR="00BF5DC4" w:rsidRPr="00C74C73" w:rsidRDefault="00BF5DC4" w:rsidP="00430B63">
            <w:pPr>
              <w:keepNext/>
              <w:keepLines/>
              <w:spacing w:before="240" w:after="240" w:line="240" w:lineRule="auto"/>
              <w:ind w:left="144" w:right="144"/>
              <w:jc w:val="center"/>
              <w:rPr>
                <w:rFonts w:ascii="Aptos Narrow" w:eastAsia="Times New Roman" w:hAnsi="Aptos Narrow" w:cs="Times New Roman"/>
                <w:b/>
                <w:bCs/>
                <w:color w:val="FFFFFF" w:themeColor="background1"/>
                <w:kern w:val="0"/>
                <w14:ligatures w14:val="none"/>
              </w:rPr>
            </w:pPr>
            <w:r w:rsidRPr="00C74C73">
              <w:rPr>
                <w:rFonts w:ascii="Aptos Narrow" w:eastAsia="Times New Roman" w:hAnsi="Aptos Narrow" w:cs="Times New Roman"/>
                <w:b/>
                <w:bCs/>
                <w:color w:val="FFFFFF" w:themeColor="background1"/>
                <w:kern w:val="0"/>
                <w14:ligatures w14:val="none"/>
              </w:rPr>
              <w:t>CI &lt; MCID</w:t>
            </w:r>
          </w:p>
        </w:tc>
        <w:tc>
          <w:tcPr>
            <w:tcW w:w="0" w:type="auto"/>
            <w:tcBorders>
              <w:top w:val="single" w:sz="6" w:space="0" w:color="E6E6E6"/>
              <w:bottom w:val="single" w:sz="6" w:space="0" w:color="E6E6E6"/>
            </w:tcBorders>
            <w:shd w:val="clear" w:color="auto" w:fill="7030A0"/>
            <w:vAlign w:val="center"/>
            <w:hideMark/>
          </w:tcPr>
          <w:p w14:paraId="1DFB9A14" w14:textId="77777777" w:rsidR="00BF5DC4" w:rsidRPr="00C74C73" w:rsidRDefault="00BF5DC4" w:rsidP="00430B63">
            <w:pPr>
              <w:keepNext/>
              <w:keepLines/>
              <w:spacing w:before="240" w:after="240" w:line="240" w:lineRule="auto"/>
              <w:ind w:left="144" w:right="144"/>
              <w:jc w:val="center"/>
              <w:rPr>
                <w:rFonts w:ascii="Aptos Narrow" w:eastAsia="Times New Roman" w:hAnsi="Aptos Narrow" w:cs="Times New Roman"/>
                <w:b/>
                <w:bCs/>
                <w:color w:val="FFFFFF" w:themeColor="background1"/>
                <w:kern w:val="0"/>
                <w14:ligatures w14:val="none"/>
              </w:rPr>
            </w:pPr>
            <w:r w:rsidRPr="00C74C73">
              <w:rPr>
                <w:rFonts w:ascii="Aptos Narrow" w:eastAsia="Times New Roman" w:hAnsi="Aptos Narrow" w:cs="Times New Roman"/>
                <w:b/>
                <w:bCs/>
                <w:color w:val="FFFFFF" w:themeColor="background1"/>
                <w:kern w:val="0"/>
                <w14:ligatures w14:val="none"/>
              </w:rPr>
              <w:t>CI ≥ MCID</w:t>
            </w:r>
          </w:p>
        </w:tc>
        <w:tc>
          <w:tcPr>
            <w:tcW w:w="0" w:type="auto"/>
            <w:tcBorders>
              <w:top w:val="single" w:sz="6" w:space="0" w:color="E6E6E6"/>
              <w:bottom w:val="single" w:sz="6" w:space="0" w:color="E6E6E6"/>
            </w:tcBorders>
            <w:shd w:val="clear" w:color="auto" w:fill="7030A0"/>
            <w:vAlign w:val="center"/>
            <w:hideMark/>
          </w:tcPr>
          <w:p w14:paraId="5852AF28" w14:textId="77777777" w:rsidR="00BF5DC4" w:rsidRPr="001427BC" w:rsidRDefault="00BF5DC4" w:rsidP="00430B63">
            <w:pPr>
              <w:keepNext/>
              <w:keepLines/>
              <w:spacing w:before="240" w:after="240" w:line="240" w:lineRule="auto"/>
              <w:ind w:left="144" w:right="144"/>
              <w:jc w:val="center"/>
              <w:rPr>
                <w:rFonts w:ascii="Aptos Narrow" w:eastAsia="Times New Roman" w:hAnsi="Aptos Narrow" w:cs="Times New Roman"/>
                <w:color w:val="FFFFFF" w:themeColor="background1"/>
                <w:kern w:val="0"/>
                <w:sz w:val="28"/>
                <w:szCs w:val="28"/>
                <w14:ligatures w14:val="none"/>
              </w:rPr>
            </w:pPr>
            <w:r w:rsidRPr="001427BC">
              <w:rPr>
                <w:rFonts w:ascii="Aptos Narrow" w:eastAsia="Times New Roman" w:hAnsi="Aptos Narrow" w:cs="Times New Roman"/>
                <w:b/>
                <w:bCs/>
                <w:color w:val="FFFFFF" w:themeColor="background1"/>
                <w:kern w:val="0"/>
                <w:sz w:val="28"/>
                <w:szCs w:val="28"/>
                <w14:ligatures w14:val="none"/>
              </w:rPr>
              <w:t>B4</w:t>
            </w:r>
          </w:p>
        </w:tc>
        <w:tc>
          <w:tcPr>
            <w:tcW w:w="2245" w:type="dxa"/>
            <w:tcBorders>
              <w:top w:val="single" w:sz="6" w:space="0" w:color="E6E6E6"/>
              <w:bottom w:val="single" w:sz="6" w:space="0" w:color="E6E6E6"/>
              <w:right w:val="single" w:sz="6" w:space="0" w:color="D9D9D9" w:themeColor="background1" w:themeShade="D9"/>
            </w:tcBorders>
            <w:shd w:val="clear" w:color="auto" w:fill="7030A0"/>
            <w:vAlign w:val="center"/>
            <w:hideMark/>
          </w:tcPr>
          <w:p w14:paraId="77166CB7" w14:textId="7930227C" w:rsidR="00BF5DC4" w:rsidRPr="008B7518" w:rsidRDefault="00BF5DC4" w:rsidP="00430B63">
            <w:pPr>
              <w:keepNext/>
              <w:keepLines/>
              <w:spacing w:before="240" w:after="240" w:line="240" w:lineRule="auto"/>
              <w:ind w:left="144" w:right="144"/>
              <w:jc w:val="center"/>
              <w:rPr>
                <w:rFonts w:ascii="Aptos Narrow" w:eastAsia="Times New Roman" w:hAnsi="Aptos Narrow" w:cs="Times New Roman"/>
                <w:color w:val="FFFFFF" w:themeColor="background1"/>
                <w:kern w:val="0"/>
                <w:sz w:val="23"/>
                <w:szCs w:val="23"/>
                <w14:ligatures w14:val="none"/>
              </w:rPr>
            </w:pPr>
            <w:r w:rsidRPr="008B7518">
              <w:rPr>
                <w:rFonts w:ascii="Aptos Narrow" w:eastAsia="Times New Roman" w:hAnsi="Aptos Narrow" w:cs="Times New Roman"/>
                <w:color w:val="FFFFFF" w:themeColor="background1"/>
                <w:kern w:val="0"/>
                <w:sz w:val="23"/>
                <w:szCs w:val="23"/>
                <w14:ligatures w14:val="none"/>
              </w:rPr>
              <w:t>β</w:t>
            </w:r>
            <w:r w:rsidR="00AB5CE1">
              <w:rPr>
                <w:rFonts w:ascii="Aptos Narrow" w:eastAsia="Times New Roman" w:hAnsi="Aptos Narrow" w:cs="Times New Roman"/>
                <w:color w:val="FFFFFF" w:themeColor="background1"/>
                <w:kern w:val="0"/>
                <w:sz w:val="23"/>
                <w:szCs w:val="23"/>
                <w14:ligatures w14:val="none"/>
              </w:rPr>
              <w:t>-</w:t>
            </w:r>
            <w:r w:rsidRPr="008B7518">
              <w:rPr>
                <w:rFonts w:ascii="Aptos Narrow" w:eastAsia="Times New Roman" w:hAnsi="Aptos Narrow" w:cs="Times New Roman"/>
                <w:color w:val="FFFFFF" w:themeColor="background1"/>
                <w:kern w:val="0"/>
                <w:sz w:val="23"/>
                <w:szCs w:val="23"/>
                <w14:ligatures w14:val="none"/>
              </w:rPr>
              <w:t>dominant</w:t>
            </w:r>
          </w:p>
        </w:tc>
        <w:tc>
          <w:tcPr>
            <w:tcW w:w="2647" w:type="dxa"/>
            <w:tcBorders>
              <w:top w:val="single" w:sz="6" w:space="0" w:color="E6E6E6"/>
              <w:left w:val="single" w:sz="6" w:space="0" w:color="D9D9D9" w:themeColor="background1" w:themeShade="D9"/>
              <w:bottom w:val="single" w:sz="6" w:space="0" w:color="E6E6E6"/>
              <w:right w:val="single" w:sz="6" w:space="0" w:color="BFBFBF" w:themeColor="background1" w:themeShade="BF"/>
            </w:tcBorders>
            <w:shd w:val="clear" w:color="auto" w:fill="7030A0"/>
            <w:vAlign w:val="center"/>
            <w:hideMark/>
          </w:tcPr>
          <w:p w14:paraId="3255AADB" w14:textId="77777777" w:rsidR="00BF5DC4" w:rsidRPr="008B7518" w:rsidRDefault="00BF5DC4" w:rsidP="00430B63">
            <w:pPr>
              <w:keepNext/>
              <w:keepLines/>
              <w:spacing w:before="240" w:after="240" w:line="240" w:lineRule="auto"/>
              <w:ind w:left="144" w:right="144"/>
              <w:jc w:val="center"/>
              <w:rPr>
                <w:rFonts w:ascii="Aptos Narrow" w:eastAsia="Times New Roman" w:hAnsi="Aptos Narrow" w:cs="Times New Roman"/>
                <w:color w:val="FFFFFF" w:themeColor="background1"/>
                <w:kern w:val="0"/>
                <w:sz w:val="23"/>
                <w:szCs w:val="23"/>
                <w14:ligatures w14:val="none"/>
              </w:rPr>
            </w:pPr>
            <w:r w:rsidRPr="008B7518">
              <w:rPr>
                <w:rFonts w:ascii="Aptos Narrow" w:eastAsia="Times New Roman" w:hAnsi="Aptos Narrow" w:cs="Times New Roman"/>
                <w:color w:val="FFFFFF" w:themeColor="background1"/>
                <w:kern w:val="0"/>
                <w:sz w:val="23"/>
                <w:szCs w:val="23"/>
                <w14:ligatures w14:val="none"/>
              </w:rPr>
              <w:t>Outcomes vary materially with preference</w:t>
            </w:r>
          </w:p>
        </w:tc>
      </w:tr>
      <w:tr w:rsidR="00BF5DC4" w:rsidRPr="00AD4FBF" w14:paraId="494B9B88" w14:textId="77777777" w:rsidTr="00BF5DC4">
        <w:trPr>
          <w:jc w:val="center"/>
        </w:trPr>
        <w:tc>
          <w:tcPr>
            <w:tcW w:w="0" w:type="auto"/>
            <w:tcBorders>
              <w:top w:val="single" w:sz="6" w:space="0" w:color="E6E6E6"/>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F2F2F2" w:themeFill="background1" w:themeFillShade="F2"/>
            <w:vAlign w:val="center"/>
            <w:hideMark/>
          </w:tcPr>
          <w:p w14:paraId="5C2A301B" w14:textId="77777777" w:rsidR="00BF5DC4" w:rsidRPr="00C74C73" w:rsidRDefault="00BF5DC4" w:rsidP="00430B63">
            <w:pPr>
              <w:keepNext/>
              <w:keepLines/>
              <w:spacing w:before="240" w:after="240" w:line="240" w:lineRule="auto"/>
              <w:ind w:left="144" w:right="144"/>
              <w:jc w:val="center"/>
              <w:rPr>
                <w:rFonts w:ascii="Aptos Narrow" w:eastAsia="Times New Roman" w:hAnsi="Aptos Narrow" w:cs="Times New Roman"/>
                <w:b/>
                <w:bCs/>
                <w:kern w:val="0"/>
                <w14:ligatures w14:val="none"/>
              </w:rPr>
            </w:pPr>
            <w:r w:rsidRPr="00C74C73">
              <w:rPr>
                <w:rFonts w:ascii="Aptos Narrow" w:eastAsia="Times New Roman" w:hAnsi="Aptos Narrow" w:cs="Times New Roman"/>
                <w:b/>
                <w:bCs/>
                <w:kern w:val="0"/>
                <w14:ligatures w14:val="none"/>
              </w:rPr>
              <w:t>CI &lt; MCID</w:t>
            </w:r>
          </w:p>
        </w:tc>
        <w:tc>
          <w:tcPr>
            <w:tcW w:w="0" w:type="auto"/>
            <w:tcBorders>
              <w:top w:val="single" w:sz="6" w:space="0" w:color="E6E6E6"/>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F2F2F2" w:themeFill="background1" w:themeFillShade="F2"/>
            <w:vAlign w:val="center"/>
            <w:hideMark/>
          </w:tcPr>
          <w:p w14:paraId="598454E6" w14:textId="77777777" w:rsidR="00BF5DC4" w:rsidRPr="00C74C73" w:rsidRDefault="00BF5DC4" w:rsidP="00430B63">
            <w:pPr>
              <w:keepNext/>
              <w:keepLines/>
              <w:spacing w:before="240" w:after="240" w:line="240" w:lineRule="auto"/>
              <w:ind w:left="144" w:right="144"/>
              <w:jc w:val="center"/>
              <w:rPr>
                <w:rFonts w:ascii="Aptos Narrow" w:eastAsia="Times New Roman" w:hAnsi="Aptos Narrow" w:cs="Times New Roman"/>
                <w:b/>
                <w:bCs/>
                <w:kern w:val="0"/>
                <w14:ligatures w14:val="none"/>
              </w:rPr>
            </w:pPr>
            <w:r w:rsidRPr="00C74C73">
              <w:rPr>
                <w:rFonts w:ascii="Aptos Narrow" w:eastAsia="Times New Roman" w:hAnsi="Aptos Narrow" w:cs="Times New Roman"/>
                <w:b/>
                <w:bCs/>
                <w:kern w:val="0"/>
                <w14:ligatures w14:val="none"/>
              </w:rPr>
              <w:t>CI &lt; MCID</w:t>
            </w:r>
          </w:p>
        </w:tc>
        <w:tc>
          <w:tcPr>
            <w:tcW w:w="0" w:type="auto"/>
            <w:tcBorders>
              <w:top w:val="single" w:sz="6" w:space="0" w:color="E6E6E6"/>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F2F2F2" w:themeFill="background1" w:themeFillShade="F2"/>
            <w:vAlign w:val="center"/>
            <w:hideMark/>
          </w:tcPr>
          <w:p w14:paraId="44B9D445" w14:textId="77777777" w:rsidR="00BF5DC4" w:rsidRPr="001427BC" w:rsidRDefault="00BF5DC4" w:rsidP="00430B63">
            <w:pPr>
              <w:keepNext/>
              <w:keepLines/>
              <w:spacing w:before="240" w:after="240" w:line="240" w:lineRule="auto"/>
              <w:ind w:left="144" w:right="144"/>
              <w:jc w:val="center"/>
              <w:rPr>
                <w:rFonts w:ascii="Aptos Narrow" w:eastAsia="Times New Roman" w:hAnsi="Aptos Narrow" w:cs="Times New Roman"/>
                <w:kern w:val="0"/>
                <w:sz w:val="28"/>
                <w:szCs w:val="28"/>
                <w14:ligatures w14:val="none"/>
              </w:rPr>
            </w:pPr>
            <w:r w:rsidRPr="001427BC">
              <w:rPr>
                <w:rFonts w:ascii="Aptos Narrow" w:eastAsia="Times New Roman" w:hAnsi="Aptos Narrow" w:cs="Times New Roman"/>
                <w:b/>
                <w:bCs/>
                <w:kern w:val="0"/>
                <w:sz w:val="28"/>
                <w:szCs w:val="28"/>
                <w14:ligatures w14:val="none"/>
              </w:rPr>
              <w:t>B3</w:t>
            </w:r>
          </w:p>
        </w:tc>
        <w:tc>
          <w:tcPr>
            <w:tcW w:w="2245" w:type="dxa"/>
            <w:tcBorders>
              <w:top w:val="single" w:sz="6" w:space="0" w:color="E6E6E6"/>
              <w:left w:val="single" w:sz="6" w:space="0" w:color="BFBFBF" w:themeColor="background1" w:themeShade="BF"/>
              <w:bottom w:val="single" w:sz="6" w:space="0" w:color="BFBFBF" w:themeColor="background1" w:themeShade="BF"/>
              <w:right w:val="single" w:sz="6" w:space="0" w:color="D9D9D9" w:themeColor="background1" w:themeShade="D9"/>
            </w:tcBorders>
            <w:shd w:val="clear" w:color="auto" w:fill="F2F2F2" w:themeFill="background1" w:themeFillShade="F2"/>
            <w:vAlign w:val="center"/>
            <w:hideMark/>
          </w:tcPr>
          <w:p w14:paraId="2811374E" w14:textId="32954761" w:rsidR="00BF5DC4" w:rsidRPr="008B7518" w:rsidRDefault="00BF5DC4" w:rsidP="00430B63">
            <w:pPr>
              <w:keepNext/>
              <w:keepLines/>
              <w:spacing w:before="240" w:after="240" w:line="240" w:lineRule="auto"/>
              <w:ind w:left="144" w:right="144"/>
              <w:jc w:val="center"/>
              <w:rPr>
                <w:rFonts w:ascii="Aptos Narrow" w:eastAsia="Times New Roman" w:hAnsi="Aptos Narrow" w:cs="Times New Roman"/>
                <w:kern w:val="0"/>
                <w:sz w:val="23"/>
                <w:szCs w:val="23"/>
                <w14:ligatures w14:val="none"/>
              </w:rPr>
            </w:pPr>
            <w:r w:rsidRPr="008B7518">
              <w:rPr>
                <w:rFonts w:ascii="Aptos Narrow" w:eastAsia="Times New Roman" w:hAnsi="Aptos Narrow" w:cs="Times New Roman"/>
                <w:kern w:val="0"/>
                <w:sz w:val="23"/>
                <w:szCs w:val="23"/>
                <w14:ligatures w14:val="none"/>
              </w:rPr>
              <w:t>Decision</w:t>
            </w:r>
            <w:r w:rsidR="00AB5CE1">
              <w:rPr>
                <w:rFonts w:ascii="Aptos Narrow" w:eastAsia="Times New Roman" w:hAnsi="Aptos Narrow" w:cs="Times New Roman"/>
                <w:kern w:val="0"/>
                <w:sz w:val="23"/>
                <w:szCs w:val="23"/>
                <w14:ligatures w14:val="none"/>
              </w:rPr>
              <w:t>-</w:t>
            </w:r>
            <w:r w:rsidRPr="008B7518">
              <w:rPr>
                <w:rFonts w:ascii="Aptos Narrow" w:eastAsia="Times New Roman" w:hAnsi="Aptos Narrow" w:cs="Times New Roman"/>
                <w:kern w:val="0"/>
                <w:sz w:val="23"/>
                <w:szCs w:val="23"/>
                <w14:ligatures w14:val="none"/>
              </w:rPr>
              <w:t>limited</w:t>
            </w:r>
          </w:p>
        </w:tc>
        <w:tc>
          <w:tcPr>
            <w:tcW w:w="2647" w:type="dxa"/>
            <w:tcBorders>
              <w:top w:val="single" w:sz="6" w:space="0" w:color="E6E6E6"/>
              <w:left w:val="single" w:sz="6" w:space="0" w:color="D9D9D9" w:themeColor="background1" w:themeShade="D9"/>
              <w:bottom w:val="single" w:sz="6" w:space="0" w:color="BFBFBF" w:themeColor="background1" w:themeShade="BF"/>
              <w:right w:val="single" w:sz="6" w:space="0" w:color="BFBFBF" w:themeColor="background1" w:themeShade="BF"/>
            </w:tcBorders>
            <w:shd w:val="clear" w:color="auto" w:fill="F2F2F2" w:themeFill="background1" w:themeFillShade="F2"/>
            <w:vAlign w:val="center"/>
            <w:hideMark/>
          </w:tcPr>
          <w:p w14:paraId="378375D1" w14:textId="77777777" w:rsidR="00BF5DC4" w:rsidRPr="008B7518" w:rsidRDefault="00BF5DC4" w:rsidP="00430B63">
            <w:pPr>
              <w:keepNext/>
              <w:keepLines/>
              <w:spacing w:before="240" w:after="240" w:line="240" w:lineRule="auto"/>
              <w:ind w:left="144" w:right="144"/>
              <w:jc w:val="center"/>
              <w:rPr>
                <w:rFonts w:ascii="Aptos Narrow" w:eastAsia="Times New Roman" w:hAnsi="Aptos Narrow" w:cs="Times New Roman"/>
                <w:kern w:val="0"/>
                <w:sz w:val="23"/>
                <w:szCs w:val="23"/>
                <w14:ligatures w14:val="none"/>
              </w:rPr>
            </w:pPr>
            <w:r w:rsidRPr="008B7518">
              <w:rPr>
                <w:rFonts w:ascii="Aptos Narrow" w:eastAsia="Times New Roman" w:hAnsi="Aptos Narrow" w:cs="Times New Roman"/>
                <w:kern w:val="0"/>
                <w:sz w:val="23"/>
                <w:szCs w:val="23"/>
                <w14:ligatures w14:val="none"/>
              </w:rPr>
              <w:t>Evidence insufficient for dominance conclusions</w:t>
            </w:r>
          </w:p>
        </w:tc>
      </w:tr>
      <w:tr w:rsidR="00BF5DC4" w:rsidRPr="00AD4FBF" w14:paraId="3111EB11" w14:textId="77777777" w:rsidTr="00BF5DC4">
        <w:trPr>
          <w:jc w:val="center"/>
        </w:trPr>
        <w:tc>
          <w:tcPr>
            <w:tcW w:w="0" w:type="auto"/>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D9D9D9" w:themeColor="background1" w:themeShade="D9"/>
            </w:tcBorders>
            <w:vAlign w:val="center"/>
            <w:hideMark/>
          </w:tcPr>
          <w:p w14:paraId="749A8A9E" w14:textId="77777777" w:rsidR="00BF5DC4" w:rsidRPr="00C74C73" w:rsidRDefault="00BF5DC4" w:rsidP="00430B63">
            <w:pPr>
              <w:spacing w:before="240" w:after="240" w:line="240" w:lineRule="auto"/>
              <w:ind w:left="144" w:right="144"/>
              <w:jc w:val="center"/>
              <w:rPr>
                <w:rFonts w:ascii="Aptos Narrow" w:eastAsia="Times New Roman" w:hAnsi="Aptos Narrow" w:cs="Times New Roman"/>
                <w:b/>
                <w:bCs/>
                <w:kern w:val="0"/>
                <w14:ligatures w14:val="none"/>
              </w:rPr>
            </w:pPr>
            <w:r w:rsidRPr="00C74C73">
              <w:rPr>
                <w:rFonts w:ascii="Aptos Narrow" w:eastAsia="Times New Roman" w:hAnsi="Aptos Narrow" w:cs="Times New Roman"/>
                <w:b/>
                <w:bCs/>
                <w:kern w:val="0"/>
                <w14:ligatures w14:val="none"/>
              </w:rPr>
              <w:t>CI straddles MCID</w:t>
            </w:r>
          </w:p>
        </w:tc>
        <w:tc>
          <w:tcPr>
            <w:tcW w:w="0" w:type="auto"/>
            <w:tcBorders>
              <w:top w:val="single" w:sz="6" w:space="0" w:color="BFBFBF" w:themeColor="background1" w:themeShade="BF"/>
              <w:left w:val="single" w:sz="6" w:space="0" w:color="D9D9D9" w:themeColor="background1" w:themeShade="D9"/>
              <w:bottom w:val="single" w:sz="6" w:space="0" w:color="BFBFBF" w:themeColor="background1" w:themeShade="BF"/>
              <w:right w:val="single" w:sz="6" w:space="0" w:color="D9D9D9" w:themeColor="background1" w:themeShade="D9"/>
            </w:tcBorders>
            <w:vAlign w:val="center"/>
            <w:hideMark/>
          </w:tcPr>
          <w:p w14:paraId="67C4C3E9" w14:textId="77777777" w:rsidR="00BF5DC4" w:rsidRPr="00C74C73" w:rsidRDefault="00BF5DC4" w:rsidP="00430B63">
            <w:pPr>
              <w:spacing w:before="240" w:after="240" w:line="240" w:lineRule="auto"/>
              <w:ind w:left="144" w:right="144"/>
              <w:jc w:val="center"/>
              <w:rPr>
                <w:rFonts w:ascii="Aptos Narrow" w:eastAsia="Times New Roman" w:hAnsi="Aptos Narrow" w:cs="Times New Roman"/>
                <w:b/>
                <w:bCs/>
                <w:kern w:val="0"/>
                <w14:ligatures w14:val="none"/>
              </w:rPr>
            </w:pPr>
            <w:r w:rsidRPr="00C74C73">
              <w:rPr>
                <w:rFonts w:ascii="Aptos Narrow" w:eastAsia="Times New Roman" w:hAnsi="Aptos Narrow" w:cs="Times New Roman"/>
                <w:b/>
                <w:bCs/>
                <w:kern w:val="0"/>
                <w14:ligatures w14:val="none"/>
              </w:rPr>
              <w:t>any</w:t>
            </w:r>
          </w:p>
        </w:tc>
        <w:tc>
          <w:tcPr>
            <w:tcW w:w="0" w:type="auto"/>
            <w:tcBorders>
              <w:top w:val="single" w:sz="6" w:space="0" w:color="BFBFBF" w:themeColor="background1" w:themeShade="BF"/>
              <w:left w:val="single" w:sz="6" w:space="0" w:color="D9D9D9" w:themeColor="background1" w:themeShade="D9"/>
              <w:bottom w:val="single" w:sz="6" w:space="0" w:color="BFBFBF" w:themeColor="background1" w:themeShade="BF"/>
              <w:right w:val="single" w:sz="6" w:space="0" w:color="D9D9D9" w:themeColor="background1" w:themeShade="D9"/>
            </w:tcBorders>
            <w:vAlign w:val="center"/>
            <w:hideMark/>
          </w:tcPr>
          <w:p w14:paraId="029CACDF" w14:textId="77777777" w:rsidR="00BF5DC4" w:rsidRPr="001427BC" w:rsidRDefault="00BF5DC4" w:rsidP="00430B63">
            <w:pPr>
              <w:spacing w:before="240" w:after="240" w:line="240" w:lineRule="auto"/>
              <w:ind w:left="144" w:right="144"/>
              <w:jc w:val="center"/>
              <w:rPr>
                <w:rFonts w:ascii="Aptos Narrow" w:eastAsia="Times New Roman" w:hAnsi="Aptos Narrow" w:cs="Times New Roman"/>
                <w:kern w:val="0"/>
                <w:sz w:val="28"/>
                <w:szCs w:val="28"/>
                <w14:ligatures w14:val="none"/>
              </w:rPr>
            </w:pPr>
            <w:r w:rsidRPr="001427BC">
              <w:rPr>
                <w:rFonts w:ascii="Aptos Narrow" w:eastAsia="Times New Roman" w:hAnsi="Aptos Narrow" w:cs="Times New Roman"/>
                <w:b/>
                <w:bCs/>
                <w:kern w:val="0"/>
                <w:sz w:val="28"/>
                <w:szCs w:val="28"/>
                <w14:ligatures w14:val="none"/>
              </w:rPr>
              <w:t>B3</w:t>
            </w:r>
          </w:p>
        </w:tc>
        <w:tc>
          <w:tcPr>
            <w:tcW w:w="2245" w:type="dxa"/>
            <w:tcBorders>
              <w:top w:val="single" w:sz="6" w:space="0" w:color="BFBFBF" w:themeColor="background1" w:themeShade="BF"/>
              <w:left w:val="single" w:sz="6" w:space="0" w:color="D9D9D9" w:themeColor="background1" w:themeShade="D9"/>
              <w:bottom w:val="single" w:sz="6" w:space="0" w:color="BFBFBF" w:themeColor="background1" w:themeShade="BF"/>
              <w:right w:val="single" w:sz="6" w:space="0" w:color="D9D9D9" w:themeColor="background1" w:themeShade="D9"/>
            </w:tcBorders>
            <w:vAlign w:val="center"/>
            <w:hideMark/>
          </w:tcPr>
          <w:p w14:paraId="4FA097B7" w14:textId="77777777" w:rsidR="00BF5DC4" w:rsidRPr="008B7518" w:rsidRDefault="00BF5DC4" w:rsidP="00430B63">
            <w:pPr>
              <w:spacing w:before="240" w:after="240" w:line="240" w:lineRule="auto"/>
              <w:ind w:left="144" w:right="144"/>
              <w:jc w:val="center"/>
              <w:rPr>
                <w:rFonts w:ascii="Aptos Narrow" w:eastAsia="Times New Roman" w:hAnsi="Aptos Narrow" w:cs="Times New Roman"/>
                <w:kern w:val="0"/>
                <w:sz w:val="23"/>
                <w:szCs w:val="23"/>
                <w14:ligatures w14:val="none"/>
              </w:rPr>
            </w:pPr>
            <w:r w:rsidRPr="008B7518">
              <w:rPr>
                <w:rFonts w:ascii="Aptos Narrow" w:eastAsia="Times New Roman" w:hAnsi="Aptos Narrow" w:cs="Times New Roman"/>
                <w:kern w:val="0"/>
                <w:sz w:val="23"/>
                <w:szCs w:val="23"/>
                <w14:ligatures w14:val="none"/>
              </w:rPr>
              <w:t>Indeterminate</w:t>
            </w:r>
          </w:p>
        </w:tc>
        <w:tc>
          <w:tcPr>
            <w:tcW w:w="2647" w:type="dxa"/>
            <w:tcBorders>
              <w:top w:val="single" w:sz="6" w:space="0" w:color="BFBFBF" w:themeColor="background1" w:themeShade="BF"/>
              <w:left w:val="single" w:sz="6" w:space="0" w:color="D9D9D9" w:themeColor="background1" w:themeShade="D9"/>
              <w:bottom w:val="single" w:sz="6" w:space="0" w:color="BFBFBF" w:themeColor="background1" w:themeShade="BF"/>
              <w:right w:val="single" w:sz="6" w:space="0" w:color="BFBFBF" w:themeColor="background1" w:themeShade="BF"/>
            </w:tcBorders>
            <w:vAlign w:val="center"/>
            <w:hideMark/>
          </w:tcPr>
          <w:p w14:paraId="5EE923DE" w14:textId="77777777" w:rsidR="00BF5DC4" w:rsidRPr="008B7518" w:rsidRDefault="00BF5DC4" w:rsidP="00430B63">
            <w:pPr>
              <w:spacing w:before="240" w:after="240" w:line="240" w:lineRule="auto"/>
              <w:ind w:left="144" w:right="144"/>
              <w:jc w:val="center"/>
              <w:rPr>
                <w:rFonts w:ascii="Aptos Narrow" w:eastAsia="Times New Roman" w:hAnsi="Aptos Narrow" w:cs="Times New Roman"/>
                <w:kern w:val="0"/>
                <w:sz w:val="23"/>
                <w:szCs w:val="23"/>
                <w14:ligatures w14:val="none"/>
              </w:rPr>
            </w:pPr>
            <w:r w:rsidRPr="008B7518">
              <w:rPr>
                <w:rFonts w:ascii="Aptos Narrow" w:eastAsia="Times New Roman" w:hAnsi="Aptos Narrow" w:cs="Times New Roman"/>
                <w:kern w:val="0"/>
                <w:sz w:val="23"/>
                <w:szCs w:val="23"/>
                <w14:ligatures w14:val="none"/>
              </w:rPr>
              <w:t>Evidence insufficient for dominance conclusions</w:t>
            </w:r>
          </w:p>
        </w:tc>
      </w:tr>
    </w:tbl>
    <w:p w14:paraId="1773C8D7" w14:textId="4E492A02" w:rsidR="00BF5DC4" w:rsidRDefault="00BF5DC4" w:rsidP="00BF5DC4">
      <w:pPr>
        <w:pStyle w:val="FigureCaption"/>
      </w:pPr>
      <w:r>
        <w:t>Decision logic for classifying trials into regimes (B1–B4) based on the joint position of the net biological contrast (</w:t>
      </w:r>
      <w:r w:rsidR="00476EDB">
        <w:rPr>
          <w:rFonts w:ascii="Cambria Math" w:hAnsi="Cambria Math" w:cs="Cambria Math"/>
        </w:rPr>
        <w:t>∣Δα∣</w:t>
      </w:r>
      <w:r>
        <w:t>) and the preference</w:t>
      </w:r>
      <w:r w:rsidR="00AB5CE1">
        <w:rPr>
          <w:rFonts w:ascii="Cambria Math" w:hAnsi="Cambria Math" w:cs="Cambria Math"/>
        </w:rPr>
        <w:t>-</w:t>
      </w:r>
      <w:r>
        <w:t>mediated effect (</w:t>
      </w:r>
      <w:r>
        <w:rPr>
          <w:rFonts w:ascii="Aptos" w:hAnsi="Aptos" w:cs="Aptos"/>
        </w:rPr>
        <w:t>β</w:t>
      </w:r>
      <w:r>
        <w:t xml:space="preserve">) relative to a prespecified minimal clinically important difference (MCID), incorporating uncertainty through confidence intervals (CIs). Regime assignment is determined by evaluating whether </w:t>
      </w:r>
      <w:r w:rsidR="00476EDB">
        <w:rPr>
          <w:rFonts w:ascii="Cambria Math" w:hAnsi="Cambria Math" w:cs="Cambria Math"/>
        </w:rPr>
        <w:t>∣Δα∣</w:t>
      </w:r>
      <w:r>
        <w:t xml:space="preserve"> and β exceed, fall below, or straddle MCID on a common clinical scale. When the CI for </w:t>
      </w:r>
      <w:r w:rsidR="00476EDB">
        <w:rPr>
          <w:rFonts w:ascii="Cambria Math" w:hAnsi="Cambria Math" w:cs="Cambria Math"/>
        </w:rPr>
        <w:t>∣Δα∣</w:t>
      </w:r>
      <w:r>
        <w:t xml:space="preserve"> lies entirely above MCID, biological effects are clinically decisive (B1 or B2 depending on β). When </w:t>
      </w:r>
      <w:r w:rsidR="00476EDB">
        <w:rPr>
          <w:rFonts w:ascii="Cambria Math" w:hAnsi="Cambria Math" w:cs="Cambria Math"/>
        </w:rPr>
        <w:t>∣Δα∣</w:t>
      </w:r>
      <w:r>
        <w:t xml:space="preserve"> lies below MCID, interpretation depends on β, distinguishing β</w:t>
      </w:r>
      <w:r w:rsidR="00AB5CE1">
        <w:rPr>
          <w:rFonts w:ascii="Cambria Math" w:hAnsi="Cambria Math" w:cs="Cambria Math"/>
        </w:rPr>
        <w:t>-</w:t>
      </w:r>
      <w:r>
        <w:t>dominant (B4) from decision</w:t>
      </w:r>
      <w:r w:rsidR="00AB5CE1">
        <w:rPr>
          <w:rFonts w:ascii="Cambria Math" w:hAnsi="Cambria Math" w:cs="Cambria Math"/>
        </w:rPr>
        <w:t>-</w:t>
      </w:r>
      <w:r>
        <w:t xml:space="preserve">limited settings (B3). Crucially, when the CI for </w:t>
      </w:r>
      <w:r w:rsidR="00476EDB">
        <w:rPr>
          <w:rFonts w:ascii="Cambria Math" w:hAnsi="Cambria Math" w:cs="Cambria Math"/>
        </w:rPr>
        <w:t>∣Δα∣</w:t>
      </w:r>
      <w:r>
        <w:t xml:space="preserve"> crosses MCID</w:t>
      </w:r>
      <w:r>
        <w:rPr>
          <w:rFonts w:ascii="Aptos" w:hAnsi="Aptos" w:cs="Aptos"/>
        </w:rPr>
        <w:t>—</w:t>
      </w:r>
      <w:r>
        <w:t xml:space="preserve">or when </w:t>
      </w:r>
      <w:r>
        <w:rPr>
          <w:rFonts w:ascii="Aptos" w:hAnsi="Aptos" w:cs="Aptos"/>
        </w:rPr>
        <w:t>β</w:t>
      </w:r>
      <w:r>
        <w:t xml:space="preserve"> is not definitively above or below MCID</w:t>
      </w:r>
      <w:r>
        <w:rPr>
          <w:rFonts w:ascii="Aptos" w:hAnsi="Aptos" w:cs="Aptos"/>
        </w:rPr>
        <w:t>—</w:t>
      </w:r>
      <w:r>
        <w:t>regime assignment defaults to decision</w:t>
      </w:r>
      <w:r w:rsidR="00AB5CE1">
        <w:rPr>
          <w:rFonts w:ascii="Cambria Math" w:hAnsi="Cambria Math" w:cs="Cambria Math"/>
        </w:rPr>
        <w:t>-</w:t>
      </w:r>
      <w:r>
        <w:t>limited ambiguity (B3). This conservative rule reflects MCID discipline (A3) and the requirement that identification and precision precede interpretation (A5), operationalized through the Interpretation Rule (R1). The table therefore distinguishes true biological or preference dominance from insufficient identification, preventing over</w:t>
      </w:r>
      <w:r w:rsidR="00AB5CE1">
        <w:rPr>
          <w:rFonts w:ascii="Cambria Math" w:hAnsi="Cambria Math" w:cs="Cambria Math"/>
        </w:rPr>
        <w:t>-</w:t>
      </w:r>
      <w:r>
        <w:t>interpretation of estimates that do not resolve clinical materiality. Resulting actions follow directly from regime classification: biological recommendation (B1), joint inference (B2), preference</w:t>
      </w:r>
      <w:r w:rsidR="00AB5CE1">
        <w:rPr>
          <w:rFonts w:ascii="Cambria Math" w:hAnsi="Cambria Math" w:cs="Cambria Math"/>
        </w:rPr>
        <w:t>-</w:t>
      </w:r>
      <w:r>
        <w:t>first interpretation (B4), or deferral and further design strengthening (B3).</w:t>
      </w:r>
    </w:p>
    <w:p w14:paraId="4FEC9587" w14:textId="77777777" w:rsidR="00BF5DC4" w:rsidRPr="00AD4FBF" w:rsidRDefault="00BF5DC4" w:rsidP="00BF5DC4">
      <w:pPr>
        <w:pStyle w:val="Heading2"/>
        <w:pageBreakBefore/>
      </w:pPr>
      <w:bookmarkStart w:id="50" w:name="_Toc230299618"/>
      <w:r w:rsidRPr="002F5C70">
        <w:rPr>
          <w:b/>
          <w:bCs/>
        </w:rPr>
        <w:lastRenderedPageBreak/>
        <w:t>S7.4</w:t>
      </w:r>
      <w:r w:rsidRPr="00AD4FBF">
        <w:t xml:space="preserve"> </w:t>
      </w:r>
      <w:r>
        <w:t>Illustrative</w:t>
      </w:r>
      <w:r w:rsidRPr="00AD4FBF">
        <w:t xml:space="preserve"> Examples</w:t>
      </w:r>
      <w:bookmarkEnd w:id="50"/>
    </w:p>
    <w:p w14:paraId="42314970" w14:textId="19E9F2DB" w:rsidR="00BF5DC4" w:rsidRPr="00AD4FBF" w:rsidRDefault="00BF5DC4" w:rsidP="00BF5DC4">
      <w:pPr>
        <w:pStyle w:val="Heading3"/>
        <w:ind w:left="720"/>
      </w:pPr>
      <w:bookmarkStart w:id="51" w:name="_Toc229607854"/>
      <w:bookmarkStart w:id="52" w:name="_Toc230299619"/>
      <w:r w:rsidRPr="00AD4FBF">
        <w:t xml:space="preserve">Example 1: </w:t>
      </w:r>
      <w:r w:rsidR="00476EDB">
        <w:rPr>
          <w:rFonts w:ascii="Cambria Math" w:hAnsi="Cambria Math" w:cs="Cambria Math"/>
        </w:rPr>
        <w:t>∣Δα∣</w:t>
      </w:r>
      <w:r w:rsidRPr="00C74C73">
        <w:t xml:space="preserve"> </w:t>
      </w:r>
      <w:r w:rsidRPr="00AD4FBF">
        <w:t>Uncertain Near MCID</w:t>
      </w:r>
      <w:bookmarkEnd w:id="51"/>
      <w:bookmarkEnd w:id="52"/>
    </w:p>
    <w:p w14:paraId="77DB2F04" w14:textId="3B2156F5" w:rsidR="00BF5DC4" w:rsidRPr="00247453" w:rsidRDefault="00476EDB">
      <w:pPr>
        <w:pStyle w:val="ListParagraph"/>
        <w:numPr>
          <w:ilvl w:val="0"/>
          <w:numId w:val="8"/>
        </w:numPr>
        <w:ind w:left="1440"/>
      </w:pPr>
      <w:r>
        <w:rPr>
          <w:rFonts w:ascii="Cambria Math" w:hAnsi="Cambria Math" w:cs="Cambria Math"/>
        </w:rPr>
        <w:t>∣Δα∣</w:t>
      </w:r>
      <w:r w:rsidR="00BF5DC4" w:rsidRPr="00247453">
        <w:t xml:space="preserve"> = 6 points (MCID = 5)</w:t>
      </w:r>
    </w:p>
    <w:p w14:paraId="2EA7AAC9" w14:textId="77777777" w:rsidR="00BF5DC4" w:rsidRPr="00247453" w:rsidRDefault="00BF5DC4">
      <w:pPr>
        <w:pStyle w:val="ListParagraph"/>
        <w:numPr>
          <w:ilvl w:val="0"/>
          <w:numId w:val="8"/>
        </w:numPr>
        <w:ind w:left="1440"/>
      </w:pPr>
      <w:r w:rsidRPr="00247453">
        <w:t>95% CI: 2 to 10</w:t>
      </w:r>
    </w:p>
    <w:p w14:paraId="714F9E15" w14:textId="77777777" w:rsidR="00BF5DC4" w:rsidRPr="00247453" w:rsidRDefault="00BF5DC4">
      <w:pPr>
        <w:pStyle w:val="ListParagraph"/>
        <w:numPr>
          <w:ilvl w:val="0"/>
          <w:numId w:val="8"/>
        </w:numPr>
        <w:ind w:left="1440"/>
      </w:pPr>
      <w:r w:rsidRPr="00247453">
        <w:t>β = 4 points (CI: 1 to 7)</w:t>
      </w:r>
    </w:p>
    <w:p w14:paraId="16708D42" w14:textId="09CED670" w:rsidR="00BF5DC4" w:rsidRPr="00247453" w:rsidRDefault="00BF5DC4" w:rsidP="00BF5DC4">
      <w:pPr>
        <w:ind w:left="720" w:firstLine="180"/>
      </w:pPr>
      <w:r w:rsidRPr="00247453">
        <w:t xml:space="preserve">Despite </w:t>
      </w:r>
      <w:r w:rsidR="00476EDB">
        <w:rPr>
          <w:rFonts w:ascii="Cambria Math" w:hAnsi="Cambria Math" w:cs="Cambria Math"/>
        </w:rPr>
        <w:t>∣Δα∣</w:t>
      </w:r>
      <w:r w:rsidRPr="00C74C73">
        <w:t xml:space="preserve"> </w:t>
      </w:r>
      <w:r w:rsidRPr="00247453">
        <w:t>point estimate &gt; MCID:</w:t>
      </w:r>
    </w:p>
    <w:p w14:paraId="76E7D9BE" w14:textId="69978C45" w:rsidR="00BF5DC4" w:rsidRPr="00247453" w:rsidRDefault="00476EDB">
      <w:pPr>
        <w:pStyle w:val="ListParagraph"/>
        <w:numPr>
          <w:ilvl w:val="0"/>
          <w:numId w:val="9"/>
        </w:numPr>
        <w:ind w:left="1440"/>
      </w:pPr>
      <w:r>
        <w:rPr>
          <w:rFonts w:ascii="Cambria Math" w:hAnsi="Cambria Math" w:cs="Cambria Math"/>
        </w:rPr>
        <w:t>∣Δα∣</w:t>
      </w:r>
      <w:r w:rsidR="00BF5DC4" w:rsidRPr="00247453">
        <w:t xml:space="preserve"> CI straddles MCID → α dominance not established</w:t>
      </w:r>
    </w:p>
    <w:p w14:paraId="379933C7" w14:textId="77777777" w:rsidR="00BF5DC4" w:rsidRPr="00247453" w:rsidRDefault="00BF5DC4">
      <w:pPr>
        <w:pStyle w:val="ListParagraph"/>
        <w:numPr>
          <w:ilvl w:val="0"/>
          <w:numId w:val="9"/>
        </w:numPr>
        <w:ind w:left="1440"/>
      </w:pPr>
      <w:r w:rsidRPr="00247453">
        <w:t>β CI straddles MCID → preference effect unresolved</w:t>
      </w:r>
    </w:p>
    <w:p w14:paraId="0B64268C" w14:textId="77777777" w:rsidR="00BF5DC4" w:rsidRPr="00730EFA" w:rsidRDefault="00BF5DC4" w:rsidP="00BF5DC4">
      <w:pPr>
        <w:ind w:left="1440"/>
        <w:rPr>
          <w:b/>
          <w:bCs/>
        </w:rPr>
      </w:pPr>
      <w:r w:rsidRPr="00730EFA">
        <w:rPr>
          <w:b/>
          <w:bCs/>
        </w:rPr>
        <w:t>Regime: B3</w:t>
      </w:r>
    </w:p>
    <w:p w14:paraId="1C2786C1" w14:textId="77777777" w:rsidR="00BF5DC4" w:rsidRPr="00247453" w:rsidRDefault="00BF5DC4" w:rsidP="00BF5DC4">
      <w:pPr>
        <w:ind w:left="1440"/>
      </w:pPr>
      <w:r w:rsidRPr="00730EFA">
        <w:rPr>
          <w:b/>
          <w:bCs/>
        </w:rPr>
        <w:t>Interpretation</w:t>
      </w:r>
      <w:r w:rsidRPr="00247453">
        <w:t xml:space="preserve">: </w:t>
      </w:r>
      <w:r w:rsidRPr="00FC16C5">
        <w:t>The trial reveals causal structure but does not support dominance conclusions.</w:t>
      </w:r>
    </w:p>
    <w:p w14:paraId="33694EF0" w14:textId="77777777" w:rsidR="00BF5DC4" w:rsidRPr="00AD4FBF" w:rsidRDefault="00BF5DC4" w:rsidP="00BF5DC4">
      <w:pPr>
        <w:pStyle w:val="Heading3"/>
        <w:ind w:left="720"/>
      </w:pPr>
      <w:bookmarkStart w:id="53" w:name="_Toc229607855"/>
      <w:bookmarkStart w:id="54" w:name="_Toc230299620"/>
      <w:r w:rsidRPr="00AD4FBF">
        <w:t>Example 2: Apparent Equipoise With Imprecise β</w:t>
      </w:r>
      <w:bookmarkEnd w:id="53"/>
      <w:bookmarkEnd w:id="54"/>
    </w:p>
    <w:p w14:paraId="6A062932" w14:textId="233A24C4" w:rsidR="00BF5DC4" w:rsidRPr="00730EFA" w:rsidRDefault="00476EDB">
      <w:pPr>
        <w:pStyle w:val="ListParagraph"/>
        <w:numPr>
          <w:ilvl w:val="0"/>
          <w:numId w:val="8"/>
        </w:numPr>
        <w:ind w:left="1260"/>
      </w:pPr>
      <w:r>
        <w:rPr>
          <w:rFonts w:ascii="Cambria Math" w:hAnsi="Cambria Math" w:cs="Cambria Math"/>
        </w:rPr>
        <w:t>∣Δα∣</w:t>
      </w:r>
      <w:r w:rsidR="00BF5DC4" w:rsidRPr="00C74C73">
        <w:t xml:space="preserve"> </w:t>
      </w:r>
      <w:r w:rsidR="00BF5DC4" w:rsidRPr="00730EFA">
        <w:t>= 1 point (CI: –2 to 3)</w:t>
      </w:r>
    </w:p>
    <w:p w14:paraId="09676578" w14:textId="77777777" w:rsidR="00BF5DC4" w:rsidRPr="00730EFA" w:rsidRDefault="00BF5DC4">
      <w:pPr>
        <w:pStyle w:val="ListParagraph"/>
        <w:numPr>
          <w:ilvl w:val="0"/>
          <w:numId w:val="8"/>
        </w:numPr>
        <w:ind w:left="1260"/>
      </w:pPr>
      <w:r w:rsidRPr="00730EFA">
        <w:t>β = 6 points (CI: –1 to 13)</w:t>
      </w:r>
    </w:p>
    <w:p w14:paraId="5EAC5B33" w14:textId="77777777" w:rsidR="00BF5DC4" w:rsidRPr="00730EFA" w:rsidRDefault="00BF5DC4" w:rsidP="00BF5DC4">
      <w:pPr>
        <w:ind w:left="720" w:firstLine="180"/>
      </w:pPr>
      <w:r w:rsidRPr="00730EFA">
        <w:t>Although β point estimate exceeds MCID:</w:t>
      </w:r>
    </w:p>
    <w:p w14:paraId="15338C9F" w14:textId="77777777" w:rsidR="00BF5DC4" w:rsidRPr="00730EFA" w:rsidRDefault="00BF5DC4">
      <w:pPr>
        <w:pStyle w:val="ListParagraph"/>
        <w:numPr>
          <w:ilvl w:val="0"/>
          <w:numId w:val="9"/>
        </w:numPr>
        <w:ind w:left="1440"/>
      </w:pPr>
      <w:r w:rsidRPr="00730EFA">
        <w:t>β CI crosses MCID → preference materiality is unresolved</w:t>
      </w:r>
    </w:p>
    <w:p w14:paraId="75A6621C" w14:textId="77777777" w:rsidR="00BF5DC4" w:rsidRPr="00730EFA" w:rsidRDefault="00BF5DC4" w:rsidP="00BF5DC4">
      <w:pPr>
        <w:ind w:left="1440"/>
        <w:rPr>
          <w:b/>
          <w:bCs/>
        </w:rPr>
      </w:pPr>
      <w:r w:rsidRPr="00730EFA">
        <w:rPr>
          <w:b/>
          <w:bCs/>
        </w:rPr>
        <w:t xml:space="preserve">Regime: B3, </w:t>
      </w:r>
      <w:r w:rsidRPr="00730EFA">
        <w:t>not</w:t>
      </w:r>
      <w:r w:rsidRPr="00730EFA">
        <w:rPr>
          <w:b/>
          <w:bCs/>
        </w:rPr>
        <w:t xml:space="preserve"> B4.</w:t>
      </w:r>
    </w:p>
    <w:p w14:paraId="0B0ECEC7" w14:textId="3509C873" w:rsidR="00BF5DC4" w:rsidRPr="00730EFA" w:rsidRDefault="00BF5DC4" w:rsidP="00BF5DC4">
      <w:pPr>
        <w:ind w:left="1440"/>
      </w:pPr>
      <w:r w:rsidRPr="00730EFA">
        <w:rPr>
          <w:b/>
          <w:bCs/>
        </w:rPr>
        <w:t xml:space="preserve">Interpretation: </w:t>
      </w:r>
      <w:r w:rsidRPr="00730EFA">
        <w:t>Preference</w:t>
      </w:r>
      <w:r w:rsidR="00AB5CE1">
        <w:t>-</w:t>
      </w:r>
      <w:r w:rsidRPr="00730EFA">
        <w:t>dominant conclusions are not supported by the evidence.</w:t>
      </w:r>
    </w:p>
    <w:p w14:paraId="521F4C7C" w14:textId="02216117" w:rsidR="00BF5DC4" w:rsidRPr="00AD4FBF" w:rsidRDefault="00BF5DC4" w:rsidP="00BF5DC4">
      <w:pPr>
        <w:pStyle w:val="Heading3"/>
        <w:ind w:left="720"/>
      </w:pPr>
      <w:bookmarkStart w:id="55" w:name="_Toc229607856"/>
      <w:bookmarkStart w:id="56" w:name="_Toc230299621"/>
      <w:r w:rsidRPr="00AD4FBF">
        <w:t>Example 3: Clear β</w:t>
      </w:r>
      <w:r w:rsidR="00AB5CE1">
        <w:t>-</w:t>
      </w:r>
      <w:r w:rsidRPr="00AD4FBF">
        <w:t>Dominance</w:t>
      </w:r>
      <w:bookmarkEnd w:id="55"/>
      <w:bookmarkEnd w:id="56"/>
    </w:p>
    <w:p w14:paraId="15C600A0" w14:textId="2983B0D1" w:rsidR="00BF5DC4" w:rsidRPr="00730EFA" w:rsidRDefault="00476EDB">
      <w:pPr>
        <w:pStyle w:val="ListParagraph"/>
        <w:numPr>
          <w:ilvl w:val="0"/>
          <w:numId w:val="8"/>
        </w:numPr>
        <w:ind w:left="1440"/>
      </w:pPr>
      <w:r>
        <w:rPr>
          <w:rFonts w:ascii="Cambria Math" w:hAnsi="Cambria Math" w:cs="Cambria Math"/>
        </w:rPr>
        <w:t>∣Δα∣</w:t>
      </w:r>
      <w:r w:rsidR="00BF5DC4" w:rsidRPr="00C74C73">
        <w:t xml:space="preserve"> </w:t>
      </w:r>
      <w:r w:rsidR="00BF5DC4" w:rsidRPr="00730EFA">
        <w:t>= 0.5 (CI: –1 to 2)</w:t>
      </w:r>
    </w:p>
    <w:p w14:paraId="6812A9DA" w14:textId="77777777" w:rsidR="00BF5DC4" w:rsidRPr="00730EFA" w:rsidRDefault="00BF5DC4">
      <w:pPr>
        <w:pStyle w:val="ListParagraph"/>
        <w:numPr>
          <w:ilvl w:val="0"/>
          <w:numId w:val="8"/>
        </w:numPr>
        <w:ind w:left="1440"/>
      </w:pPr>
      <w:r w:rsidRPr="00730EFA">
        <w:t>β = 8 (CI: 6 to 11)</w:t>
      </w:r>
    </w:p>
    <w:p w14:paraId="2F0B0516" w14:textId="77777777" w:rsidR="00BF5DC4" w:rsidRPr="00730EFA" w:rsidRDefault="00BF5DC4" w:rsidP="00BF5DC4">
      <w:pPr>
        <w:ind w:left="720" w:firstLine="180"/>
      </w:pPr>
      <w:r w:rsidRPr="00730EFA">
        <w:t>Here:</w:t>
      </w:r>
    </w:p>
    <w:p w14:paraId="54CEDE41" w14:textId="25B9F03F" w:rsidR="00BF5DC4" w:rsidRPr="00730EFA" w:rsidRDefault="00476EDB">
      <w:pPr>
        <w:pStyle w:val="ListParagraph"/>
        <w:numPr>
          <w:ilvl w:val="0"/>
          <w:numId w:val="9"/>
        </w:numPr>
        <w:ind w:left="1440"/>
      </w:pPr>
      <w:r>
        <w:rPr>
          <w:rFonts w:ascii="Cambria Math" w:hAnsi="Cambria Math" w:cs="Cambria Math"/>
        </w:rPr>
        <w:t>∣Δα∣</w:t>
      </w:r>
      <w:r w:rsidR="00BF5DC4" w:rsidRPr="00C74C73">
        <w:t xml:space="preserve"> </w:t>
      </w:r>
      <w:r w:rsidR="00BF5DC4" w:rsidRPr="00730EFA">
        <w:t>CI entirely &lt; MCID → equipoise</w:t>
      </w:r>
    </w:p>
    <w:p w14:paraId="1F314579" w14:textId="77777777" w:rsidR="00BF5DC4" w:rsidRPr="00730EFA" w:rsidRDefault="00BF5DC4">
      <w:pPr>
        <w:pStyle w:val="ListParagraph"/>
        <w:numPr>
          <w:ilvl w:val="0"/>
          <w:numId w:val="9"/>
        </w:numPr>
        <w:ind w:left="1440"/>
      </w:pPr>
      <w:r w:rsidRPr="00730EFA">
        <w:t>β CI entirely ≥ MCID → decisive preference effect</w:t>
      </w:r>
    </w:p>
    <w:p w14:paraId="4042EEFA" w14:textId="77777777" w:rsidR="00BF5DC4" w:rsidRPr="00730EFA" w:rsidRDefault="00BF5DC4" w:rsidP="00BF5DC4">
      <w:pPr>
        <w:ind w:left="1440"/>
        <w:rPr>
          <w:b/>
          <w:bCs/>
        </w:rPr>
      </w:pPr>
      <w:r w:rsidRPr="00730EFA">
        <w:rPr>
          <w:b/>
          <w:bCs/>
        </w:rPr>
        <w:t>Regime: B4</w:t>
      </w:r>
    </w:p>
    <w:p w14:paraId="62D6B340" w14:textId="77777777" w:rsidR="00BF5DC4" w:rsidRPr="00730EFA" w:rsidRDefault="00BF5DC4" w:rsidP="00BF5DC4">
      <w:pPr>
        <w:ind w:left="1440"/>
      </w:pPr>
      <w:r w:rsidRPr="00730EFA">
        <w:rPr>
          <w:b/>
          <w:bCs/>
        </w:rPr>
        <w:t xml:space="preserve">Interpretation: </w:t>
      </w:r>
      <w:r w:rsidRPr="00730EFA">
        <w:t>Outcomes vary materially with patient preference under biological equipoise.</w:t>
      </w:r>
    </w:p>
    <w:p w14:paraId="61A7948F" w14:textId="77777777" w:rsidR="00BF5DC4" w:rsidRPr="00AD4FBF" w:rsidRDefault="00BF5DC4" w:rsidP="00BF5DC4">
      <w:pPr>
        <w:pStyle w:val="Heading2"/>
      </w:pPr>
      <w:bookmarkStart w:id="57" w:name="_Toc230299622"/>
      <w:r w:rsidRPr="002F5C70">
        <w:rPr>
          <w:b/>
          <w:bCs/>
        </w:rPr>
        <w:lastRenderedPageBreak/>
        <w:t>S7.5</w:t>
      </w:r>
      <w:r w:rsidRPr="00AD4FBF">
        <w:t xml:space="preserve"> How Uncertainty Propagates to Action</w:t>
      </w:r>
      <w:bookmarkEnd w:id="57"/>
    </w:p>
    <w:p w14:paraId="74FB2AE1" w14:textId="77777777" w:rsidR="00BF5DC4" w:rsidRPr="00247453" w:rsidRDefault="00BF5DC4" w:rsidP="00BF5DC4">
      <w:r w:rsidRPr="00D3782A">
        <w:t>Uncertainty does not weaken the framework; it restricts the set of conclusions that can be drawn and, in doing so, determines the appropriate interpretive and design response.</w:t>
      </w:r>
    </w:p>
    <w:p w14:paraId="62A90062" w14:textId="53925231" w:rsidR="00BF5DC4" w:rsidRPr="00247453" w:rsidRDefault="00BF5DC4">
      <w:pPr>
        <w:pStyle w:val="ListParagraph"/>
        <w:numPr>
          <w:ilvl w:val="0"/>
          <w:numId w:val="10"/>
        </w:numPr>
        <w:spacing w:before="240" w:after="240"/>
        <w:ind w:right="360"/>
        <w:contextualSpacing w:val="0"/>
      </w:pPr>
      <w:r w:rsidRPr="00C417F6">
        <w:rPr>
          <w:b/>
          <w:bCs/>
        </w:rPr>
        <w:t>B1</w:t>
      </w:r>
      <w:r>
        <w:t xml:space="preserve"> </w:t>
      </w:r>
      <w:r w:rsidRPr="00247453">
        <w:t>/</w:t>
      </w:r>
      <w:r>
        <w:t xml:space="preserve"> </w:t>
      </w:r>
      <w:r w:rsidRPr="00C417F6">
        <w:rPr>
          <w:b/>
          <w:bCs/>
        </w:rPr>
        <w:t>B2</w:t>
      </w:r>
      <w:r>
        <w:rPr>
          <w:b/>
          <w:bCs/>
        </w:rPr>
        <w:t xml:space="preserve"> </w:t>
      </w:r>
      <w:r w:rsidRPr="00D3782A">
        <w:rPr>
          <w:b/>
          <w:bCs/>
        </w:rPr>
        <w:t>(α</w:t>
      </w:r>
      <w:r w:rsidR="00AB5CE1">
        <w:rPr>
          <w:b/>
          <w:bCs/>
        </w:rPr>
        <w:t>-</w:t>
      </w:r>
      <w:r w:rsidRPr="00D3782A">
        <w:rPr>
          <w:b/>
          <w:bCs/>
        </w:rPr>
        <w:t>dominant or mixed)</w:t>
      </w:r>
      <w:r w:rsidRPr="00247453">
        <w:t xml:space="preserve">: </w:t>
      </w:r>
      <w:r w:rsidRPr="00D3782A">
        <w:t xml:space="preserve">When clinical materiality is resolved for </w:t>
      </w:r>
      <w:r w:rsidR="00476EDB">
        <w:rPr>
          <w:rFonts w:ascii="Cambria Math" w:hAnsi="Cambria Math" w:cs="Cambria Math"/>
        </w:rPr>
        <w:t>∣</w:t>
      </w:r>
      <w:r w:rsidR="00476EDB">
        <w:rPr>
          <w:rFonts w:ascii="Aptos" w:hAnsi="Aptos" w:cs="Aptos"/>
        </w:rPr>
        <w:t>Δα</w:t>
      </w:r>
      <w:r w:rsidR="00476EDB">
        <w:rPr>
          <w:rFonts w:ascii="Cambria Math" w:hAnsi="Cambria Math" w:cs="Cambria Math"/>
        </w:rPr>
        <w:t>∣</w:t>
      </w:r>
      <w:r w:rsidRPr="00D3782A">
        <w:t xml:space="preserve"> (and, in B2, for β), conclusions about biological dominance or joint effects are supported. Action may proceed on the basis of biological efficacy alone (B1) or in combination with preference</w:t>
      </w:r>
      <w:r w:rsidR="00AB5CE1">
        <w:t>-</w:t>
      </w:r>
      <w:r w:rsidRPr="00D3782A">
        <w:t>mediated effects (B2), with interpretation anchored to the identified causal structure.</w:t>
      </w:r>
    </w:p>
    <w:p w14:paraId="0880992E" w14:textId="0ED255AC" w:rsidR="00BF5DC4" w:rsidRPr="00247453" w:rsidRDefault="00BF5DC4">
      <w:pPr>
        <w:pStyle w:val="ListParagraph"/>
        <w:numPr>
          <w:ilvl w:val="0"/>
          <w:numId w:val="10"/>
        </w:numPr>
        <w:spacing w:before="240" w:after="240"/>
        <w:ind w:right="360"/>
        <w:contextualSpacing w:val="0"/>
      </w:pPr>
      <w:r w:rsidRPr="00C417F6">
        <w:rPr>
          <w:b/>
          <w:bCs/>
        </w:rPr>
        <w:t>B4</w:t>
      </w:r>
      <w:r w:rsidRPr="00D3782A">
        <w:t xml:space="preserve"> </w:t>
      </w:r>
      <w:r w:rsidRPr="00D3782A">
        <w:rPr>
          <w:b/>
          <w:bCs/>
        </w:rPr>
        <w:t>(β</w:t>
      </w:r>
      <w:r w:rsidR="00AB5CE1">
        <w:rPr>
          <w:b/>
          <w:bCs/>
        </w:rPr>
        <w:t>-</w:t>
      </w:r>
      <w:r w:rsidRPr="00D3782A">
        <w:rPr>
          <w:b/>
          <w:bCs/>
        </w:rPr>
        <w:t>dominant)</w:t>
      </w:r>
      <w:r w:rsidRPr="00247453">
        <w:t xml:space="preserve">: </w:t>
      </w:r>
      <w:r w:rsidRPr="00D3782A">
        <w:t>When biological equipoise is established and β is resolved relative to MCID, preference</w:t>
      </w:r>
      <w:r w:rsidR="00AB5CE1">
        <w:t>-</w:t>
      </w:r>
      <w:r w:rsidRPr="00D3782A">
        <w:t>mediated interpretation is supported. Action shifts accordingly toward preference</w:t>
      </w:r>
      <w:r w:rsidR="00AB5CE1">
        <w:t>-</w:t>
      </w:r>
      <w:r w:rsidRPr="00D3782A">
        <w:t xml:space="preserve">first </w:t>
      </w:r>
      <w:r w:rsidR="005C0F49">
        <w:t>decision making</w:t>
      </w:r>
      <w:r w:rsidRPr="00D3782A">
        <w:t>, where outcomes depend materially on informed treatment choice rather than biological superiority.</w:t>
      </w:r>
    </w:p>
    <w:p w14:paraId="48812A90" w14:textId="08153DDE" w:rsidR="00BF5DC4" w:rsidRPr="00247453" w:rsidRDefault="00BF5DC4">
      <w:pPr>
        <w:pStyle w:val="ListParagraph"/>
        <w:numPr>
          <w:ilvl w:val="0"/>
          <w:numId w:val="10"/>
        </w:numPr>
        <w:spacing w:before="240" w:after="60"/>
        <w:ind w:right="360"/>
        <w:contextualSpacing w:val="0"/>
      </w:pPr>
      <w:r w:rsidRPr="00C417F6">
        <w:rPr>
          <w:b/>
          <w:bCs/>
        </w:rPr>
        <w:t>B3</w:t>
      </w:r>
      <w:r>
        <w:rPr>
          <w:b/>
          <w:bCs/>
        </w:rPr>
        <w:t xml:space="preserve"> </w:t>
      </w:r>
      <w:r w:rsidRPr="00D3782A">
        <w:rPr>
          <w:b/>
          <w:bCs/>
        </w:rPr>
        <w:t>(decision</w:t>
      </w:r>
      <w:r w:rsidR="00AB5CE1">
        <w:rPr>
          <w:b/>
          <w:bCs/>
        </w:rPr>
        <w:t>-</w:t>
      </w:r>
      <w:r w:rsidRPr="00D3782A">
        <w:rPr>
          <w:b/>
          <w:bCs/>
        </w:rPr>
        <w:t>limited ambiguity)</w:t>
      </w:r>
      <w:r w:rsidRPr="00247453">
        <w:t xml:space="preserve">: </w:t>
      </w:r>
      <w:r w:rsidRPr="00D3782A">
        <w:t xml:space="preserve">When uncertainty prevents resolution of clinical materiality for </w:t>
      </w:r>
      <w:r w:rsidR="00476EDB">
        <w:rPr>
          <w:rFonts w:ascii="Cambria Math" w:hAnsi="Cambria Math" w:cs="Cambria Math"/>
        </w:rPr>
        <w:t>∣</w:t>
      </w:r>
      <w:r w:rsidR="00476EDB">
        <w:rPr>
          <w:rFonts w:ascii="Aptos" w:hAnsi="Aptos" w:cs="Aptos"/>
        </w:rPr>
        <w:t>Δα</w:t>
      </w:r>
      <w:r w:rsidR="00476EDB">
        <w:rPr>
          <w:rFonts w:ascii="Cambria Math" w:hAnsi="Cambria Math" w:cs="Cambria Math"/>
        </w:rPr>
        <w:t>∣</w:t>
      </w:r>
      <w:r w:rsidRPr="00D3782A">
        <w:t xml:space="preserve"> and/or β, interpretation is constrained:</w:t>
      </w:r>
    </w:p>
    <w:p w14:paraId="1E4AC0A3" w14:textId="77777777" w:rsidR="00BF5DC4" w:rsidRPr="00247453" w:rsidRDefault="00BF5DC4">
      <w:pPr>
        <w:pStyle w:val="ListParagraph"/>
        <w:numPr>
          <w:ilvl w:val="1"/>
          <w:numId w:val="10"/>
        </w:numPr>
        <w:ind w:right="360"/>
      </w:pPr>
      <w:r w:rsidRPr="00247453">
        <w:t>No biological dominance is supported;</w:t>
      </w:r>
    </w:p>
    <w:p w14:paraId="34CCFD64" w14:textId="77777777" w:rsidR="00BF5DC4" w:rsidRPr="00247453" w:rsidRDefault="00BF5DC4">
      <w:pPr>
        <w:pStyle w:val="ListParagraph"/>
        <w:numPr>
          <w:ilvl w:val="1"/>
          <w:numId w:val="10"/>
        </w:numPr>
        <w:ind w:right="360"/>
      </w:pPr>
      <w:r w:rsidRPr="00247453">
        <w:t>No preference dominance is supported;</w:t>
      </w:r>
    </w:p>
    <w:p w14:paraId="3721A671" w14:textId="77777777" w:rsidR="00BF5DC4" w:rsidRPr="00247453" w:rsidRDefault="00BF5DC4">
      <w:pPr>
        <w:pStyle w:val="ListParagraph"/>
        <w:numPr>
          <w:ilvl w:val="1"/>
          <w:numId w:val="10"/>
        </w:numPr>
        <w:ind w:right="360"/>
      </w:pPr>
      <w:r>
        <w:t>Conclusions are limited to diagnosing limitations in identification, precision, or design. The appropriate response is not interpretation, but design strengthening—through improved instrument strength, increased sample size, enhanced measurement, or stratified analysis—to resolve the underlying causal structure.</w:t>
      </w:r>
    </w:p>
    <w:p w14:paraId="20FB10F9" w14:textId="0A00E94D" w:rsidR="00BF5DC4" w:rsidRDefault="00BF5DC4" w:rsidP="00BF5DC4">
      <w:r w:rsidRPr="00D3782A">
        <w:t>Decision</w:t>
      </w:r>
      <w:r w:rsidR="00AB5CE1">
        <w:t>-</w:t>
      </w:r>
      <w:r w:rsidRPr="00D3782A">
        <w:t xml:space="preserve">limited ambiguity is therefore a valid evidentiary outcome rather than a failure of trial conduct or analysis. It reflects a principled boundary on inference imposed by uncertainty relative to clinical materiality. Importantly, asymmetric uncertainty does not alter regime classification: unless the confidence intervals for </w:t>
      </w:r>
      <w:r w:rsidR="00476EDB">
        <w:rPr>
          <w:rFonts w:ascii="Cambria Math" w:hAnsi="Cambria Math" w:cs="Cambria Math"/>
        </w:rPr>
        <w:t>∣</w:t>
      </w:r>
      <w:r w:rsidR="00476EDB">
        <w:rPr>
          <w:rFonts w:ascii="Aptos" w:hAnsi="Aptos" w:cs="Aptos"/>
        </w:rPr>
        <w:t>Δα</w:t>
      </w:r>
      <w:r w:rsidR="00476EDB">
        <w:rPr>
          <w:rFonts w:ascii="Cambria Math" w:hAnsi="Cambria Math" w:cs="Cambria Math"/>
        </w:rPr>
        <w:t>∣</w:t>
      </w:r>
      <w:r w:rsidRPr="00D3782A">
        <w:t xml:space="preserve"> and β resolve their position relative to MCID, interpretation remains decision</w:t>
      </w:r>
      <w:r w:rsidR="00AB5CE1">
        <w:t>-</w:t>
      </w:r>
      <w:r w:rsidRPr="00D3782A">
        <w:t>limited by rule. In this way, uncertainty is propagated not into weaker conclusions, but into appropriately restricted ones, preserving alignment between evidence, causal structure, and clinical action.</w:t>
      </w:r>
    </w:p>
    <w:p w14:paraId="5AC6E4B7" w14:textId="77777777" w:rsidR="00BF5DC4" w:rsidRDefault="00BF5DC4" w:rsidP="00BF5DC4">
      <w:pPr>
        <w:jc w:val="left"/>
        <w:rPr>
          <w:rFonts w:asciiTheme="majorHAnsi" w:eastAsiaTheme="majorEastAsia" w:hAnsiTheme="majorHAnsi" w:cstheme="majorBidi"/>
          <w:b/>
          <w:bCs/>
          <w:color w:val="0F4761" w:themeColor="accent1" w:themeShade="BF"/>
          <w:sz w:val="40"/>
          <w:szCs w:val="40"/>
        </w:rPr>
      </w:pPr>
      <w:r>
        <w:rPr>
          <w:b/>
          <w:bCs/>
        </w:rPr>
        <w:br w:type="page"/>
      </w:r>
    </w:p>
    <w:p w14:paraId="1B412C88" w14:textId="77777777" w:rsidR="00BF5DC4" w:rsidRDefault="00BF5DC4" w:rsidP="00BF5DC4">
      <w:pPr>
        <w:pStyle w:val="Heading1"/>
        <w:jc w:val="left"/>
        <w:rPr>
          <w:sz w:val="36"/>
          <w:szCs w:val="36"/>
        </w:rPr>
      </w:pPr>
      <w:bookmarkStart w:id="58" w:name="_Toc230299623"/>
      <w:r>
        <w:rPr>
          <w:b/>
          <w:bCs/>
        </w:rPr>
        <w:lastRenderedPageBreak/>
        <w:t xml:space="preserve">S8 </w:t>
      </w:r>
      <w:r w:rsidRPr="00CC05D6">
        <w:rPr>
          <w:sz w:val="36"/>
          <w:szCs w:val="36"/>
        </w:rPr>
        <w:t>Evolution of β Across Trial Generations</w:t>
      </w:r>
      <w:bookmarkEnd w:id="58"/>
    </w:p>
    <w:p w14:paraId="2E560E09" w14:textId="10E1102F" w:rsidR="00BF5DC4" w:rsidRDefault="00BF5DC4" w:rsidP="00BF5DC4">
      <w:r w:rsidRPr="00AF2DC1">
        <w:t xml:space="preserve">To make the novelty explicit, it helps to place β in the lineage of trial designs (Table S5a). The progression is not simply greater attention to preference, but a sequence: divergence without decomposition, accommodation without estimation, </w:t>
      </w:r>
      <w:r w:rsidRPr="00AF2DC1">
        <w:rPr>
          <w:i/>
          <w:iCs/>
        </w:rPr>
        <w:t>post hoc</w:t>
      </w:r>
      <w:r w:rsidRPr="00AF2DC1">
        <w:t xml:space="preserve"> β quantification, and finally prospective β identification under prespecified rules. β</w:t>
      </w:r>
      <w:r w:rsidR="00AB5CE1">
        <w:t>-</w:t>
      </w:r>
      <w:r w:rsidRPr="00AF2DC1">
        <w:t>identifying trials are thus not preference</w:t>
      </w:r>
      <w:r w:rsidR="00AB5CE1">
        <w:t>-</w:t>
      </w:r>
      <w:r w:rsidRPr="00AF2DC1">
        <w:t>sensitive trials in richer language, but a distinct epistemic stage in which preference enters identification, interpretation, and design.</w:t>
      </w:r>
      <w:r w:rsidRPr="00AF2DC1">
        <w:rPr>
          <w:vertAlign w:val="superscript"/>
        </w:rPr>
        <w:t>S16–S18,S3,S4,S10,S11</w:t>
      </w:r>
    </w:p>
    <w:p w14:paraId="366544B0" w14:textId="4B9C1371" w:rsidR="00BF5DC4" w:rsidRDefault="00BF5DC4" w:rsidP="00BF5DC4">
      <w:r w:rsidRPr="00AF2DC1">
        <w:t>Earlier paradigms revealed parts of the structure, but did not fully read it. In Chalmers, divergence between randomized and non</w:t>
      </w:r>
      <w:r w:rsidR="00AB5CE1">
        <w:t>-</w:t>
      </w:r>
      <w:r w:rsidRPr="00AF2DC1">
        <w:t>randomized estimates was visible, but not decomposed, leaving ambiguity instead of causal structure.</w:t>
      </w:r>
      <w:r w:rsidRPr="00AF2DC1">
        <w:rPr>
          <w:vertAlign w:val="superscript"/>
        </w:rPr>
        <w:t>S16</w:t>
      </w:r>
      <w:r w:rsidRPr="00AF2DC1">
        <w:t xml:space="preserve"> Later preference</w:t>
      </w:r>
      <w:r w:rsidR="00AB5CE1">
        <w:t>-</w:t>
      </w:r>
      <w:r w:rsidRPr="00AF2DC1">
        <w:t>aware designs, including ProtecT and related preference</w:t>
      </w:r>
      <w:r w:rsidR="00AB5CE1">
        <w:t>-</w:t>
      </w:r>
      <w:r w:rsidRPr="00AF2DC1">
        <w:t>trial approaches, acknowledged or accommodated heterogeneity in uptake, yet did not define preference as an outcome</w:t>
      </w:r>
      <w:r w:rsidR="00AB5CE1">
        <w:t>-</w:t>
      </w:r>
      <w:r w:rsidRPr="00AF2DC1">
        <w:t>scale estimand.</w:t>
      </w:r>
      <w:r w:rsidRPr="00AF2DC1">
        <w:rPr>
          <w:vertAlign w:val="superscript"/>
        </w:rPr>
        <w:t>S17,S18</w:t>
      </w:r>
      <w:r w:rsidRPr="00AF2DC1">
        <w:t xml:space="preserve"> They recognized that choice mattered in practice, but lacked a formal language for separating biology, selection, and preference</w:t>
      </w:r>
      <w:r w:rsidR="00AB5CE1">
        <w:t>-</w:t>
      </w:r>
      <w:r w:rsidRPr="00AF2DC1">
        <w:t>mediated effects.</w:t>
      </w:r>
      <w:r w:rsidRPr="00AF2DC1">
        <w:rPr>
          <w:vertAlign w:val="superscript"/>
        </w:rPr>
        <w:t>S16–S18</w:t>
      </w:r>
    </w:p>
    <w:p w14:paraId="6608F079" w14:textId="255C6E57" w:rsidR="00BF5DC4" w:rsidRDefault="00BF5DC4" w:rsidP="00BF5DC4">
      <w:r w:rsidRPr="00AF2DC1">
        <w:t xml:space="preserve">SPORT is transitional in this sequence. Randomized assignment, observed uptake, and a common outcome scale made α and β separable in principle, and later </w:t>
      </w:r>
      <w:r w:rsidR="005C0F49">
        <w:t>analyze</w:t>
      </w:r>
      <w:r w:rsidRPr="00AF2DC1">
        <w:t>s quantified β directly from the data.</w:t>
      </w:r>
      <w:r>
        <w:t xml:space="preserve"> </w:t>
      </w:r>
      <w:r w:rsidRPr="00AF2DC1">
        <w:t>Yet SPORT neither prespecified β nor classified regimes prospectively, nor did it supply the rule structure needed once Δα proved small. The trial was structurally legible but conventionally unread: its causal architecture emerged only retrospectively and only outside α</w:t>
      </w:r>
      <w:r w:rsidR="00AB5CE1">
        <w:t>-</w:t>
      </w:r>
      <w:r w:rsidRPr="00AF2DC1">
        <w:t>centric norms.</w:t>
      </w:r>
      <w:r w:rsidRPr="00AF2DC1">
        <w:rPr>
          <w:vertAlign w:val="superscript"/>
        </w:rPr>
        <w:t>S3,S4,S10,S11</w:t>
      </w:r>
    </w:p>
    <w:p w14:paraId="7FFE384E" w14:textId="6A5F9CE0" w:rsidR="00BF5DC4" w:rsidRDefault="00BF5DC4" w:rsidP="00BF5DC4">
      <w:r w:rsidRPr="00AF2DC1">
        <w:t>What distinguishes β</w:t>
      </w:r>
      <w:r w:rsidR="00AB5CE1">
        <w:t>-</w:t>
      </w:r>
      <w:r w:rsidRPr="00AF2DC1">
        <w:t>identifying trials is not greater realism or sharper attention to preference. It is the prospective integration of axioms, rules, and methods before results are read. Table S5b makes this plain: the present framework differs from prior paradigms not by being “more pragmatic,” but by coordinating structural claims, interpretive rules, and analytic methods in advance. Under this structure, crossover changes status: no longer bias or nuisance, but potential identifying variation when the relevant conditions hold.</w:t>
      </w:r>
      <w:r w:rsidRPr="00AF2DC1">
        <w:rPr>
          <w:vertAlign w:val="superscript"/>
        </w:rPr>
        <w:t>S3,S4,S16–S18</w:t>
      </w:r>
    </w:p>
    <w:p w14:paraId="56C30D2F" w14:textId="16767307" w:rsidR="00BF5DC4" w:rsidRDefault="00BF5DC4" w:rsidP="00BF5DC4">
      <w:r w:rsidRPr="00AF2DC1">
        <w:t>This progression also shows why β</w:t>
      </w:r>
      <w:r w:rsidR="00AB5CE1">
        <w:t>-</w:t>
      </w:r>
      <w:r w:rsidRPr="00AF2DC1">
        <w:t xml:space="preserve">identifying trials grow more important as </w:t>
      </w:r>
      <w:r w:rsidR="00476EDB">
        <w:rPr>
          <w:rFonts w:ascii="Cambria Math" w:hAnsi="Cambria Math" w:cs="Cambria Math"/>
        </w:rPr>
        <w:t>∣</w:t>
      </w:r>
      <w:r w:rsidR="00476EDB">
        <w:rPr>
          <w:rFonts w:ascii="Aptos" w:hAnsi="Aptos" w:cs="Aptos"/>
        </w:rPr>
        <w:t>Δα</w:t>
      </w:r>
      <w:r w:rsidR="00476EDB">
        <w:rPr>
          <w:rFonts w:ascii="Cambria Math" w:hAnsi="Cambria Math" w:cs="Cambria Math"/>
        </w:rPr>
        <w:t>∣</w:t>
      </w:r>
      <w:r w:rsidRPr="00AF2DC1">
        <w:t xml:space="preserve"> narrows. Where biological contrasts are large, α</w:t>
      </w:r>
      <w:r w:rsidR="00AB5CE1">
        <w:t>-</w:t>
      </w:r>
      <w:r w:rsidRPr="00AF2DC1">
        <w:t>centric trials suffice because biology dominates outcomes. But as complexity rises and trade</w:t>
      </w:r>
      <w:r w:rsidR="00AB5CE1">
        <w:t>-</w:t>
      </w:r>
      <w:r w:rsidRPr="00AF2DC1">
        <w:t>offs become more preference</w:t>
      </w:r>
      <w:r w:rsidR="00AB5CE1">
        <w:t>-</w:t>
      </w:r>
      <w:r w:rsidRPr="00AF2DC1">
        <w:t>sensitive, α</w:t>
      </w:r>
      <w:r w:rsidR="00AB5CE1">
        <w:t>-</w:t>
      </w:r>
      <w:r w:rsidRPr="00AF2DC1">
        <w:t>only interpretation grows less adequate. The question is no longer only which treatment works better biologically, but when outcomes depend materially on who chooses what. β</w:t>
      </w:r>
      <w:r w:rsidR="00AB5CE1">
        <w:t>-</w:t>
      </w:r>
      <w:r w:rsidRPr="00AF2DC1">
        <w:t>identifying trials answer that question prospectively by making preference</w:t>
      </w:r>
      <w:r w:rsidR="00AB5CE1">
        <w:t>-</w:t>
      </w:r>
      <w:r w:rsidRPr="00AF2DC1">
        <w:t>mediated effects visible on the same clinical scale as biological effects and linking them to rule</w:t>
      </w:r>
      <w:r w:rsidR="00AB5CE1">
        <w:t>-</w:t>
      </w:r>
      <w:r w:rsidRPr="00AF2DC1">
        <w:t>governed interpretation.</w:t>
      </w:r>
      <w:r w:rsidRPr="00AF2DC1">
        <w:rPr>
          <w:vertAlign w:val="superscript"/>
        </w:rPr>
        <w:t xml:space="preserve"> S3,S4</w:t>
      </w:r>
    </w:p>
    <w:p w14:paraId="13DD9FDD" w14:textId="77777777" w:rsidR="00BF5DC4" w:rsidRDefault="00BF5DC4" w:rsidP="00BF5DC4">
      <w:pPr>
        <w:pStyle w:val="FigureTitle"/>
      </w:pPr>
      <w:r w:rsidRPr="001F55FF">
        <w:rPr>
          <w:b/>
          <w:bCs/>
        </w:rPr>
        <w:lastRenderedPageBreak/>
        <w:t>Table</w:t>
      </w:r>
      <w:r w:rsidRPr="001F55FF">
        <w:rPr>
          <w:rFonts w:ascii="Arial" w:hAnsi="Arial" w:cs="Arial"/>
          <w:b/>
          <w:bCs/>
        </w:rPr>
        <w:t> </w:t>
      </w:r>
      <w:r>
        <w:rPr>
          <w:rFonts w:ascii="Arial" w:hAnsi="Arial" w:cs="Arial"/>
          <w:b/>
          <w:bCs/>
        </w:rPr>
        <w:t>S</w:t>
      </w:r>
      <w:r>
        <w:rPr>
          <w:b/>
          <w:bCs/>
        </w:rPr>
        <w:t>5a</w:t>
      </w:r>
      <w:r w:rsidRPr="001F55FF">
        <w:t xml:space="preserve">. Progression of </w:t>
      </w:r>
      <w:r w:rsidRPr="001F55FF">
        <w:rPr>
          <w:rFonts w:ascii="Aptos" w:hAnsi="Aptos" w:cs="Aptos"/>
        </w:rPr>
        <w:t>β</w:t>
      </w:r>
      <w:r w:rsidRPr="001F55FF">
        <w:t xml:space="preserve"> Across Trial Generations</w:t>
      </w:r>
    </w:p>
    <w:tbl>
      <w:tblPr>
        <w:tblW w:w="9262" w:type="dxa"/>
        <w:jc w:val="center"/>
        <w:tblLayout w:type="fixed"/>
        <w:tblCellMar>
          <w:left w:w="0" w:type="dxa"/>
          <w:right w:w="0" w:type="dxa"/>
        </w:tblCellMar>
        <w:tblLook w:val="04A0" w:firstRow="1" w:lastRow="0" w:firstColumn="1" w:lastColumn="0" w:noHBand="0" w:noVBand="1"/>
      </w:tblPr>
      <w:tblGrid>
        <w:gridCol w:w="1612"/>
        <w:gridCol w:w="1260"/>
        <w:gridCol w:w="1440"/>
        <w:gridCol w:w="1530"/>
        <w:gridCol w:w="1628"/>
        <w:gridCol w:w="1792"/>
      </w:tblGrid>
      <w:tr w:rsidR="00BF5DC4" w:rsidRPr="0043532D" w14:paraId="6D70E799" w14:textId="77777777" w:rsidTr="008B40F2">
        <w:trPr>
          <w:trHeight w:val="939"/>
          <w:tblHeader/>
          <w:jc w:val="center"/>
        </w:trPr>
        <w:tc>
          <w:tcPr>
            <w:tcW w:w="1612" w:type="dxa"/>
            <w:tcBorders>
              <w:bottom w:val="single" w:sz="36" w:space="0" w:color="A6A6A6" w:themeColor="background1" w:themeShade="A6"/>
              <w:right w:val="single" w:sz="6" w:space="0" w:color="BFBFBF" w:themeColor="background1" w:themeShade="BF"/>
            </w:tcBorders>
            <w:vAlign w:val="bottom"/>
            <w:hideMark/>
          </w:tcPr>
          <w:p w14:paraId="384AA851" w14:textId="77777777" w:rsidR="00BF5DC4" w:rsidRPr="0043532D" w:rsidRDefault="00BF5DC4" w:rsidP="00430B63">
            <w:pPr>
              <w:pStyle w:val="Table-Text"/>
              <w:ind w:left="72" w:rightChars="72" w:right="173"/>
              <w:rPr>
                <w:sz w:val="20"/>
                <w:szCs w:val="20"/>
              </w:rPr>
            </w:pPr>
          </w:p>
        </w:tc>
        <w:tc>
          <w:tcPr>
            <w:tcW w:w="1260" w:type="dxa"/>
            <w:tcBorders>
              <w:top w:val="single" w:sz="6" w:space="0" w:color="BFBFBF" w:themeColor="background1" w:themeShade="BF"/>
              <w:left w:val="single" w:sz="6" w:space="0" w:color="BFBFBF" w:themeColor="background1" w:themeShade="BF"/>
              <w:bottom w:val="single" w:sz="36" w:space="0" w:color="A6A6A6" w:themeColor="background1" w:themeShade="A6"/>
              <w:right w:val="single" w:sz="6" w:space="0" w:color="A6A6A6" w:themeColor="background1" w:themeShade="A6"/>
            </w:tcBorders>
            <w:shd w:val="clear" w:color="auto" w:fill="F5F5F5"/>
            <w:vAlign w:val="bottom"/>
            <w:hideMark/>
          </w:tcPr>
          <w:p w14:paraId="23280CC2" w14:textId="52787C75" w:rsidR="00BF5DC4" w:rsidRPr="0043532D" w:rsidRDefault="00BF5DC4" w:rsidP="00430B63">
            <w:pPr>
              <w:pStyle w:val="Table-Text"/>
              <w:ind w:left="72" w:rightChars="72" w:right="173"/>
              <w:rPr>
                <w:sz w:val="20"/>
                <w:szCs w:val="20"/>
              </w:rPr>
            </w:pPr>
            <w:r w:rsidRPr="0043532D">
              <w:rPr>
                <w:sz w:val="20"/>
                <w:szCs w:val="20"/>
              </w:rPr>
              <w:t xml:space="preserve">Chalmers </w:t>
            </w:r>
            <w:r w:rsidRPr="008B40F2">
              <w:rPr>
                <w:b w:val="0"/>
                <w:bCs w:val="0"/>
                <w:sz w:val="18"/>
                <w:szCs w:val="18"/>
              </w:rPr>
              <w:t>(1981)</w:t>
            </w:r>
          </w:p>
        </w:tc>
        <w:tc>
          <w:tcPr>
            <w:tcW w:w="1440" w:type="dxa"/>
            <w:tcBorders>
              <w:top w:val="single" w:sz="6" w:space="0" w:color="BFBFBF" w:themeColor="background1" w:themeShade="BF"/>
              <w:left w:val="single" w:sz="6" w:space="0" w:color="A6A6A6" w:themeColor="background1" w:themeShade="A6"/>
              <w:bottom w:val="single" w:sz="36" w:space="0" w:color="A6A6A6" w:themeColor="background1" w:themeShade="A6"/>
              <w:right w:val="single" w:sz="6" w:space="0" w:color="A6A6A6" w:themeColor="background1" w:themeShade="A6"/>
            </w:tcBorders>
            <w:shd w:val="clear" w:color="auto" w:fill="F5F5F5"/>
            <w:vAlign w:val="bottom"/>
            <w:hideMark/>
          </w:tcPr>
          <w:p w14:paraId="527E4671" w14:textId="734B84F8" w:rsidR="00BF5DC4" w:rsidRPr="0043532D" w:rsidRDefault="00BF5DC4" w:rsidP="00430B63">
            <w:pPr>
              <w:pStyle w:val="Table-Text"/>
              <w:ind w:left="72" w:rightChars="72" w:right="173"/>
              <w:rPr>
                <w:sz w:val="20"/>
                <w:szCs w:val="20"/>
              </w:rPr>
            </w:pPr>
            <w:r w:rsidRPr="0043532D">
              <w:rPr>
                <w:sz w:val="20"/>
                <w:szCs w:val="20"/>
              </w:rPr>
              <w:t>ProtecT</w:t>
            </w:r>
            <w:r>
              <w:rPr>
                <w:sz w:val="20"/>
                <w:szCs w:val="20"/>
                <w:vertAlign w:val="superscript"/>
              </w:rPr>
              <w:t xml:space="preserve"> </w:t>
            </w:r>
          </w:p>
        </w:tc>
        <w:tc>
          <w:tcPr>
            <w:tcW w:w="1530" w:type="dxa"/>
            <w:tcBorders>
              <w:top w:val="single" w:sz="6" w:space="0" w:color="BFBFBF" w:themeColor="background1" w:themeShade="BF"/>
              <w:left w:val="single" w:sz="6" w:space="0" w:color="A6A6A6" w:themeColor="background1" w:themeShade="A6"/>
              <w:bottom w:val="single" w:sz="36" w:space="0" w:color="A6A6A6" w:themeColor="background1" w:themeShade="A6"/>
              <w:right w:val="single" w:sz="6" w:space="0" w:color="A6A6A6" w:themeColor="background1" w:themeShade="A6"/>
            </w:tcBorders>
            <w:shd w:val="clear" w:color="auto" w:fill="F5F5F5"/>
            <w:vAlign w:val="bottom"/>
            <w:hideMark/>
          </w:tcPr>
          <w:p w14:paraId="51614054" w14:textId="33391096" w:rsidR="00BF5DC4" w:rsidRPr="0043532D" w:rsidRDefault="00BF5DC4" w:rsidP="00430B63">
            <w:pPr>
              <w:pStyle w:val="Table-Text"/>
              <w:ind w:left="72" w:rightChars="72" w:right="173"/>
              <w:rPr>
                <w:sz w:val="20"/>
                <w:szCs w:val="20"/>
              </w:rPr>
            </w:pPr>
            <w:r w:rsidRPr="0043532D">
              <w:rPr>
                <w:sz w:val="20"/>
                <w:szCs w:val="20"/>
              </w:rPr>
              <w:t>SPORT</w:t>
            </w:r>
          </w:p>
        </w:tc>
        <w:tc>
          <w:tcPr>
            <w:tcW w:w="1628" w:type="dxa"/>
            <w:tcBorders>
              <w:top w:val="single" w:sz="6" w:space="0" w:color="BFBFBF" w:themeColor="background1" w:themeShade="BF"/>
              <w:left w:val="single" w:sz="6" w:space="0" w:color="A6A6A6" w:themeColor="background1" w:themeShade="A6"/>
              <w:bottom w:val="single" w:sz="36" w:space="0" w:color="A6A6A6" w:themeColor="background1" w:themeShade="A6"/>
              <w:right w:val="single" w:sz="6" w:space="0" w:color="A6A6A6" w:themeColor="background1" w:themeShade="A6"/>
            </w:tcBorders>
            <w:shd w:val="clear" w:color="auto" w:fill="F5F5F5"/>
            <w:vAlign w:val="bottom"/>
            <w:hideMark/>
          </w:tcPr>
          <w:p w14:paraId="1AEDCA35" w14:textId="5BDE2336" w:rsidR="00BF5DC4" w:rsidRPr="0043532D" w:rsidRDefault="00BF5DC4" w:rsidP="00430B63">
            <w:pPr>
              <w:pStyle w:val="Table-Text"/>
              <w:ind w:left="72" w:rightChars="72" w:right="173"/>
              <w:rPr>
                <w:sz w:val="20"/>
                <w:szCs w:val="20"/>
              </w:rPr>
            </w:pPr>
            <w:r w:rsidRPr="0043532D">
              <w:rPr>
                <w:sz w:val="20"/>
                <w:szCs w:val="20"/>
              </w:rPr>
              <w:t>β</w:t>
            </w:r>
            <w:r w:rsidR="00AB5CE1">
              <w:rPr>
                <w:sz w:val="20"/>
                <w:szCs w:val="20"/>
              </w:rPr>
              <w:t>-</w:t>
            </w:r>
            <w:r w:rsidRPr="0043532D">
              <w:rPr>
                <w:sz w:val="20"/>
                <w:szCs w:val="20"/>
              </w:rPr>
              <w:t>Quantifying Secondary Analyses</w:t>
            </w:r>
          </w:p>
        </w:tc>
        <w:tc>
          <w:tcPr>
            <w:tcW w:w="1792" w:type="dxa"/>
            <w:tcBorders>
              <w:top w:val="single" w:sz="6" w:space="0" w:color="BFBFBF" w:themeColor="background1" w:themeShade="BF"/>
              <w:left w:val="single" w:sz="6" w:space="0" w:color="A6A6A6" w:themeColor="background1" w:themeShade="A6"/>
              <w:bottom w:val="single" w:sz="36" w:space="0" w:color="A6A6A6" w:themeColor="background1" w:themeShade="A6"/>
              <w:right w:val="single" w:sz="6" w:space="0" w:color="BFBFBF" w:themeColor="background1" w:themeShade="BF"/>
            </w:tcBorders>
            <w:shd w:val="clear" w:color="auto" w:fill="F5F5F5"/>
            <w:vAlign w:val="bottom"/>
            <w:hideMark/>
          </w:tcPr>
          <w:p w14:paraId="2F73181D" w14:textId="4F0D7C27" w:rsidR="00BF5DC4" w:rsidRPr="0043532D" w:rsidRDefault="00BF5DC4" w:rsidP="00430B63">
            <w:pPr>
              <w:pStyle w:val="Table-Text"/>
              <w:ind w:left="72" w:rightChars="72" w:right="173"/>
              <w:rPr>
                <w:sz w:val="20"/>
                <w:szCs w:val="20"/>
              </w:rPr>
            </w:pPr>
            <w:r w:rsidRPr="0043532D">
              <w:rPr>
                <w:sz w:val="20"/>
                <w:szCs w:val="20"/>
              </w:rPr>
              <w:t>β</w:t>
            </w:r>
            <w:r w:rsidR="00AB5CE1">
              <w:rPr>
                <w:sz w:val="20"/>
                <w:szCs w:val="20"/>
              </w:rPr>
              <w:t>-</w:t>
            </w:r>
            <w:r w:rsidRPr="0043532D">
              <w:rPr>
                <w:sz w:val="20"/>
                <w:szCs w:val="20"/>
              </w:rPr>
              <w:t xml:space="preserve">Identifying Trials </w:t>
            </w:r>
            <w:r w:rsidRPr="0043532D">
              <w:rPr>
                <w:sz w:val="20"/>
                <w:szCs w:val="20"/>
              </w:rPr>
              <w:br/>
            </w:r>
            <w:r w:rsidRPr="00546449">
              <w:rPr>
                <w:b w:val="0"/>
                <w:bCs w:val="0"/>
                <w:sz w:val="18"/>
                <w:szCs w:val="18"/>
              </w:rPr>
              <w:t>(This Paper)</w:t>
            </w:r>
          </w:p>
        </w:tc>
      </w:tr>
      <w:tr w:rsidR="00BF5DC4" w:rsidRPr="000C5273" w14:paraId="2BA94C09" w14:textId="77777777" w:rsidTr="00BF5DC4">
        <w:trPr>
          <w:jc w:val="center"/>
        </w:trPr>
        <w:tc>
          <w:tcPr>
            <w:tcW w:w="1612" w:type="dxa"/>
            <w:tcBorders>
              <w:top w:val="single" w:sz="36" w:space="0" w:color="A6A6A6" w:themeColor="background1" w:themeShade="A6"/>
              <w:left w:val="single" w:sz="4" w:space="0" w:color="BFBFBF" w:themeColor="background1" w:themeShade="BF"/>
              <w:bottom w:val="single" w:sz="4" w:space="0" w:color="A6A6A6" w:themeColor="background1" w:themeShade="A6"/>
              <w:right w:val="single" w:sz="6" w:space="0" w:color="D9D9D9" w:themeColor="background1" w:themeShade="D9"/>
            </w:tcBorders>
            <w:shd w:val="clear" w:color="auto" w:fill="F2F2F2" w:themeFill="background1" w:themeFillShade="F2"/>
            <w:vAlign w:val="center"/>
            <w:hideMark/>
          </w:tcPr>
          <w:p w14:paraId="1F71DB56" w14:textId="77777777" w:rsidR="00BF5DC4" w:rsidRPr="00BD1F3F" w:rsidRDefault="00BF5DC4" w:rsidP="00430B63">
            <w:pPr>
              <w:pStyle w:val="Table-Text"/>
              <w:spacing w:before="160" w:after="160" w:line="216" w:lineRule="auto"/>
              <w:ind w:left="72" w:rightChars="72" w:right="173"/>
              <w:rPr>
                <w:rFonts w:ascii="Aptos Narrow" w:hAnsi="Aptos Narrow"/>
                <w:sz w:val="22"/>
                <w:szCs w:val="22"/>
              </w:rPr>
            </w:pPr>
            <w:r w:rsidRPr="00BD1F3F">
              <w:rPr>
                <w:rFonts w:ascii="Aptos Narrow" w:hAnsi="Aptos Narrow"/>
                <w:sz w:val="22"/>
                <w:szCs w:val="22"/>
              </w:rPr>
              <w:t xml:space="preserve">Primary </w:t>
            </w:r>
            <w:r>
              <w:rPr>
                <w:rFonts w:ascii="Aptos Narrow" w:hAnsi="Aptos Narrow"/>
                <w:sz w:val="22"/>
                <w:szCs w:val="22"/>
              </w:rPr>
              <w:br/>
            </w:r>
            <w:r w:rsidRPr="00BD1F3F">
              <w:rPr>
                <w:rFonts w:ascii="Aptos Narrow" w:hAnsi="Aptos Narrow"/>
                <w:sz w:val="22"/>
                <w:szCs w:val="22"/>
              </w:rPr>
              <w:t>aim</w:t>
            </w:r>
          </w:p>
        </w:tc>
        <w:tc>
          <w:tcPr>
            <w:tcW w:w="1260" w:type="dxa"/>
            <w:tcBorders>
              <w:top w:val="single" w:sz="36" w:space="0" w:color="A6A6A6" w:themeColor="background1" w:themeShade="A6"/>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000000" w:themeFill="text1"/>
            <w:vAlign w:val="center"/>
            <w:hideMark/>
          </w:tcPr>
          <w:p w14:paraId="6DF8245E" w14:textId="77777777" w:rsidR="00BF5DC4" w:rsidRPr="00546449" w:rsidRDefault="00BF5DC4" w:rsidP="00430B63">
            <w:pPr>
              <w:pStyle w:val="Table-Text"/>
              <w:ind w:left="43" w:right="43"/>
              <w:rPr>
                <w:rFonts w:ascii="Aptos Narrow" w:hAnsi="Aptos Narrow"/>
                <w:b w:val="0"/>
                <w:bCs w:val="0"/>
                <w:color w:val="FFFFFF" w:themeColor="background1"/>
                <w:sz w:val="22"/>
                <w:szCs w:val="22"/>
              </w:rPr>
            </w:pPr>
            <w:r w:rsidRPr="00546449">
              <w:rPr>
                <w:rFonts w:ascii="Aptos Narrow" w:hAnsi="Aptos Narrow"/>
                <w:b w:val="0"/>
                <w:bCs w:val="0"/>
                <w:color w:val="FFFFFF" w:themeColor="background1"/>
                <w:sz w:val="22"/>
                <w:szCs w:val="22"/>
              </w:rPr>
              <w:t>Compare designs</w:t>
            </w:r>
          </w:p>
        </w:tc>
        <w:tc>
          <w:tcPr>
            <w:tcW w:w="1440" w:type="dxa"/>
            <w:tcBorders>
              <w:top w:val="single" w:sz="36" w:space="0" w:color="A6A6A6" w:themeColor="background1" w:themeShade="A6"/>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7F7F7F" w:themeFill="text1" w:themeFillTint="80"/>
            <w:vAlign w:val="center"/>
            <w:hideMark/>
          </w:tcPr>
          <w:p w14:paraId="639817D7" w14:textId="77777777" w:rsidR="00BF5DC4" w:rsidRPr="00546449" w:rsidRDefault="00BF5DC4" w:rsidP="00430B63">
            <w:pPr>
              <w:pStyle w:val="Table-Text"/>
              <w:ind w:left="43" w:right="43"/>
              <w:rPr>
                <w:rFonts w:ascii="Aptos Narrow" w:hAnsi="Aptos Narrow"/>
                <w:b w:val="0"/>
                <w:bCs w:val="0"/>
                <w:color w:val="FFFFFF" w:themeColor="background1"/>
                <w:sz w:val="22"/>
                <w:szCs w:val="22"/>
              </w:rPr>
            </w:pPr>
            <w:r w:rsidRPr="00546449">
              <w:rPr>
                <w:rFonts w:ascii="Aptos Narrow" w:hAnsi="Aptos Narrow"/>
                <w:b w:val="0"/>
                <w:bCs w:val="0"/>
                <w:color w:val="FFFFFF" w:themeColor="background1"/>
                <w:sz w:val="22"/>
                <w:szCs w:val="22"/>
              </w:rPr>
              <w:t>Compare treatments</w:t>
            </w:r>
          </w:p>
        </w:tc>
        <w:tc>
          <w:tcPr>
            <w:tcW w:w="1530" w:type="dxa"/>
            <w:tcBorders>
              <w:top w:val="single" w:sz="36" w:space="0" w:color="A6A6A6" w:themeColor="background1" w:themeShade="A6"/>
              <w:left w:val="single" w:sz="6" w:space="0" w:color="D9D9D9" w:themeColor="background1" w:themeShade="D9"/>
              <w:bottom w:val="single" w:sz="6" w:space="0" w:color="E6E6E6"/>
              <w:right w:val="single" w:sz="6" w:space="0" w:color="E6E6E6"/>
            </w:tcBorders>
            <w:vAlign w:val="center"/>
            <w:hideMark/>
          </w:tcPr>
          <w:p w14:paraId="5CD7904F" w14:textId="77777777" w:rsidR="00BF5DC4" w:rsidRPr="00546449" w:rsidRDefault="00BF5DC4" w:rsidP="00430B63">
            <w:pPr>
              <w:pStyle w:val="Table-Text"/>
              <w:ind w:left="43" w:right="43"/>
              <w:rPr>
                <w:rFonts w:ascii="Aptos Narrow" w:hAnsi="Aptos Narrow"/>
                <w:b w:val="0"/>
                <w:bCs w:val="0"/>
                <w:sz w:val="22"/>
                <w:szCs w:val="22"/>
              </w:rPr>
            </w:pPr>
            <w:r w:rsidRPr="00546449">
              <w:rPr>
                <w:rFonts w:ascii="Aptos Narrow" w:hAnsi="Aptos Narrow"/>
                <w:b w:val="0"/>
                <w:bCs w:val="0"/>
                <w:sz w:val="22"/>
                <w:szCs w:val="22"/>
              </w:rPr>
              <w:t>Compare treatment strategies</w:t>
            </w:r>
          </w:p>
        </w:tc>
        <w:tc>
          <w:tcPr>
            <w:tcW w:w="1628" w:type="dxa"/>
            <w:tcBorders>
              <w:top w:val="single" w:sz="36" w:space="0" w:color="A6A6A6" w:themeColor="background1" w:themeShade="A6"/>
              <w:left w:val="single" w:sz="6" w:space="0" w:color="E6E6E6"/>
              <w:bottom w:val="single" w:sz="6" w:space="0" w:color="E6E6E6"/>
              <w:right w:val="single" w:sz="6" w:space="0" w:color="E6E6E6"/>
            </w:tcBorders>
            <w:shd w:val="clear" w:color="auto" w:fill="DFC9EF"/>
            <w:vAlign w:val="center"/>
            <w:hideMark/>
          </w:tcPr>
          <w:p w14:paraId="54C8148B" w14:textId="77777777" w:rsidR="00BF5DC4" w:rsidRPr="00546449" w:rsidRDefault="00BF5DC4" w:rsidP="00430B63">
            <w:pPr>
              <w:pStyle w:val="Table-Text"/>
              <w:ind w:left="43" w:right="43"/>
              <w:rPr>
                <w:rFonts w:ascii="Aptos Narrow" w:hAnsi="Aptos Narrow"/>
                <w:b w:val="0"/>
                <w:bCs w:val="0"/>
                <w:sz w:val="22"/>
                <w:szCs w:val="22"/>
              </w:rPr>
            </w:pPr>
            <w:r w:rsidRPr="00546449">
              <w:rPr>
                <w:rFonts w:ascii="Aptos Narrow" w:hAnsi="Aptos Narrow"/>
                <w:b w:val="0"/>
                <w:bCs w:val="0"/>
                <w:sz w:val="22"/>
                <w:szCs w:val="22"/>
              </w:rPr>
              <w:t>Decompose divergence</w:t>
            </w:r>
          </w:p>
        </w:tc>
        <w:tc>
          <w:tcPr>
            <w:tcW w:w="1792" w:type="dxa"/>
            <w:tcBorders>
              <w:top w:val="single" w:sz="36" w:space="0" w:color="A6A6A6" w:themeColor="background1" w:themeShade="A6"/>
              <w:left w:val="single" w:sz="6" w:space="0" w:color="E6E6E6"/>
              <w:bottom w:val="single" w:sz="6" w:space="0" w:color="E6E6E6"/>
              <w:right w:val="single" w:sz="6" w:space="0" w:color="BFBFBF" w:themeColor="background1" w:themeShade="BF"/>
            </w:tcBorders>
            <w:shd w:val="clear" w:color="auto" w:fill="7030A0"/>
            <w:vAlign w:val="center"/>
            <w:hideMark/>
          </w:tcPr>
          <w:p w14:paraId="1AC8FD47" w14:textId="77777777" w:rsidR="00BF5DC4" w:rsidRPr="00546449" w:rsidRDefault="00BF5DC4" w:rsidP="00430B63">
            <w:pPr>
              <w:pStyle w:val="Table-Text"/>
              <w:ind w:left="43" w:right="43"/>
              <w:rPr>
                <w:rFonts w:ascii="Aptos Narrow" w:hAnsi="Aptos Narrow"/>
                <w:b w:val="0"/>
                <w:bCs w:val="0"/>
                <w:color w:val="FFFFFF" w:themeColor="background1"/>
                <w:sz w:val="22"/>
                <w:szCs w:val="22"/>
              </w:rPr>
            </w:pPr>
            <w:r w:rsidRPr="00546449">
              <w:rPr>
                <w:rFonts w:ascii="Aptos Narrow" w:hAnsi="Aptos Narrow"/>
                <w:b w:val="0"/>
                <w:bCs w:val="0"/>
                <w:color w:val="FFFFFF" w:themeColor="background1"/>
                <w:sz w:val="22"/>
                <w:szCs w:val="22"/>
              </w:rPr>
              <w:t xml:space="preserve">Identify and </w:t>
            </w:r>
            <w:r w:rsidRPr="00546449">
              <w:rPr>
                <w:rFonts w:ascii="Aptos Narrow" w:hAnsi="Aptos Narrow"/>
                <w:b w:val="0"/>
                <w:bCs w:val="0"/>
                <w:color w:val="FFFFFF" w:themeColor="background1"/>
                <w:sz w:val="22"/>
                <w:szCs w:val="22"/>
              </w:rPr>
              <w:br/>
              <w:t xml:space="preserve">interpret </w:t>
            </w:r>
            <w:r w:rsidRPr="00546449">
              <w:rPr>
                <w:rFonts w:ascii="Aptos Narrow" w:hAnsi="Aptos Narrow"/>
                <w:b w:val="0"/>
                <w:bCs w:val="0"/>
                <w:color w:val="FFFFFF" w:themeColor="background1"/>
                <w:sz w:val="22"/>
                <w:szCs w:val="22"/>
              </w:rPr>
              <w:br/>
              <w:t>causal structure</w:t>
            </w:r>
          </w:p>
        </w:tc>
      </w:tr>
      <w:tr w:rsidR="00BF5DC4" w:rsidRPr="000C5273" w14:paraId="65111B32" w14:textId="77777777" w:rsidTr="00BF5DC4">
        <w:trPr>
          <w:jc w:val="center"/>
        </w:trPr>
        <w:tc>
          <w:tcPr>
            <w:tcW w:w="1612" w:type="dxa"/>
            <w:tcBorders>
              <w:top w:val="single" w:sz="4" w:space="0" w:color="A6A6A6" w:themeColor="background1" w:themeShade="A6"/>
              <w:left w:val="single" w:sz="4" w:space="0" w:color="BFBFBF" w:themeColor="background1" w:themeShade="BF"/>
              <w:bottom w:val="single" w:sz="4" w:space="0" w:color="A6A6A6" w:themeColor="background1" w:themeShade="A6"/>
              <w:right w:val="single" w:sz="6" w:space="0" w:color="D9D9D9" w:themeColor="background1" w:themeShade="D9"/>
            </w:tcBorders>
            <w:shd w:val="clear" w:color="auto" w:fill="F2F2F2" w:themeFill="background1" w:themeFillShade="F2"/>
            <w:vAlign w:val="center"/>
            <w:hideMark/>
          </w:tcPr>
          <w:p w14:paraId="18D6B470" w14:textId="77777777" w:rsidR="00BF5DC4" w:rsidRPr="00BD1F3F" w:rsidRDefault="00BF5DC4" w:rsidP="00430B63">
            <w:pPr>
              <w:pStyle w:val="Table-Text"/>
              <w:spacing w:before="160" w:after="160" w:line="216" w:lineRule="auto"/>
              <w:ind w:left="72" w:rightChars="72" w:right="173"/>
              <w:rPr>
                <w:rFonts w:ascii="Aptos Narrow" w:hAnsi="Aptos Narrow"/>
                <w:sz w:val="22"/>
                <w:szCs w:val="22"/>
              </w:rPr>
            </w:pPr>
            <w:r w:rsidRPr="00BD1F3F">
              <w:rPr>
                <w:rFonts w:ascii="Aptos Narrow" w:hAnsi="Aptos Narrow"/>
                <w:sz w:val="22"/>
                <w:szCs w:val="22"/>
              </w:rPr>
              <w:t>Preference acknowledged</w:t>
            </w:r>
          </w:p>
        </w:tc>
        <w:tc>
          <w:tcPr>
            <w:tcW w:w="126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000000" w:themeFill="text1"/>
            <w:vAlign w:val="center"/>
            <w:hideMark/>
          </w:tcPr>
          <w:p w14:paraId="7FD4E4E1" w14:textId="77777777" w:rsidR="00BF5DC4" w:rsidRPr="00546449" w:rsidRDefault="00BF5DC4" w:rsidP="00430B63">
            <w:pPr>
              <w:pStyle w:val="Table-Text"/>
              <w:ind w:left="43" w:right="43"/>
              <w:rPr>
                <w:rFonts w:ascii="Aptos Narrow" w:hAnsi="Aptos Narrow"/>
                <w:b w:val="0"/>
                <w:bCs w:val="0"/>
                <w:color w:val="FFFFFF" w:themeColor="background1"/>
                <w:sz w:val="22"/>
                <w:szCs w:val="22"/>
              </w:rPr>
            </w:pPr>
            <w:r w:rsidRPr="00546449">
              <w:rPr>
                <w:rFonts w:ascii="Aptos Narrow" w:hAnsi="Aptos Narrow"/>
                <w:b w:val="0"/>
                <w:bCs w:val="0"/>
                <w:color w:val="FFFFFF" w:themeColor="background1"/>
                <w:sz w:val="22"/>
                <w:szCs w:val="22"/>
              </w:rPr>
              <w:t>Implicit</w:t>
            </w:r>
          </w:p>
        </w:tc>
        <w:tc>
          <w:tcPr>
            <w:tcW w:w="144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7F7F7F" w:themeFill="text1" w:themeFillTint="80"/>
            <w:vAlign w:val="center"/>
            <w:hideMark/>
          </w:tcPr>
          <w:p w14:paraId="255D94C9" w14:textId="77777777" w:rsidR="00BF5DC4" w:rsidRPr="00546449" w:rsidRDefault="00BF5DC4" w:rsidP="00430B63">
            <w:pPr>
              <w:pStyle w:val="Table-Text"/>
              <w:ind w:left="43" w:right="43"/>
              <w:rPr>
                <w:rFonts w:ascii="Aptos Narrow" w:hAnsi="Aptos Narrow"/>
                <w:b w:val="0"/>
                <w:bCs w:val="0"/>
                <w:color w:val="FFFFFF" w:themeColor="background1"/>
                <w:sz w:val="22"/>
                <w:szCs w:val="22"/>
              </w:rPr>
            </w:pPr>
            <w:r w:rsidRPr="00546449">
              <w:rPr>
                <w:rFonts w:ascii="Aptos Narrow" w:hAnsi="Aptos Narrow"/>
                <w:b w:val="0"/>
                <w:bCs w:val="0"/>
                <w:color w:val="FFFFFF" w:themeColor="background1"/>
                <w:sz w:val="22"/>
                <w:szCs w:val="22"/>
              </w:rPr>
              <w:t>Explicit</w:t>
            </w:r>
          </w:p>
        </w:tc>
        <w:tc>
          <w:tcPr>
            <w:tcW w:w="1530" w:type="dxa"/>
            <w:tcBorders>
              <w:top w:val="single" w:sz="6" w:space="0" w:color="E6E6E6"/>
              <w:left w:val="single" w:sz="6" w:space="0" w:color="D9D9D9" w:themeColor="background1" w:themeShade="D9"/>
              <w:bottom w:val="single" w:sz="6" w:space="0" w:color="E6E6E6"/>
              <w:right w:val="single" w:sz="6" w:space="0" w:color="E6E6E6"/>
            </w:tcBorders>
            <w:vAlign w:val="center"/>
            <w:hideMark/>
          </w:tcPr>
          <w:p w14:paraId="12219F0A" w14:textId="77777777" w:rsidR="00BF5DC4" w:rsidRPr="00546449" w:rsidRDefault="00BF5DC4" w:rsidP="00430B63">
            <w:pPr>
              <w:pStyle w:val="Table-Text"/>
              <w:ind w:left="43" w:right="43"/>
              <w:rPr>
                <w:rFonts w:ascii="Aptos Narrow" w:hAnsi="Aptos Narrow"/>
                <w:b w:val="0"/>
                <w:bCs w:val="0"/>
                <w:sz w:val="22"/>
                <w:szCs w:val="22"/>
              </w:rPr>
            </w:pPr>
            <w:r w:rsidRPr="00546449">
              <w:rPr>
                <w:rFonts w:ascii="Aptos Narrow" w:hAnsi="Aptos Narrow"/>
                <w:b w:val="0"/>
                <w:bCs w:val="0"/>
                <w:sz w:val="22"/>
                <w:szCs w:val="22"/>
              </w:rPr>
              <w:t>Implicit / descriptive</w:t>
            </w:r>
          </w:p>
        </w:tc>
        <w:tc>
          <w:tcPr>
            <w:tcW w:w="1628" w:type="dxa"/>
            <w:tcBorders>
              <w:top w:val="single" w:sz="6" w:space="0" w:color="E6E6E6"/>
              <w:left w:val="single" w:sz="6" w:space="0" w:color="E6E6E6"/>
              <w:bottom w:val="single" w:sz="6" w:space="0" w:color="E6E6E6"/>
              <w:right w:val="single" w:sz="6" w:space="0" w:color="E6E6E6"/>
            </w:tcBorders>
            <w:shd w:val="clear" w:color="auto" w:fill="DFC9EF"/>
            <w:vAlign w:val="center"/>
            <w:hideMark/>
          </w:tcPr>
          <w:p w14:paraId="2EDF0911" w14:textId="77777777" w:rsidR="00BF5DC4" w:rsidRPr="00546449" w:rsidRDefault="00BF5DC4" w:rsidP="00430B63">
            <w:pPr>
              <w:pStyle w:val="Table-Text"/>
              <w:ind w:left="43" w:right="43"/>
              <w:rPr>
                <w:rFonts w:ascii="Aptos Narrow" w:hAnsi="Aptos Narrow"/>
                <w:b w:val="0"/>
                <w:bCs w:val="0"/>
                <w:sz w:val="22"/>
                <w:szCs w:val="22"/>
              </w:rPr>
            </w:pPr>
            <w:r w:rsidRPr="00546449">
              <w:rPr>
                <w:rFonts w:ascii="Aptos Narrow" w:hAnsi="Aptos Narrow"/>
                <w:b w:val="0"/>
                <w:bCs w:val="0"/>
                <w:sz w:val="22"/>
                <w:szCs w:val="22"/>
              </w:rPr>
              <w:t>Explicit</w:t>
            </w:r>
          </w:p>
        </w:tc>
        <w:tc>
          <w:tcPr>
            <w:tcW w:w="1792" w:type="dxa"/>
            <w:tcBorders>
              <w:top w:val="single" w:sz="6" w:space="0" w:color="E6E6E6"/>
              <w:left w:val="single" w:sz="6" w:space="0" w:color="E6E6E6"/>
              <w:bottom w:val="single" w:sz="6" w:space="0" w:color="E6E6E6"/>
              <w:right w:val="single" w:sz="6" w:space="0" w:color="BFBFBF" w:themeColor="background1" w:themeShade="BF"/>
            </w:tcBorders>
            <w:shd w:val="clear" w:color="auto" w:fill="7030A0"/>
            <w:vAlign w:val="center"/>
            <w:hideMark/>
          </w:tcPr>
          <w:p w14:paraId="3D6BA120" w14:textId="77777777" w:rsidR="00BF5DC4" w:rsidRPr="00546449" w:rsidRDefault="00BF5DC4" w:rsidP="00430B63">
            <w:pPr>
              <w:pStyle w:val="Table-Text"/>
              <w:ind w:left="43" w:right="43"/>
              <w:rPr>
                <w:rFonts w:ascii="Aptos Narrow" w:hAnsi="Aptos Narrow"/>
                <w:b w:val="0"/>
                <w:bCs w:val="0"/>
                <w:color w:val="FFFFFF" w:themeColor="background1"/>
                <w:sz w:val="22"/>
                <w:szCs w:val="22"/>
              </w:rPr>
            </w:pPr>
            <w:r w:rsidRPr="00546449">
              <w:rPr>
                <w:rFonts w:ascii="Aptos Narrow" w:hAnsi="Aptos Narrow"/>
                <w:b w:val="0"/>
                <w:bCs w:val="0"/>
                <w:color w:val="FFFFFF" w:themeColor="background1"/>
                <w:sz w:val="22"/>
                <w:szCs w:val="22"/>
              </w:rPr>
              <w:t xml:space="preserve">Explicit and </w:t>
            </w:r>
            <w:r w:rsidRPr="00546449">
              <w:rPr>
                <w:rFonts w:ascii="Aptos Narrow" w:hAnsi="Aptos Narrow"/>
                <w:b w:val="0"/>
                <w:bCs w:val="0"/>
                <w:color w:val="FFFFFF" w:themeColor="background1"/>
                <w:sz w:val="22"/>
                <w:szCs w:val="22"/>
              </w:rPr>
              <w:br/>
              <w:t>structural</w:t>
            </w:r>
          </w:p>
        </w:tc>
      </w:tr>
      <w:tr w:rsidR="00BF5DC4" w:rsidRPr="000C5273" w14:paraId="24170869" w14:textId="77777777" w:rsidTr="00BF5DC4">
        <w:trPr>
          <w:jc w:val="center"/>
        </w:trPr>
        <w:tc>
          <w:tcPr>
            <w:tcW w:w="1612" w:type="dxa"/>
            <w:tcBorders>
              <w:top w:val="single" w:sz="4" w:space="0" w:color="A6A6A6" w:themeColor="background1" w:themeShade="A6"/>
              <w:left w:val="single" w:sz="4" w:space="0" w:color="BFBFBF" w:themeColor="background1" w:themeShade="BF"/>
              <w:bottom w:val="single" w:sz="4" w:space="0" w:color="A6A6A6" w:themeColor="background1" w:themeShade="A6"/>
              <w:right w:val="single" w:sz="6" w:space="0" w:color="D9D9D9" w:themeColor="background1" w:themeShade="D9"/>
            </w:tcBorders>
            <w:shd w:val="clear" w:color="auto" w:fill="F2F2F2" w:themeFill="background1" w:themeFillShade="F2"/>
            <w:vAlign w:val="center"/>
            <w:hideMark/>
          </w:tcPr>
          <w:p w14:paraId="5C4D2D72" w14:textId="77777777" w:rsidR="00BF5DC4" w:rsidRPr="00BD1F3F" w:rsidRDefault="00BF5DC4" w:rsidP="00430B63">
            <w:pPr>
              <w:pStyle w:val="Table-Text"/>
              <w:spacing w:before="160" w:after="160" w:line="216" w:lineRule="auto"/>
              <w:ind w:left="72" w:rightChars="72" w:right="173"/>
              <w:rPr>
                <w:rFonts w:ascii="Aptos Narrow" w:hAnsi="Aptos Narrow"/>
                <w:sz w:val="22"/>
                <w:szCs w:val="22"/>
              </w:rPr>
            </w:pPr>
            <w:r w:rsidRPr="00BD1F3F">
              <w:rPr>
                <w:rFonts w:ascii="Aptos Narrow" w:hAnsi="Aptos Narrow"/>
                <w:sz w:val="22"/>
                <w:szCs w:val="22"/>
              </w:rPr>
              <w:t>Observational contrast available</w:t>
            </w:r>
          </w:p>
        </w:tc>
        <w:tc>
          <w:tcPr>
            <w:tcW w:w="126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000000" w:themeFill="text1"/>
            <w:vAlign w:val="center"/>
            <w:hideMark/>
          </w:tcPr>
          <w:p w14:paraId="17D557EA" w14:textId="77777777" w:rsidR="00BF5DC4" w:rsidRPr="00546449" w:rsidRDefault="00BF5DC4" w:rsidP="00430B63">
            <w:pPr>
              <w:pStyle w:val="Table-Text"/>
              <w:ind w:left="43" w:right="43"/>
              <w:rPr>
                <w:rFonts w:ascii="Aptos Narrow" w:hAnsi="Aptos Narrow"/>
                <w:b w:val="0"/>
                <w:bCs w:val="0"/>
                <w:color w:val="FFFFFF" w:themeColor="background1"/>
                <w:sz w:val="22"/>
                <w:szCs w:val="22"/>
              </w:rPr>
            </w:pPr>
            <w:r w:rsidRPr="00546449">
              <w:rPr>
                <w:rFonts w:ascii="Aptos Narrow" w:hAnsi="Aptos Narrow"/>
                <w:b w:val="0"/>
                <w:bCs w:val="0"/>
                <w:color w:val="FFFFFF" w:themeColor="background1"/>
                <w:sz w:val="22"/>
                <w:szCs w:val="22"/>
              </w:rPr>
              <w:t>External</w:t>
            </w:r>
          </w:p>
        </w:tc>
        <w:tc>
          <w:tcPr>
            <w:tcW w:w="144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7F7F7F" w:themeFill="text1" w:themeFillTint="80"/>
            <w:vAlign w:val="center"/>
            <w:hideMark/>
          </w:tcPr>
          <w:p w14:paraId="6E9A7C41" w14:textId="77777777" w:rsidR="00BF5DC4" w:rsidRPr="00546449" w:rsidRDefault="00BF5DC4" w:rsidP="00430B63">
            <w:pPr>
              <w:pStyle w:val="Table-Text"/>
              <w:ind w:left="43" w:right="43"/>
              <w:rPr>
                <w:rFonts w:ascii="Aptos Narrow" w:hAnsi="Aptos Narrow"/>
                <w:b w:val="0"/>
                <w:bCs w:val="0"/>
                <w:color w:val="FFFFFF" w:themeColor="background1"/>
                <w:sz w:val="22"/>
                <w:szCs w:val="22"/>
              </w:rPr>
            </w:pPr>
            <w:r w:rsidRPr="00546449">
              <w:rPr>
                <w:rFonts w:ascii="Aptos Narrow" w:hAnsi="Aptos Narrow"/>
                <w:b w:val="0"/>
                <w:bCs w:val="0"/>
                <w:color w:val="FFFFFF" w:themeColor="background1"/>
                <w:sz w:val="22"/>
                <w:szCs w:val="22"/>
              </w:rPr>
              <w:t>Internal (switching)</w:t>
            </w:r>
          </w:p>
        </w:tc>
        <w:tc>
          <w:tcPr>
            <w:tcW w:w="1530" w:type="dxa"/>
            <w:tcBorders>
              <w:top w:val="single" w:sz="6" w:space="0" w:color="E6E6E6"/>
              <w:left w:val="single" w:sz="6" w:space="0" w:color="D9D9D9" w:themeColor="background1" w:themeShade="D9"/>
              <w:bottom w:val="single" w:sz="6" w:space="0" w:color="E6E6E6"/>
              <w:right w:val="single" w:sz="6" w:space="0" w:color="E6E6E6"/>
            </w:tcBorders>
            <w:vAlign w:val="center"/>
            <w:hideMark/>
          </w:tcPr>
          <w:p w14:paraId="379DB80F" w14:textId="77777777" w:rsidR="00BF5DC4" w:rsidRPr="00546449" w:rsidRDefault="00BF5DC4" w:rsidP="00430B63">
            <w:pPr>
              <w:pStyle w:val="Table-Text"/>
              <w:ind w:left="43" w:right="43"/>
              <w:rPr>
                <w:rFonts w:ascii="Aptos Narrow" w:hAnsi="Aptos Narrow"/>
                <w:b w:val="0"/>
                <w:bCs w:val="0"/>
                <w:sz w:val="22"/>
                <w:szCs w:val="22"/>
              </w:rPr>
            </w:pPr>
            <w:r w:rsidRPr="00546449">
              <w:rPr>
                <w:rFonts w:ascii="Aptos Narrow" w:hAnsi="Aptos Narrow"/>
                <w:b w:val="0"/>
                <w:bCs w:val="0"/>
                <w:sz w:val="22"/>
                <w:szCs w:val="22"/>
              </w:rPr>
              <w:t>Internal (crossover + cohort)</w:t>
            </w:r>
          </w:p>
        </w:tc>
        <w:tc>
          <w:tcPr>
            <w:tcW w:w="1628" w:type="dxa"/>
            <w:tcBorders>
              <w:top w:val="single" w:sz="6" w:space="0" w:color="E6E6E6"/>
              <w:left w:val="single" w:sz="6" w:space="0" w:color="E6E6E6"/>
              <w:bottom w:val="single" w:sz="6" w:space="0" w:color="E6E6E6"/>
              <w:right w:val="single" w:sz="6" w:space="0" w:color="E6E6E6"/>
            </w:tcBorders>
            <w:shd w:val="clear" w:color="auto" w:fill="DFC9EF"/>
            <w:vAlign w:val="center"/>
            <w:hideMark/>
          </w:tcPr>
          <w:p w14:paraId="38AAE766" w14:textId="77777777" w:rsidR="00BF5DC4" w:rsidRPr="00546449" w:rsidRDefault="00BF5DC4" w:rsidP="00430B63">
            <w:pPr>
              <w:pStyle w:val="Table-Text"/>
              <w:ind w:left="43" w:right="43"/>
              <w:rPr>
                <w:rFonts w:ascii="Aptos Narrow" w:hAnsi="Aptos Narrow"/>
                <w:b w:val="0"/>
                <w:bCs w:val="0"/>
                <w:sz w:val="22"/>
                <w:szCs w:val="22"/>
              </w:rPr>
            </w:pPr>
            <w:r w:rsidRPr="00546449">
              <w:rPr>
                <w:rFonts w:ascii="Aptos Narrow" w:hAnsi="Aptos Narrow"/>
                <w:b w:val="0"/>
                <w:bCs w:val="0"/>
                <w:sz w:val="22"/>
                <w:szCs w:val="22"/>
              </w:rPr>
              <w:t>Yes</w:t>
            </w:r>
          </w:p>
        </w:tc>
        <w:tc>
          <w:tcPr>
            <w:tcW w:w="1792" w:type="dxa"/>
            <w:tcBorders>
              <w:top w:val="single" w:sz="6" w:space="0" w:color="E6E6E6"/>
              <w:left w:val="single" w:sz="6" w:space="0" w:color="E6E6E6"/>
              <w:bottom w:val="single" w:sz="6" w:space="0" w:color="E6E6E6"/>
              <w:right w:val="single" w:sz="6" w:space="0" w:color="BFBFBF" w:themeColor="background1" w:themeShade="BF"/>
            </w:tcBorders>
            <w:shd w:val="clear" w:color="auto" w:fill="7030A0"/>
            <w:vAlign w:val="center"/>
            <w:hideMark/>
          </w:tcPr>
          <w:p w14:paraId="0F7C06A1" w14:textId="77777777" w:rsidR="00BF5DC4" w:rsidRPr="00546449" w:rsidRDefault="00BF5DC4" w:rsidP="00430B63">
            <w:pPr>
              <w:pStyle w:val="Table-Text"/>
              <w:ind w:left="43" w:right="43"/>
              <w:rPr>
                <w:rFonts w:ascii="Aptos Narrow" w:hAnsi="Aptos Narrow"/>
                <w:b w:val="0"/>
                <w:bCs w:val="0"/>
                <w:color w:val="FFFFFF" w:themeColor="background1"/>
                <w:sz w:val="22"/>
                <w:szCs w:val="22"/>
              </w:rPr>
            </w:pPr>
            <w:r w:rsidRPr="00546449">
              <w:rPr>
                <w:rFonts w:ascii="Aptos Narrow" w:hAnsi="Aptos Narrow"/>
                <w:b w:val="0"/>
                <w:bCs w:val="0"/>
                <w:color w:val="FFFFFF" w:themeColor="background1"/>
                <w:sz w:val="22"/>
                <w:szCs w:val="22"/>
              </w:rPr>
              <w:t xml:space="preserve">Yes </w:t>
            </w:r>
            <w:r w:rsidRPr="00546449">
              <w:rPr>
                <w:rFonts w:ascii="Aptos Narrow" w:hAnsi="Aptos Narrow"/>
                <w:b w:val="0"/>
                <w:bCs w:val="0"/>
                <w:color w:val="FFFFFF" w:themeColor="background1"/>
                <w:sz w:val="22"/>
                <w:szCs w:val="22"/>
              </w:rPr>
              <w:br/>
              <w:t>(required)</w:t>
            </w:r>
          </w:p>
        </w:tc>
      </w:tr>
      <w:tr w:rsidR="00BF5DC4" w:rsidRPr="000C5273" w14:paraId="31D10734" w14:textId="77777777" w:rsidTr="00BF5DC4">
        <w:trPr>
          <w:jc w:val="center"/>
        </w:trPr>
        <w:tc>
          <w:tcPr>
            <w:tcW w:w="1612" w:type="dxa"/>
            <w:tcBorders>
              <w:top w:val="single" w:sz="4" w:space="0" w:color="A6A6A6" w:themeColor="background1" w:themeShade="A6"/>
              <w:left w:val="single" w:sz="4" w:space="0" w:color="BFBFBF" w:themeColor="background1" w:themeShade="BF"/>
              <w:bottom w:val="single" w:sz="4" w:space="0" w:color="A6A6A6" w:themeColor="background1" w:themeShade="A6"/>
              <w:right w:val="single" w:sz="6" w:space="0" w:color="D9D9D9" w:themeColor="background1" w:themeShade="D9"/>
            </w:tcBorders>
            <w:shd w:val="clear" w:color="auto" w:fill="F2F2F2" w:themeFill="background1" w:themeFillShade="F2"/>
            <w:vAlign w:val="center"/>
            <w:hideMark/>
          </w:tcPr>
          <w:p w14:paraId="22AA6748" w14:textId="77777777" w:rsidR="00BF5DC4" w:rsidRPr="00BD1F3F" w:rsidRDefault="00BF5DC4" w:rsidP="00430B63">
            <w:pPr>
              <w:pStyle w:val="Table-Text"/>
              <w:spacing w:before="160" w:after="160" w:line="216" w:lineRule="auto"/>
              <w:ind w:left="72" w:rightChars="72" w:right="173"/>
              <w:rPr>
                <w:rFonts w:ascii="Aptos Narrow" w:hAnsi="Aptos Narrow"/>
                <w:sz w:val="22"/>
                <w:szCs w:val="22"/>
              </w:rPr>
            </w:pPr>
            <w:r w:rsidRPr="00BD1F3F">
              <w:rPr>
                <w:rFonts w:ascii="Aptos Narrow" w:hAnsi="Aptos Narrow"/>
                <w:sz w:val="22"/>
                <w:szCs w:val="22"/>
              </w:rPr>
              <w:t>β defined as estimand</w:t>
            </w:r>
          </w:p>
        </w:tc>
        <w:tc>
          <w:tcPr>
            <w:tcW w:w="126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000000" w:themeFill="text1"/>
            <w:vAlign w:val="center"/>
            <w:hideMark/>
          </w:tcPr>
          <w:p w14:paraId="7E490567" w14:textId="77777777" w:rsidR="00BF5DC4" w:rsidRPr="00546449" w:rsidRDefault="00BF5DC4" w:rsidP="00430B63">
            <w:pPr>
              <w:pStyle w:val="Table-Text"/>
              <w:ind w:left="43" w:right="43"/>
              <w:rPr>
                <w:rFonts w:ascii="Aptos Narrow" w:hAnsi="Aptos Narrow"/>
                <w:b w:val="0"/>
                <w:bCs w:val="0"/>
                <w:color w:val="FFFFFF" w:themeColor="background1"/>
                <w:sz w:val="22"/>
                <w:szCs w:val="22"/>
              </w:rPr>
            </w:pPr>
            <w:r w:rsidRPr="00546449">
              <w:rPr>
                <w:rFonts w:ascii="Aptos Narrow" w:hAnsi="Aptos Narrow"/>
                <w:b w:val="0"/>
                <w:bCs w:val="0"/>
                <w:color w:val="FFFFFF" w:themeColor="background1"/>
                <w:sz w:val="22"/>
                <w:szCs w:val="22"/>
              </w:rPr>
              <w:t>No</w:t>
            </w:r>
          </w:p>
        </w:tc>
        <w:tc>
          <w:tcPr>
            <w:tcW w:w="144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7F7F7F" w:themeFill="text1" w:themeFillTint="80"/>
            <w:vAlign w:val="center"/>
            <w:hideMark/>
          </w:tcPr>
          <w:p w14:paraId="52612EDD" w14:textId="77777777" w:rsidR="00BF5DC4" w:rsidRPr="00546449" w:rsidRDefault="00BF5DC4" w:rsidP="00430B63">
            <w:pPr>
              <w:pStyle w:val="Table-Text"/>
              <w:ind w:left="43" w:right="43"/>
              <w:rPr>
                <w:rFonts w:ascii="Aptos Narrow" w:hAnsi="Aptos Narrow"/>
                <w:b w:val="0"/>
                <w:bCs w:val="0"/>
                <w:color w:val="FFFFFF" w:themeColor="background1"/>
                <w:sz w:val="22"/>
                <w:szCs w:val="22"/>
              </w:rPr>
            </w:pPr>
            <w:r w:rsidRPr="00546449">
              <w:rPr>
                <w:rFonts w:ascii="Aptos Narrow" w:hAnsi="Aptos Narrow"/>
                <w:b w:val="0"/>
                <w:bCs w:val="0"/>
                <w:color w:val="FFFFFF" w:themeColor="background1"/>
                <w:sz w:val="22"/>
                <w:szCs w:val="22"/>
              </w:rPr>
              <w:t>No</w:t>
            </w:r>
          </w:p>
        </w:tc>
        <w:tc>
          <w:tcPr>
            <w:tcW w:w="1530" w:type="dxa"/>
            <w:tcBorders>
              <w:top w:val="single" w:sz="6" w:space="0" w:color="E6E6E6"/>
              <w:left w:val="single" w:sz="6" w:space="0" w:color="D9D9D9" w:themeColor="background1" w:themeShade="D9"/>
              <w:bottom w:val="single" w:sz="6" w:space="0" w:color="E6E6E6"/>
              <w:right w:val="single" w:sz="6" w:space="0" w:color="E6E6E6"/>
            </w:tcBorders>
            <w:vAlign w:val="center"/>
            <w:hideMark/>
          </w:tcPr>
          <w:p w14:paraId="754FA43B" w14:textId="77777777" w:rsidR="00BF5DC4" w:rsidRPr="00546449" w:rsidRDefault="00BF5DC4" w:rsidP="00430B63">
            <w:pPr>
              <w:pStyle w:val="Table-Text"/>
              <w:ind w:left="43" w:right="43"/>
              <w:rPr>
                <w:rFonts w:ascii="Aptos Narrow" w:hAnsi="Aptos Narrow"/>
                <w:b w:val="0"/>
                <w:bCs w:val="0"/>
                <w:sz w:val="22"/>
                <w:szCs w:val="22"/>
              </w:rPr>
            </w:pPr>
            <w:r w:rsidRPr="00546449">
              <w:rPr>
                <w:rFonts w:ascii="Aptos Narrow" w:hAnsi="Aptos Narrow"/>
                <w:b w:val="0"/>
                <w:bCs w:val="0"/>
                <w:sz w:val="22"/>
                <w:szCs w:val="22"/>
              </w:rPr>
              <w:t>No</w:t>
            </w:r>
          </w:p>
        </w:tc>
        <w:tc>
          <w:tcPr>
            <w:tcW w:w="1628" w:type="dxa"/>
            <w:tcBorders>
              <w:top w:val="single" w:sz="6" w:space="0" w:color="E6E6E6"/>
              <w:left w:val="single" w:sz="6" w:space="0" w:color="E6E6E6"/>
              <w:bottom w:val="single" w:sz="6" w:space="0" w:color="E6E6E6"/>
              <w:right w:val="single" w:sz="6" w:space="0" w:color="E6E6E6"/>
            </w:tcBorders>
            <w:shd w:val="clear" w:color="auto" w:fill="DFC9EF"/>
            <w:vAlign w:val="center"/>
            <w:hideMark/>
          </w:tcPr>
          <w:p w14:paraId="0B5C645F" w14:textId="77777777" w:rsidR="00BF5DC4" w:rsidRPr="00546449" w:rsidRDefault="00BF5DC4" w:rsidP="00430B63">
            <w:pPr>
              <w:pStyle w:val="Table-Text"/>
              <w:ind w:left="43" w:right="43"/>
              <w:rPr>
                <w:rFonts w:ascii="Aptos Narrow" w:hAnsi="Aptos Narrow"/>
                <w:b w:val="0"/>
                <w:bCs w:val="0"/>
                <w:sz w:val="22"/>
                <w:szCs w:val="22"/>
              </w:rPr>
            </w:pPr>
            <w:r w:rsidRPr="00546449">
              <w:rPr>
                <w:rFonts w:ascii="Aptos Narrow" w:hAnsi="Aptos Narrow"/>
                <w:b w:val="0"/>
                <w:bCs w:val="0"/>
                <w:sz w:val="22"/>
                <w:szCs w:val="22"/>
              </w:rPr>
              <w:t>Yes</w:t>
            </w:r>
          </w:p>
        </w:tc>
        <w:tc>
          <w:tcPr>
            <w:tcW w:w="1792" w:type="dxa"/>
            <w:tcBorders>
              <w:top w:val="single" w:sz="6" w:space="0" w:color="E6E6E6"/>
              <w:left w:val="single" w:sz="6" w:space="0" w:color="E6E6E6"/>
              <w:bottom w:val="single" w:sz="6" w:space="0" w:color="E6E6E6"/>
              <w:right w:val="single" w:sz="6" w:space="0" w:color="BFBFBF" w:themeColor="background1" w:themeShade="BF"/>
            </w:tcBorders>
            <w:shd w:val="clear" w:color="auto" w:fill="7030A0"/>
            <w:vAlign w:val="center"/>
            <w:hideMark/>
          </w:tcPr>
          <w:p w14:paraId="72834A94" w14:textId="77777777" w:rsidR="00BF5DC4" w:rsidRPr="00546449" w:rsidRDefault="00BF5DC4" w:rsidP="00430B63">
            <w:pPr>
              <w:pStyle w:val="Table-Text"/>
              <w:ind w:left="43" w:right="43"/>
              <w:rPr>
                <w:rFonts w:ascii="Aptos Narrow" w:hAnsi="Aptos Narrow"/>
                <w:b w:val="0"/>
                <w:bCs w:val="0"/>
                <w:color w:val="FFFFFF" w:themeColor="background1"/>
                <w:sz w:val="22"/>
                <w:szCs w:val="22"/>
              </w:rPr>
            </w:pPr>
            <w:r w:rsidRPr="00546449">
              <w:rPr>
                <w:rFonts w:ascii="Aptos Narrow" w:hAnsi="Aptos Narrow"/>
                <w:b w:val="0"/>
                <w:bCs w:val="0"/>
                <w:color w:val="FFFFFF" w:themeColor="background1"/>
                <w:sz w:val="22"/>
                <w:szCs w:val="22"/>
              </w:rPr>
              <w:t xml:space="preserve">Yes </w:t>
            </w:r>
            <w:r w:rsidRPr="00546449">
              <w:rPr>
                <w:rFonts w:ascii="Aptos Narrow" w:hAnsi="Aptos Narrow"/>
                <w:b w:val="0"/>
                <w:bCs w:val="0"/>
                <w:color w:val="FFFFFF" w:themeColor="background1"/>
                <w:sz w:val="22"/>
                <w:szCs w:val="22"/>
              </w:rPr>
              <w:br/>
              <w:t>(prespecified)</w:t>
            </w:r>
          </w:p>
        </w:tc>
      </w:tr>
      <w:tr w:rsidR="00BF5DC4" w:rsidRPr="000C5273" w14:paraId="50037D0E" w14:textId="77777777" w:rsidTr="00BF5DC4">
        <w:trPr>
          <w:jc w:val="center"/>
        </w:trPr>
        <w:tc>
          <w:tcPr>
            <w:tcW w:w="1612" w:type="dxa"/>
            <w:tcBorders>
              <w:top w:val="single" w:sz="4" w:space="0" w:color="A6A6A6" w:themeColor="background1" w:themeShade="A6"/>
              <w:left w:val="single" w:sz="4" w:space="0" w:color="BFBFBF" w:themeColor="background1" w:themeShade="BF"/>
              <w:bottom w:val="single" w:sz="4" w:space="0" w:color="A6A6A6" w:themeColor="background1" w:themeShade="A6"/>
              <w:right w:val="single" w:sz="6" w:space="0" w:color="D9D9D9" w:themeColor="background1" w:themeShade="D9"/>
            </w:tcBorders>
            <w:shd w:val="clear" w:color="auto" w:fill="F2F2F2" w:themeFill="background1" w:themeFillShade="F2"/>
            <w:vAlign w:val="center"/>
            <w:hideMark/>
          </w:tcPr>
          <w:p w14:paraId="3B0E1E0C" w14:textId="77777777" w:rsidR="00BF5DC4" w:rsidRPr="00BD1F3F" w:rsidRDefault="00BF5DC4" w:rsidP="00430B63">
            <w:pPr>
              <w:pStyle w:val="Table-Text"/>
              <w:spacing w:before="160" w:after="160" w:line="216" w:lineRule="auto"/>
              <w:ind w:left="72" w:rightChars="72" w:right="173"/>
              <w:rPr>
                <w:rFonts w:ascii="Aptos Narrow" w:hAnsi="Aptos Narrow"/>
                <w:sz w:val="22"/>
                <w:szCs w:val="22"/>
              </w:rPr>
            </w:pPr>
            <w:r w:rsidRPr="00BD1F3F">
              <w:rPr>
                <w:rFonts w:ascii="Aptos Narrow" w:hAnsi="Aptos Narrow"/>
                <w:sz w:val="22"/>
                <w:szCs w:val="22"/>
              </w:rPr>
              <w:t>β quantified on outcome scale</w:t>
            </w:r>
          </w:p>
        </w:tc>
        <w:tc>
          <w:tcPr>
            <w:tcW w:w="126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000000" w:themeFill="text1"/>
            <w:vAlign w:val="center"/>
            <w:hideMark/>
          </w:tcPr>
          <w:p w14:paraId="27A38921" w14:textId="77777777" w:rsidR="00BF5DC4" w:rsidRPr="00546449" w:rsidRDefault="00BF5DC4" w:rsidP="00430B63">
            <w:pPr>
              <w:pStyle w:val="Table-Text"/>
              <w:ind w:left="43" w:right="43"/>
              <w:rPr>
                <w:rFonts w:ascii="Aptos Narrow" w:hAnsi="Aptos Narrow"/>
                <w:b w:val="0"/>
                <w:bCs w:val="0"/>
                <w:color w:val="FFFFFF" w:themeColor="background1"/>
                <w:sz w:val="22"/>
                <w:szCs w:val="22"/>
              </w:rPr>
            </w:pPr>
            <w:r w:rsidRPr="00546449">
              <w:rPr>
                <w:rFonts w:ascii="Aptos Narrow" w:hAnsi="Aptos Narrow"/>
                <w:b w:val="0"/>
                <w:bCs w:val="0"/>
                <w:color w:val="FFFFFF" w:themeColor="background1"/>
                <w:sz w:val="22"/>
                <w:szCs w:val="22"/>
              </w:rPr>
              <w:t>No</w:t>
            </w:r>
          </w:p>
        </w:tc>
        <w:tc>
          <w:tcPr>
            <w:tcW w:w="144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7F7F7F" w:themeFill="text1" w:themeFillTint="80"/>
            <w:vAlign w:val="center"/>
            <w:hideMark/>
          </w:tcPr>
          <w:p w14:paraId="47D07780" w14:textId="77777777" w:rsidR="00BF5DC4" w:rsidRPr="00546449" w:rsidRDefault="00BF5DC4" w:rsidP="00430B63">
            <w:pPr>
              <w:pStyle w:val="Table-Text"/>
              <w:ind w:left="43" w:right="43"/>
              <w:rPr>
                <w:rFonts w:ascii="Aptos Narrow" w:hAnsi="Aptos Narrow"/>
                <w:b w:val="0"/>
                <w:bCs w:val="0"/>
                <w:color w:val="FFFFFF" w:themeColor="background1"/>
                <w:sz w:val="22"/>
                <w:szCs w:val="22"/>
              </w:rPr>
            </w:pPr>
            <w:r w:rsidRPr="00546449">
              <w:rPr>
                <w:rFonts w:ascii="Aptos Narrow" w:hAnsi="Aptos Narrow"/>
                <w:b w:val="0"/>
                <w:bCs w:val="0"/>
                <w:color w:val="FFFFFF" w:themeColor="background1"/>
                <w:sz w:val="22"/>
                <w:szCs w:val="22"/>
              </w:rPr>
              <w:t>No</w:t>
            </w:r>
          </w:p>
        </w:tc>
        <w:tc>
          <w:tcPr>
            <w:tcW w:w="1530" w:type="dxa"/>
            <w:tcBorders>
              <w:top w:val="single" w:sz="6" w:space="0" w:color="E6E6E6"/>
              <w:left w:val="single" w:sz="6" w:space="0" w:color="D9D9D9" w:themeColor="background1" w:themeShade="D9"/>
              <w:bottom w:val="single" w:sz="6" w:space="0" w:color="E6E6E6"/>
              <w:right w:val="single" w:sz="6" w:space="0" w:color="E6E6E6"/>
            </w:tcBorders>
            <w:vAlign w:val="center"/>
            <w:hideMark/>
          </w:tcPr>
          <w:p w14:paraId="23855267" w14:textId="77777777" w:rsidR="00BF5DC4" w:rsidRPr="00546449" w:rsidRDefault="00BF5DC4" w:rsidP="00430B63">
            <w:pPr>
              <w:pStyle w:val="Table-Text"/>
              <w:ind w:left="43" w:right="43"/>
              <w:rPr>
                <w:rFonts w:ascii="Aptos Narrow" w:hAnsi="Aptos Narrow"/>
                <w:b w:val="0"/>
                <w:bCs w:val="0"/>
                <w:sz w:val="22"/>
                <w:szCs w:val="22"/>
              </w:rPr>
            </w:pPr>
            <w:r w:rsidRPr="00546449">
              <w:rPr>
                <w:rFonts w:ascii="Aptos Narrow" w:hAnsi="Aptos Narrow"/>
                <w:b w:val="0"/>
                <w:bCs w:val="0"/>
                <w:sz w:val="22"/>
                <w:szCs w:val="22"/>
              </w:rPr>
              <w:t>No</w:t>
            </w:r>
          </w:p>
        </w:tc>
        <w:tc>
          <w:tcPr>
            <w:tcW w:w="1628" w:type="dxa"/>
            <w:tcBorders>
              <w:top w:val="single" w:sz="6" w:space="0" w:color="E6E6E6"/>
              <w:left w:val="single" w:sz="6" w:space="0" w:color="E6E6E6"/>
              <w:bottom w:val="single" w:sz="6" w:space="0" w:color="E6E6E6"/>
              <w:right w:val="single" w:sz="6" w:space="0" w:color="E6E6E6"/>
            </w:tcBorders>
            <w:shd w:val="clear" w:color="auto" w:fill="DFC9EF"/>
            <w:vAlign w:val="center"/>
            <w:hideMark/>
          </w:tcPr>
          <w:p w14:paraId="4CB6F848" w14:textId="77777777" w:rsidR="00BF5DC4" w:rsidRPr="00546449" w:rsidRDefault="00BF5DC4" w:rsidP="00430B63">
            <w:pPr>
              <w:pStyle w:val="Table-Text"/>
              <w:ind w:left="43" w:right="43"/>
              <w:rPr>
                <w:rFonts w:ascii="Aptos Narrow" w:hAnsi="Aptos Narrow"/>
                <w:b w:val="0"/>
                <w:bCs w:val="0"/>
                <w:sz w:val="22"/>
                <w:szCs w:val="22"/>
              </w:rPr>
            </w:pPr>
            <w:r w:rsidRPr="00546449">
              <w:rPr>
                <w:rFonts w:ascii="Aptos Narrow" w:hAnsi="Aptos Narrow"/>
                <w:b w:val="0"/>
                <w:bCs w:val="0"/>
                <w:sz w:val="22"/>
                <w:szCs w:val="22"/>
              </w:rPr>
              <w:t>Yes</w:t>
            </w:r>
          </w:p>
        </w:tc>
        <w:tc>
          <w:tcPr>
            <w:tcW w:w="1792" w:type="dxa"/>
            <w:tcBorders>
              <w:top w:val="single" w:sz="6" w:space="0" w:color="E6E6E6"/>
              <w:left w:val="single" w:sz="6" w:space="0" w:color="E6E6E6"/>
              <w:bottom w:val="single" w:sz="6" w:space="0" w:color="E6E6E6"/>
              <w:right w:val="single" w:sz="6" w:space="0" w:color="BFBFBF" w:themeColor="background1" w:themeShade="BF"/>
            </w:tcBorders>
            <w:shd w:val="clear" w:color="auto" w:fill="7030A0"/>
            <w:vAlign w:val="center"/>
            <w:hideMark/>
          </w:tcPr>
          <w:p w14:paraId="225FCB35" w14:textId="77777777" w:rsidR="00BF5DC4" w:rsidRPr="00546449" w:rsidRDefault="00BF5DC4" w:rsidP="00430B63">
            <w:pPr>
              <w:pStyle w:val="Table-Text"/>
              <w:ind w:left="43" w:right="43"/>
              <w:rPr>
                <w:rFonts w:ascii="Aptos Narrow" w:hAnsi="Aptos Narrow"/>
                <w:b w:val="0"/>
                <w:bCs w:val="0"/>
                <w:color w:val="FFFFFF" w:themeColor="background1"/>
                <w:sz w:val="22"/>
                <w:szCs w:val="22"/>
              </w:rPr>
            </w:pPr>
            <w:r w:rsidRPr="00546449">
              <w:rPr>
                <w:rFonts w:ascii="Aptos Narrow" w:hAnsi="Aptos Narrow"/>
                <w:b w:val="0"/>
                <w:bCs w:val="0"/>
                <w:color w:val="FFFFFF" w:themeColor="background1"/>
                <w:sz w:val="22"/>
                <w:szCs w:val="22"/>
              </w:rPr>
              <w:t>Yes</w:t>
            </w:r>
          </w:p>
        </w:tc>
      </w:tr>
      <w:tr w:rsidR="00BF5DC4" w:rsidRPr="000C5273" w14:paraId="613060C1" w14:textId="77777777" w:rsidTr="00BF5DC4">
        <w:trPr>
          <w:jc w:val="center"/>
        </w:trPr>
        <w:tc>
          <w:tcPr>
            <w:tcW w:w="1612" w:type="dxa"/>
            <w:tcBorders>
              <w:top w:val="single" w:sz="4" w:space="0" w:color="A6A6A6" w:themeColor="background1" w:themeShade="A6"/>
              <w:left w:val="single" w:sz="4" w:space="0" w:color="BFBFBF" w:themeColor="background1" w:themeShade="BF"/>
              <w:bottom w:val="single" w:sz="4" w:space="0" w:color="A6A6A6" w:themeColor="background1" w:themeShade="A6"/>
              <w:right w:val="single" w:sz="6" w:space="0" w:color="D9D9D9" w:themeColor="background1" w:themeShade="D9"/>
            </w:tcBorders>
            <w:shd w:val="clear" w:color="auto" w:fill="F2F2F2" w:themeFill="background1" w:themeFillShade="F2"/>
            <w:vAlign w:val="center"/>
            <w:hideMark/>
          </w:tcPr>
          <w:p w14:paraId="30E162E5" w14:textId="77777777" w:rsidR="00BF5DC4" w:rsidRPr="00BD1F3F" w:rsidRDefault="00BF5DC4" w:rsidP="00430B63">
            <w:pPr>
              <w:pStyle w:val="Table-Text"/>
              <w:spacing w:before="160" w:after="160" w:line="216" w:lineRule="auto"/>
              <w:ind w:left="72" w:rightChars="72" w:right="173"/>
              <w:rPr>
                <w:rFonts w:ascii="Aptos Narrow" w:hAnsi="Aptos Narrow"/>
                <w:sz w:val="22"/>
                <w:szCs w:val="22"/>
              </w:rPr>
            </w:pPr>
            <w:r w:rsidRPr="00BD1F3F">
              <w:rPr>
                <w:rFonts w:ascii="Aptos Narrow" w:hAnsi="Aptos Narrow"/>
                <w:sz w:val="22"/>
                <w:szCs w:val="22"/>
              </w:rPr>
              <w:t>Identification conditions explicit</w:t>
            </w:r>
          </w:p>
        </w:tc>
        <w:tc>
          <w:tcPr>
            <w:tcW w:w="126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000000" w:themeFill="text1"/>
            <w:vAlign w:val="center"/>
            <w:hideMark/>
          </w:tcPr>
          <w:p w14:paraId="519BB8BE" w14:textId="77777777" w:rsidR="00BF5DC4" w:rsidRPr="00546449" w:rsidRDefault="00BF5DC4" w:rsidP="00430B63">
            <w:pPr>
              <w:pStyle w:val="Table-Text"/>
              <w:ind w:left="43" w:right="43"/>
              <w:rPr>
                <w:rFonts w:ascii="Aptos Narrow" w:hAnsi="Aptos Narrow"/>
                <w:b w:val="0"/>
                <w:bCs w:val="0"/>
                <w:color w:val="FFFFFF" w:themeColor="background1"/>
                <w:sz w:val="22"/>
                <w:szCs w:val="22"/>
              </w:rPr>
            </w:pPr>
            <w:r w:rsidRPr="00546449">
              <w:rPr>
                <w:rFonts w:ascii="Aptos Narrow" w:hAnsi="Aptos Narrow"/>
                <w:b w:val="0"/>
                <w:bCs w:val="0"/>
                <w:color w:val="FFFFFF" w:themeColor="background1"/>
                <w:sz w:val="22"/>
                <w:szCs w:val="22"/>
              </w:rPr>
              <w:t>No</w:t>
            </w:r>
          </w:p>
        </w:tc>
        <w:tc>
          <w:tcPr>
            <w:tcW w:w="144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7F7F7F" w:themeFill="text1" w:themeFillTint="80"/>
            <w:vAlign w:val="center"/>
            <w:hideMark/>
          </w:tcPr>
          <w:p w14:paraId="5E0B2AC9" w14:textId="77777777" w:rsidR="00BF5DC4" w:rsidRPr="00546449" w:rsidRDefault="00BF5DC4" w:rsidP="00430B63">
            <w:pPr>
              <w:pStyle w:val="Table-Text"/>
              <w:ind w:left="43" w:right="43"/>
              <w:rPr>
                <w:rFonts w:ascii="Aptos Narrow" w:hAnsi="Aptos Narrow"/>
                <w:b w:val="0"/>
                <w:bCs w:val="0"/>
                <w:color w:val="FFFFFF" w:themeColor="background1"/>
                <w:sz w:val="22"/>
                <w:szCs w:val="22"/>
              </w:rPr>
            </w:pPr>
            <w:r w:rsidRPr="00546449">
              <w:rPr>
                <w:rFonts w:ascii="Aptos Narrow" w:hAnsi="Aptos Narrow"/>
                <w:b w:val="0"/>
                <w:bCs w:val="0"/>
                <w:color w:val="FFFFFF" w:themeColor="background1"/>
                <w:sz w:val="22"/>
                <w:szCs w:val="22"/>
              </w:rPr>
              <w:t>No</w:t>
            </w:r>
          </w:p>
        </w:tc>
        <w:tc>
          <w:tcPr>
            <w:tcW w:w="1530" w:type="dxa"/>
            <w:tcBorders>
              <w:top w:val="single" w:sz="6" w:space="0" w:color="E6E6E6"/>
              <w:left w:val="single" w:sz="6" w:space="0" w:color="D9D9D9" w:themeColor="background1" w:themeShade="D9"/>
              <w:bottom w:val="single" w:sz="6" w:space="0" w:color="E6E6E6"/>
              <w:right w:val="single" w:sz="6" w:space="0" w:color="E6E6E6"/>
            </w:tcBorders>
            <w:vAlign w:val="center"/>
            <w:hideMark/>
          </w:tcPr>
          <w:p w14:paraId="6D755215" w14:textId="77777777" w:rsidR="00BF5DC4" w:rsidRPr="00546449" w:rsidRDefault="00BF5DC4" w:rsidP="00430B63">
            <w:pPr>
              <w:pStyle w:val="Table-Text"/>
              <w:ind w:left="43" w:right="43"/>
              <w:rPr>
                <w:rFonts w:ascii="Aptos Narrow" w:hAnsi="Aptos Narrow"/>
                <w:b w:val="0"/>
                <w:bCs w:val="0"/>
                <w:sz w:val="22"/>
                <w:szCs w:val="22"/>
              </w:rPr>
            </w:pPr>
            <w:r w:rsidRPr="00546449">
              <w:rPr>
                <w:rFonts w:ascii="Aptos Narrow" w:hAnsi="Aptos Narrow"/>
                <w:b w:val="0"/>
                <w:bCs w:val="0"/>
                <w:sz w:val="22"/>
                <w:szCs w:val="22"/>
              </w:rPr>
              <w:t>No</w:t>
            </w:r>
          </w:p>
        </w:tc>
        <w:tc>
          <w:tcPr>
            <w:tcW w:w="1628" w:type="dxa"/>
            <w:tcBorders>
              <w:top w:val="single" w:sz="6" w:space="0" w:color="E6E6E6"/>
              <w:left w:val="single" w:sz="6" w:space="0" w:color="E6E6E6"/>
              <w:bottom w:val="single" w:sz="6" w:space="0" w:color="E6E6E6"/>
              <w:right w:val="single" w:sz="6" w:space="0" w:color="E6E6E6"/>
            </w:tcBorders>
            <w:shd w:val="clear" w:color="auto" w:fill="DFC9EF"/>
            <w:vAlign w:val="center"/>
            <w:hideMark/>
          </w:tcPr>
          <w:p w14:paraId="48DAF381" w14:textId="77777777" w:rsidR="00BF5DC4" w:rsidRPr="00546449" w:rsidRDefault="00BF5DC4" w:rsidP="00430B63">
            <w:pPr>
              <w:pStyle w:val="Table-Text"/>
              <w:ind w:left="43" w:right="43"/>
              <w:rPr>
                <w:rFonts w:ascii="Aptos Narrow" w:hAnsi="Aptos Narrow"/>
                <w:b w:val="0"/>
                <w:bCs w:val="0"/>
                <w:sz w:val="22"/>
                <w:szCs w:val="22"/>
              </w:rPr>
            </w:pPr>
            <w:r w:rsidRPr="00546449">
              <w:rPr>
                <w:rFonts w:ascii="Aptos Narrow" w:hAnsi="Aptos Narrow"/>
                <w:b w:val="0"/>
                <w:bCs w:val="0"/>
                <w:sz w:val="22"/>
                <w:szCs w:val="22"/>
              </w:rPr>
              <w:t>Partial</w:t>
            </w:r>
          </w:p>
        </w:tc>
        <w:tc>
          <w:tcPr>
            <w:tcW w:w="1792" w:type="dxa"/>
            <w:tcBorders>
              <w:top w:val="single" w:sz="6" w:space="0" w:color="E6E6E6"/>
              <w:left w:val="single" w:sz="6" w:space="0" w:color="E6E6E6"/>
              <w:bottom w:val="single" w:sz="6" w:space="0" w:color="E6E6E6"/>
              <w:right w:val="single" w:sz="6" w:space="0" w:color="BFBFBF" w:themeColor="background1" w:themeShade="BF"/>
            </w:tcBorders>
            <w:shd w:val="clear" w:color="auto" w:fill="7030A0"/>
            <w:vAlign w:val="center"/>
            <w:hideMark/>
          </w:tcPr>
          <w:p w14:paraId="12BC69B8" w14:textId="77777777" w:rsidR="00BF5DC4" w:rsidRPr="00546449" w:rsidRDefault="00BF5DC4" w:rsidP="00430B63">
            <w:pPr>
              <w:pStyle w:val="Table-Text"/>
              <w:ind w:left="43" w:right="43"/>
              <w:rPr>
                <w:rFonts w:ascii="Aptos Narrow" w:hAnsi="Aptos Narrow"/>
                <w:b w:val="0"/>
                <w:bCs w:val="0"/>
                <w:color w:val="FFFFFF" w:themeColor="background1"/>
                <w:sz w:val="22"/>
                <w:szCs w:val="22"/>
              </w:rPr>
            </w:pPr>
            <w:r w:rsidRPr="00546449">
              <w:rPr>
                <w:rFonts w:ascii="Aptos Narrow" w:hAnsi="Aptos Narrow"/>
                <w:b w:val="0"/>
                <w:bCs w:val="0"/>
                <w:color w:val="FFFFFF" w:themeColor="background1"/>
                <w:sz w:val="22"/>
                <w:szCs w:val="22"/>
              </w:rPr>
              <w:t xml:space="preserve">Yes </w:t>
            </w:r>
            <w:r w:rsidRPr="00546449">
              <w:rPr>
                <w:rFonts w:ascii="Aptos Narrow" w:hAnsi="Aptos Narrow"/>
                <w:b w:val="0"/>
                <w:bCs w:val="0"/>
                <w:color w:val="FFFFFF" w:themeColor="background1"/>
                <w:sz w:val="22"/>
                <w:szCs w:val="22"/>
              </w:rPr>
              <w:br/>
              <w:t>(axioms &amp; constraints)</w:t>
            </w:r>
          </w:p>
        </w:tc>
      </w:tr>
      <w:tr w:rsidR="00BF5DC4" w:rsidRPr="000C5273" w14:paraId="37650AFA" w14:textId="77777777" w:rsidTr="00BF5DC4">
        <w:trPr>
          <w:jc w:val="center"/>
        </w:trPr>
        <w:tc>
          <w:tcPr>
            <w:tcW w:w="1612" w:type="dxa"/>
            <w:tcBorders>
              <w:top w:val="single" w:sz="4" w:space="0" w:color="A6A6A6" w:themeColor="background1" w:themeShade="A6"/>
              <w:left w:val="single" w:sz="4" w:space="0" w:color="BFBFBF" w:themeColor="background1" w:themeShade="BF"/>
              <w:bottom w:val="single" w:sz="4" w:space="0" w:color="A6A6A6" w:themeColor="background1" w:themeShade="A6"/>
              <w:right w:val="single" w:sz="6" w:space="0" w:color="D9D9D9" w:themeColor="background1" w:themeShade="D9"/>
            </w:tcBorders>
            <w:shd w:val="clear" w:color="auto" w:fill="F2F2F2" w:themeFill="background1" w:themeFillShade="F2"/>
            <w:vAlign w:val="center"/>
            <w:hideMark/>
          </w:tcPr>
          <w:p w14:paraId="17FCACB3" w14:textId="77777777" w:rsidR="00BF5DC4" w:rsidRPr="00BD1F3F" w:rsidRDefault="00BF5DC4" w:rsidP="00430B63">
            <w:pPr>
              <w:pStyle w:val="Table-Text"/>
              <w:spacing w:before="160" w:after="160" w:line="216" w:lineRule="auto"/>
              <w:ind w:left="72" w:rightChars="72" w:right="173"/>
              <w:rPr>
                <w:rFonts w:ascii="Aptos Narrow" w:hAnsi="Aptos Narrow"/>
                <w:sz w:val="22"/>
                <w:szCs w:val="22"/>
              </w:rPr>
            </w:pPr>
            <w:r w:rsidRPr="00BD1F3F">
              <w:rPr>
                <w:rFonts w:ascii="Aptos Narrow" w:hAnsi="Aptos Narrow"/>
                <w:sz w:val="22"/>
                <w:szCs w:val="22"/>
              </w:rPr>
              <w:t xml:space="preserve">Role of </w:t>
            </w:r>
            <w:r w:rsidRPr="00BD1F3F">
              <w:rPr>
                <w:rFonts w:ascii="Aptos Narrow" w:hAnsi="Aptos Narrow"/>
                <w:sz w:val="22"/>
                <w:szCs w:val="22"/>
              </w:rPr>
              <w:br/>
              <w:t>crossover</w:t>
            </w:r>
          </w:p>
        </w:tc>
        <w:tc>
          <w:tcPr>
            <w:tcW w:w="126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000000" w:themeFill="text1"/>
            <w:vAlign w:val="center"/>
            <w:hideMark/>
          </w:tcPr>
          <w:p w14:paraId="537A07AC" w14:textId="77777777" w:rsidR="00BF5DC4" w:rsidRPr="00546449" w:rsidRDefault="00BF5DC4" w:rsidP="00430B63">
            <w:pPr>
              <w:pStyle w:val="Table-Text"/>
              <w:ind w:left="43" w:right="43"/>
              <w:rPr>
                <w:rFonts w:ascii="Aptos Narrow" w:hAnsi="Aptos Narrow"/>
                <w:b w:val="0"/>
                <w:bCs w:val="0"/>
                <w:color w:val="FFFFFF" w:themeColor="background1"/>
                <w:sz w:val="22"/>
                <w:szCs w:val="22"/>
              </w:rPr>
            </w:pPr>
            <w:r w:rsidRPr="00546449">
              <w:rPr>
                <w:rFonts w:ascii="Aptos Narrow" w:hAnsi="Aptos Narrow"/>
                <w:b w:val="0"/>
                <w:bCs w:val="0"/>
                <w:color w:val="FFFFFF" w:themeColor="background1"/>
                <w:sz w:val="22"/>
                <w:szCs w:val="22"/>
              </w:rPr>
              <w:t>Bias</w:t>
            </w:r>
          </w:p>
        </w:tc>
        <w:tc>
          <w:tcPr>
            <w:tcW w:w="144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7F7F7F" w:themeFill="text1" w:themeFillTint="80"/>
            <w:vAlign w:val="center"/>
            <w:hideMark/>
          </w:tcPr>
          <w:p w14:paraId="0B85379D" w14:textId="77777777" w:rsidR="00BF5DC4" w:rsidRPr="00546449" w:rsidRDefault="00BF5DC4" w:rsidP="00430B63">
            <w:pPr>
              <w:pStyle w:val="Table-Text"/>
              <w:ind w:left="43" w:right="43"/>
              <w:rPr>
                <w:rFonts w:ascii="Aptos Narrow" w:hAnsi="Aptos Narrow"/>
                <w:b w:val="0"/>
                <w:bCs w:val="0"/>
                <w:color w:val="FFFFFF" w:themeColor="background1"/>
                <w:sz w:val="22"/>
                <w:szCs w:val="22"/>
              </w:rPr>
            </w:pPr>
            <w:r w:rsidRPr="00546449">
              <w:rPr>
                <w:rFonts w:ascii="Aptos Narrow" w:hAnsi="Aptos Narrow"/>
                <w:b w:val="0"/>
                <w:bCs w:val="0"/>
                <w:color w:val="FFFFFF" w:themeColor="background1"/>
                <w:sz w:val="22"/>
                <w:szCs w:val="22"/>
              </w:rPr>
              <w:t>Nuisance</w:t>
            </w:r>
          </w:p>
        </w:tc>
        <w:tc>
          <w:tcPr>
            <w:tcW w:w="1530" w:type="dxa"/>
            <w:tcBorders>
              <w:top w:val="single" w:sz="6" w:space="0" w:color="E6E6E6"/>
              <w:left w:val="single" w:sz="6" w:space="0" w:color="D9D9D9" w:themeColor="background1" w:themeShade="D9"/>
              <w:bottom w:val="single" w:sz="6" w:space="0" w:color="E6E6E6"/>
              <w:right w:val="single" w:sz="6" w:space="0" w:color="E6E6E6"/>
            </w:tcBorders>
            <w:vAlign w:val="center"/>
            <w:hideMark/>
          </w:tcPr>
          <w:p w14:paraId="10B34B9E" w14:textId="77777777" w:rsidR="00BF5DC4" w:rsidRPr="00546449" w:rsidRDefault="00BF5DC4" w:rsidP="00430B63">
            <w:pPr>
              <w:pStyle w:val="Table-Text"/>
              <w:ind w:left="43" w:right="43"/>
              <w:rPr>
                <w:rFonts w:ascii="Aptos Narrow" w:hAnsi="Aptos Narrow"/>
                <w:b w:val="0"/>
                <w:bCs w:val="0"/>
                <w:sz w:val="22"/>
                <w:szCs w:val="22"/>
              </w:rPr>
            </w:pPr>
            <w:r w:rsidRPr="00546449">
              <w:rPr>
                <w:rFonts w:ascii="Aptos Narrow" w:hAnsi="Aptos Narrow"/>
                <w:b w:val="0"/>
                <w:bCs w:val="0"/>
                <w:sz w:val="22"/>
                <w:szCs w:val="22"/>
              </w:rPr>
              <w:t>Analytic problem</w:t>
            </w:r>
          </w:p>
        </w:tc>
        <w:tc>
          <w:tcPr>
            <w:tcW w:w="1628" w:type="dxa"/>
            <w:tcBorders>
              <w:top w:val="single" w:sz="6" w:space="0" w:color="E6E6E6"/>
              <w:left w:val="single" w:sz="6" w:space="0" w:color="E6E6E6"/>
              <w:bottom w:val="single" w:sz="6" w:space="0" w:color="E6E6E6"/>
              <w:right w:val="single" w:sz="6" w:space="0" w:color="E6E6E6"/>
            </w:tcBorders>
            <w:shd w:val="clear" w:color="auto" w:fill="DFC9EF"/>
            <w:vAlign w:val="center"/>
            <w:hideMark/>
          </w:tcPr>
          <w:p w14:paraId="4968AE1C" w14:textId="77777777" w:rsidR="00BF5DC4" w:rsidRPr="00546449" w:rsidRDefault="00BF5DC4" w:rsidP="00430B63">
            <w:pPr>
              <w:pStyle w:val="Table-Text"/>
              <w:ind w:left="43" w:right="43"/>
              <w:rPr>
                <w:rFonts w:ascii="Aptos Narrow" w:hAnsi="Aptos Narrow"/>
                <w:b w:val="0"/>
                <w:bCs w:val="0"/>
                <w:sz w:val="22"/>
                <w:szCs w:val="22"/>
              </w:rPr>
            </w:pPr>
            <w:r w:rsidRPr="00546449">
              <w:rPr>
                <w:rFonts w:ascii="Aptos Narrow" w:hAnsi="Aptos Narrow"/>
                <w:b w:val="0"/>
                <w:bCs w:val="0"/>
                <w:sz w:val="22"/>
                <w:szCs w:val="22"/>
              </w:rPr>
              <w:t>Source of β</w:t>
            </w:r>
          </w:p>
        </w:tc>
        <w:tc>
          <w:tcPr>
            <w:tcW w:w="1792" w:type="dxa"/>
            <w:tcBorders>
              <w:top w:val="single" w:sz="6" w:space="0" w:color="E6E6E6"/>
              <w:left w:val="single" w:sz="6" w:space="0" w:color="E6E6E6"/>
              <w:bottom w:val="single" w:sz="6" w:space="0" w:color="E6E6E6"/>
              <w:right w:val="single" w:sz="6" w:space="0" w:color="BFBFBF" w:themeColor="background1" w:themeShade="BF"/>
            </w:tcBorders>
            <w:shd w:val="clear" w:color="auto" w:fill="7030A0"/>
            <w:vAlign w:val="center"/>
            <w:hideMark/>
          </w:tcPr>
          <w:p w14:paraId="4FEC4D79" w14:textId="77777777" w:rsidR="00BF5DC4" w:rsidRPr="00546449" w:rsidRDefault="00BF5DC4" w:rsidP="00430B63">
            <w:pPr>
              <w:pStyle w:val="Table-Text"/>
              <w:ind w:left="43" w:right="43"/>
              <w:rPr>
                <w:rFonts w:ascii="Aptos Narrow" w:hAnsi="Aptos Narrow"/>
                <w:b w:val="0"/>
                <w:bCs w:val="0"/>
                <w:color w:val="FFFFFF" w:themeColor="background1"/>
                <w:sz w:val="22"/>
                <w:szCs w:val="22"/>
              </w:rPr>
            </w:pPr>
            <w:r w:rsidRPr="00546449">
              <w:rPr>
                <w:rFonts w:ascii="Aptos Narrow" w:hAnsi="Aptos Narrow"/>
                <w:b w:val="0"/>
                <w:bCs w:val="0"/>
                <w:color w:val="FFFFFF" w:themeColor="background1"/>
                <w:sz w:val="22"/>
                <w:szCs w:val="22"/>
              </w:rPr>
              <w:t xml:space="preserve">Primary </w:t>
            </w:r>
            <w:r w:rsidRPr="00546449">
              <w:rPr>
                <w:rFonts w:ascii="Aptos Narrow" w:hAnsi="Aptos Narrow"/>
                <w:b w:val="0"/>
                <w:bCs w:val="0"/>
                <w:color w:val="FFFFFF" w:themeColor="background1"/>
                <w:sz w:val="22"/>
                <w:szCs w:val="22"/>
              </w:rPr>
              <w:br/>
              <w:t xml:space="preserve">identifying </w:t>
            </w:r>
            <w:r w:rsidRPr="00546449">
              <w:rPr>
                <w:rFonts w:ascii="Aptos Narrow" w:hAnsi="Aptos Narrow"/>
                <w:b w:val="0"/>
                <w:bCs w:val="0"/>
                <w:color w:val="FFFFFF" w:themeColor="background1"/>
                <w:sz w:val="22"/>
                <w:szCs w:val="22"/>
              </w:rPr>
              <w:br/>
              <w:t>variation</w:t>
            </w:r>
          </w:p>
        </w:tc>
      </w:tr>
      <w:tr w:rsidR="00BF5DC4" w:rsidRPr="000C5273" w14:paraId="57299145" w14:textId="77777777" w:rsidTr="00BF5DC4">
        <w:trPr>
          <w:jc w:val="center"/>
        </w:trPr>
        <w:tc>
          <w:tcPr>
            <w:tcW w:w="1612" w:type="dxa"/>
            <w:tcBorders>
              <w:top w:val="single" w:sz="4" w:space="0" w:color="A6A6A6" w:themeColor="background1" w:themeShade="A6"/>
              <w:left w:val="single" w:sz="4" w:space="0" w:color="BFBFBF" w:themeColor="background1" w:themeShade="BF"/>
              <w:bottom w:val="single" w:sz="4" w:space="0" w:color="A6A6A6" w:themeColor="background1" w:themeShade="A6"/>
              <w:right w:val="single" w:sz="6" w:space="0" w:color="D9D9D9" w:themeColor="background1" w:themeShade="D9"/>
            </w:tcBorders>
            <w:shd w:val="clear" w:color="auto" w:fill="F2F2F2" w:themeFill="background1" w:themeFillShade="F2"/>
            <w:vAlign w:val="center"/>
            <w:hideMark/>
          </w:tcPr>
          <w:p w14:paraId="3A62E180" w14:textId="77777777" w:rsidR="00BF5DC4" w:rsidRPr="00BD1F3F" w:rsidRDefault="00BF5DC4" w:rsidP="00430B63">
            <w:pPr>
              <w:pStyle w:val="Table-Text"/>
              <w:spacing w:before="160" w:after="160" w:line="216" w:lineRule="auto"/>
              <w:ind w:left="72" w:rightChars="72" w:right="173"/>
              <w:rPr>
                <w:rFonts w:ascii="Aptos Narrow" w:hAnsi="Aptos Narrow"/>
                <w:sz w:val="22"/>
                <w:szCs w:val="22"/>
              </w:rPr>
            </w:pPr>
            <w:r w:rsidRPr="00BD1F3F">
              <w:rPr>
                <w:rFonts w:ascii="Aptos Narrow" w:hAnsi="Aptos Narrow"/>
                <w:sz w:val="22"/>
                <w:szCs w:val="22"/>
              </w:rPr>
              <w:t>Regime classification possible</w:t>
            </w:r>
          </w:p>
        </w:tc>
        <w:tc>
          <w:tcPr>
            <w:tcW w:w="126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000000" w:themeFill="text1"/>
            <w:vAlign w:val="center"/>
            <w:hideMark/>
          </w:tcPr>
          <w:p w14:paraId="7E71CCAE" w14:textId="77777777" w:rsidR="00BF5DC4" w:rsidRPr="00546449" w:rsidRDefault="00BF5DC4" w:rsidP="00430B63">
            <w:pPr>
              <w:pStyle w:val="Table-Text"/>
              <w:ind w:left="43" w:right="43"/>
              <w:rPr>
                <w:rFonts w:ascii="Aptos Narrow" w:hAnsi="Aptos Narrow"/>
                <w:b w:val="0"/>
                <w:bCs w:val="0"/>
                <w:color w:val="FFFFFF" w:themeColor="background1"/>
                <w:sz w:val="22"/>
                <w:szCs w:val="22"/>
              </w:rPr>
            </w:pPr>
            <w:r w:rsidRPr="00546449">
              <w:rPr>
                <w:rFonts w:ascii="Aptos Narrow" w:hAnsi="Aptos Narrow"/>
                <w:b w:val="0"/>
                <w:bCs w:val="0"/>
                <w:color w:val="FFFFFF" w:themeColor="background1"/>
                <w:sz w:val="22"/>
                <w:szCs w:val="22"/>
              </w:rPr>
              <w:t>No</w:t>
            </w:r>
          </w:p>
        </w:tc>
        <w:tc>
          <w:tcPr>
            <w:tcW w:w="144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7F7F7F" w:themeFill="text1" w:themeFillTint="80"/>
            <w:vAlign w:val="center"/>
            <w:hideMark/>
          </w:tcPr>
          <w:p w14:paraId="6EC61F9A" w14:textId="77777777" w:rsidR="00BF5DC4" w:rsidRPr="00546449" w:rsidRDefault="00BF5DC4" w:rsidP="00430B63">
            <w:pPr>
              <w:pStyle w:val="Table-Text"/>
              <w:ind w:left="43" w:right="43"/>
              <w:rPr>
                <w:rFonts w:ascii="Aptos Narrow" w:hAnsi="Aptos Narrow"/>
                <w:b w:val="0"/>
                <w:bCs w:val="0"/>
                <w:color w:val="FFFFFF" w:themeColor="background1"/>
                <w:sz w:val="22"/>
                <w:szCs w:val="22"/>
              </w:rPr>
            </w:pPr>
            <w:r w:rsidRPr="00546449">
              <w:rPr>
                <w:rFonts w:ascii="Aptos Narrow" w:hAnsi="Aptos Narrow"/>
                <w:b w:val="0"/>
                <w:bCs w:val="0"/>
                <w:color w:val="FFFFFF" w:themeColor="background1"/>
                <w:sz w:val="22"/>
                <w:szCs w:val="22"/>
              </w:rPr>
              <w:t>Implicit</w:t>
            </w:r>
          </w:p>
        </w:tc>
        <w:tc>
          <w:tcPr>
            <w:tcW w:w="1530" w:type="dxa"/>
            <w:tcBorders>
              <w:top w:val="single" w:sz="6" w:space="0" w:color="E6E6E6"/>
              <w:left w:val="single" w:sz="6" w:space="0" w:color="D9D9D9" w:themeColor="background1" w:themeShade="D9"/>
              <w:bottom w:val="single" w:sz="6" w:space="0" w:color="E6E6E6"/>
              <w:right w:val="single" w:sz="6" w:space="0" w:color="E6E6E6"/>
            </w:tcBorders>
            <w:vAlign w:val="center"/>
            <w:hideMark/>
          </w:tcPr>
          <w:p w14:paraId="41B74278" w14:textId="77777777" w:rsidR="00BF5DC4" w:rsidRPr="00546449" w:rsidRDefault="00BF5DC4" w:rsidP="00430B63">
            <w:pPr>
              <w:pStyle w:val="Table-Text"/>
              <w:ind w:left="43" w:right="43"/>
              <w:rPr>
                <w:rFonts w:ascii="Aptos Narrow" w:hAnsi="Aptos Narrow"/>
                <w:b w:val="0"/>
                <w:bCs w:val="0"/>
                <w:sz w:val="22"/>
                <w:szCs w:val="22"/>
              </w:rPr>
            </w:pPr>
            <w:r w:rsidRPr="00546449">
              <w:rPr>
                <w:rFonts w:ascii="Aptos Narrow" w:hAnsi="Aptos Narrow"/>
                <w:b w:val="0"/>
                <w:bCs w:val="0"/>
                <w:sz w:val="22"/>
                <w:szCs w:val="22"/>
              </w:rPr>
              <w:t>Implicit</w:t>
            </w:r>
          </w:p>
        </w:tc>
        <w:tc>
          <w:tcPr>
            <w:tcW w:w="1628" w:type="dxa"/>
            <w:tcBorders>
              <w:top w:val="single" w:sz="6" w:space="0" w:color="E6E6E6"/>
              <w:left w:val="single" w:sz="6" w:space="0" w:color="E6E6E6"/>
              <w:bottom w:val="single" w:sz="6" w:space="0" w:color="E6E6E6"/>
              <w:right w:val="single" w:sz="6" w:space="0" w:color="E6E6E6"/>
            </w:tcBorders>
            <w:shd w:val="clear" w:color="auto" w:fill="DFC9EF"/>
            <w:vAlign w:val="center"/>
            <w:hideMark/>
          </w:tcPr>
          <w:p w14:paraId="2E7DC23F" w14:textId="77777777" w:rsidR="00BF5DC4" w:rsidRPr="00546449" w:rsidRDefault="00BF5DC4" w:rsidP="00430B63">
            <w:pPr>
              <w:pStyle w:val="Table-Text"/>
              <w:ind w:left="43" w:right="43"/>
              <w:rPr>
                <w:rFonts w:ascii="Aptos Narrow" w:hAnsi="Aptos Narrow"/>
                <w:b w:val="0"/>
                <w:bCs w:val="0"/>
                <w:sz w:val="22"/>
                <w:szCs w:val="22"/>
              </w:rPr>
            </w:pPr>
            <w:r w:rsidRPr="00546449">
              <w:rPr>
                <w:rFonts w:ascii="Aptos Narrow" w:hAnsi="Aptos Narrow"/>
                <w:b w:val="0"/>
                <w:bCs w:val="0"/>
                <w:sz w:val="22"/>
                <w:szCs w:val="22"/>
              </w:rPr>
              <w:t>Retrospective</w:t>
            </w:r>
          </w:p>
        </w:tc>
        <w:tc>
          <w:tcPr>
            <w:tcW w:w="1792" w:type="dxa"/>
            <w:tcBorders>
              <w:top w:val="single" w:sz="6" w:space="0" w:color="E6E6E6"/>
              <w:left w:val="single" w:sz="6" w:space="0" w:color="E6E6E6"/>
              <w:bottom w:val="single" w:sz="6" w:space="0" w:color="E6E6E6"/>
              <w:right w:val="single" w:sz="6" w:space="0" w:color="BFBFBF" w:themeColor="background1" w:themeShade="BF"/>
            </w:tcBorders>
            <w:shd w:val="clear" w:color="auto" w:fill="7030A0"/>
            <w:vAlign w:val="center"/>
            <w:hideMark/>
          </w:tcPr>
          <w:p w14:paraId="2991BDC2" w14:textId="43BC0980" w:rsidR="00BF5DC4" w:rsidRPr="00546449" w:rsidRDefault="00BF5DC4" w:rsidP="00430B63">
            <w:pPr>
              <w:pStyle w:val="Table-Text"/>
              <w:ind w:left="43" w:right="43"/>
              <w:rPr>
                <w:rFonts w:ascii="Aptos Narrow" w:hAnsi="Aptos Narrow"/>
                <w:b w:val="0"/>
                <w:bCs w:val="0"/>
                <w:color w:val="FFFFFF" w:themeColor="background1"/>
                <w:sz w:val="22"/>
                <w:szCs w:val="22"/>
              </w:rPr>
            </w:pPr>
            <w:r w:rsidRPr="00546449">
              <w:rPr>
                <w:rFonts w:ascii="Aptos Narrow" w:hAnsi="Aptos Narrow"/>
                <w:b w:val="0"/>
                <w:bCs w:val="0"/>
                <w:color w:val="FFFFFF" w:themeColor="background1"/>
                <w:sz w:val="22"/>
                <w:szCs w:val="22"/>
              </w:rPr>
              <w:t xml:space="preserve">Prospective &amp; </w:t>
            </w:r>
            <w:r w:rsidRPr="00546449">
              <w:rPr>
                <w:rFonts w:ascii="Aptos Narrow" w:hAnsi="Aptos Narrow"/>
                <w:b w:val="0"/>
                <w:bCs w:val="0"/>
                <w:color w:val="FFFFFF" w:themeColor="background1"/>
                <w:sz w:val="22"/>
                <w:szCs w:val="22"/>
              </w:rPr>
              <w:br/>
              <w:t>rule</w:t>
            </w:r>
            <w:r w:rsidR="00AB5CE1">
              <w:rPr>
                <w:rFonts w:ascii="Aptos Narrow" w:hAnsi="Aptos Narrow"/>
                <w:b w:val="0"/>
                <w:bCs w:val="0"/>
                <w:color w:val="FFFFFF" w:themeColor="background1"/>
                <w:sz w:val="22"/>
                <w:szCs w:val="22"/>
              </w:rPr>
              <w:t>-</w:t>
            </w:r>
            <w:r w:rsidRPr="00546449">
              <w:rPr>
                <w:rFonts w:ascii="Aptos Narrow" w:hAnsi="Aptos Narrow"/>
                <w:b w:val="0"/>
                <w:bCs w:val="0"/>
                <w:color w:val="FFFFFF" w:themeColor="background1"/>
                <w:sz w:val="22"/>
                <w:szCs w:val="22"/>
              </w:rPr>
              <w:t>mediated</w:t>
            </w:r>
          </w:p>
        </w:tc>
      </w:tr>
      <w:tr w:rsidR="00BF5DC4" w:rsidRPr="000C5273" w14:paraId="283FC993" w14:textId="77777777" w:rsidTr="00BF5DC4">
        <w:trPr>
          <w:jc w:val="center"/>
        </w:trPr>
        <w:tc>
          <w:tcPr>
            <w:tcW w:w="1612" w:type="dxa"/>
            <w:tcBorders>
              <w:top w:val="single" w:sz="4" w:space="0" w:color="A6A6A6" w:themeColor="background1" w:themeShade="A6"/>
              <w:left w:val="single" w:sz="4" w:space="0" w:color="BFBFBF" w:themeColor="background1" w:themeShade="BF"/>
              <w:bottom w:val="single" w:sz="4" w:space="0" w:color="A6A6A6" w:themeColor="background1" w:themeShade="A6"/>
              <w:right w:val="single" w:sz="6" w:space="0" w:color="D9D9D9" w:themeColor="background1" w:themeShade="D9"/>
            </w:tcBorders>
            <w:shd w:val="clear" w:color="auto" w:fill="F2F2F2" w:themeFill="background1" w:themeFillShade="F2"/>
            <w:vAlign w:val="center"/>
            <w:hideMark/>
          </w:tcPr>
          <w:p w14:paraId="70B6DD14" w14:textId="77777777" w:rsidR="00BF5DC4" w:rsidRPr="00BD1F3F" w:rsidRDefault="00BF5DC4" w:rsidP="00430B63">
            <w:pPr>
              <w:pStyle w:val="Table-Text"/>
              <w:spacing w:before="160" w:after="160" w:line="216" w:lineRule="auto"/>
              <w:ind w:left="72" w:rightChars="72" w:right="173"/>
              <w:rPr>
                <w:rFonts w:ascii="Aptos Narrow" w:hAnsi="Aptos Narrow"/>
                <w:sz w:val="22"/>
                <w:szCs w:val="22"/>
              </w:rPr>
            </w:pPr>
            <w:r w:rsidRPr="00BD1F3F">
              <w:rPr>
                <w:rFonts w:ascii="Aptos Narrow" w:hAnsi="Aptos Narrow"/>
                <w:sz w:val="22"/>
                <w:szCs w:val="22"/>
              </w:rPr>
              <w:t>Appropriate conclusion when unresolved</w:t>
            </w:r>
          </w:p>
        </w:tc>
        <w:tc>
          <w:tcPr>
            <w:tcW w:w="126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000000" w:themeFill="text1"/>
            <w:vAlign w:val="center"/>
            <w:hideMark/>
          </w:tcPr>
          <w:p w14:paraId="324C4060" w14:textId="77777777" w:rsidR="00BF5DC4" w:rsidRPr="00546449" w:rsidRDefault="00BF5DC4" w:rsidP="00430B63">
            <w:pPr>
              <w:pStyle w:val="Table-Text"/>
              <w:ind w:left="43" w:right="43"/>
              <w:rPr>
                <w:rFonts w:ascii="Aptos Narrow" w:hAnsi="Aptos Narrow"/>
                <w:b w:val="0"/>
                <w:bCs w:val="0"/>
                <w:color w:val="FFFFFF" w:themeColor="background1"/>
                <w:sz w:val="22"/>
                <w:szCs w:val="22"/>
              </w:rPr>
            </w:pPr>
            <w:r w:rsidRPr="00546449">
              <w:rPr>
                <w:rFonts w:ascii="Aptos Narrow" w:hAnsi="Aptos Narrow"/>
                <w:b w:val="0"/>
                <w:bCs w:val="0"/>
                <w:color w:val="FFFFFF" w:themeColor="background1"/>
                <w:sz w:val="22"/>
                <w:szCs w:val="22"/>
              </w:rPr>
              <w:t>Ambiguity</w:t>
            </w:r>
          </w:p>
        </w:tc>
        <w:tc>
          <w:tcPr>
            <w:tcW w:w="144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7F7F7F" w:themeFill="text1" w:themeFillTint="80"/>
            <w:vAlign w:val="center"/>
            <w:hideMark/>
          </w:tcPr>
          <w:p w14:paraId="324E834F" w14:textId="77777777" w:rsidR="00BF5DC4" w:rsidRPr="00546449" w:rsidRDefault="00BF5DC4" w:rsidP="00430B63">
            <w:pPr>
              <w:pStyle w:val="Table-Text"/>
              <w:ind w:left="43" w:right="43"/>
              <w:rPr>
                <w:rFonts w:ascii="Aptos Narrow" w:hAnsi="Aptos Narrow"/>
                <w:b w:val="0"/>
                <w:bCs w:val="0"/>
                <w:color w:val="FFFFFF" w:themeColor="background1"/>
                <w:sz w:val="22"/>
                <w:szCs w:val="22"/>
              </w:rPr>
            </w:pPr>
            <w:r w:rsidRPr="00546449">
              <w:rPr>
                <w:rFonts w:ascii="Aptos Narrow" w:hAnsi="Aptos Narrow"/>
                <w:b w:val="0"/>
                <w:bCs w:val="0"/>
                <w:color w:val="FFFFFF" w:themeColor="background1"/>
                <w:sz w:val="22"/>
                <w:szCs w:val="22"/>
              </w:rPr>
              <w:t>“No clear winner”</w:t>
            </w:r>
          </w:p>
        </w:tc>
        <w:tc>
          <w:tcPr>
            <w:tcW w:w="1530" w:type="dxa"/>
            <w:tcBorders>
              <w:top w:val="single" w:sz="6" w:space="0" w:color="E6E6E6"/>
              <w:left w:val="single" w:sz="6" w:space="0" w:color="D9D9D9" w:themeColor="background1" w:themeShade="D9"/>
              <w:bottom w:val="single" w:sz="6" w:space="0" w:color="E6E6E6"/>
              <w:right w:val="single" w:sz="6" w:space="0" w:color="E6E6E6"/>
            </w:tcBorders>
            <w:vAlign w:val="center"/>
            <w:hideMark/>
          </w:tcPr>
          <w:p w14:paraId="09103EC6" w14:textId="77777777" w:rsidR="00BF5DC4" w:rsidRPr="00546449" w:rsidRDefault="00BF5DC4" w:rsidP="00430B63">
            <w:pPr>
              <w:pStyle w:val="Table-Text"/>
              <w:ind w:left="43" w:right="43"/>
              <w:rPr>
                <w:rFonts w:ascii="Aptos Narrow" w:hAnsi="Aptos Narrow"/>
                <w:b w:val="0"/>
                <w:bCs w:val="0"/>
                <w:sz w:val="22"/>
                <w:szCs w:val="22"/>
              </w:rPr>
            </w:pPr>
            <w:r>
              <w:rPr>
                <w:rFonts w:ascii="Aptos Narrow" w:hAnsi="Aptos Narrow"/>
                <w:b w:val="0"/>
                <w:bCs w:val="0"/>
                <w:sz w:val="22"/>
                <w:szCs w:val="22"/>
              </w:rPr>
              <w:t>“</w:t>
            </w:r>
            <w:r w:rsidRPr="00546449">
              <w:rPr>
                <w:rFonts w:ascii="Aptos Narrow" w:hAnsi="Aptos Narrow"/>
                <w:b w:val="0"/>
                <w:bCs w:val="0"/>
                <w:sz w:val="22"/>
                <w:szCs w:val="22"/>
              </w:rPr>
              <w:t>Inconclusive</w:t>
            </w:r>
            <w:r>
              <w:rPr>
                <w:rFonts w:ascii="Aptos Narrow" w:hAnsi="Aptos Narrow"/>
                <w:b w:val="0"/>
                <w:bCs w:val="0"/>
                <w:sz w:val="22"/>
                <w:szCs w:val="22"/>
              </w:rPr>
              <w:t>”</w:t>
            </w:r>
          </w:p>
        </w:tc>
        <w:tc>
          <w:tcPr>
            <w:tcW w:w="1628" w:type="dxa"/>
            <w:tcBorders>
              <w:top w:val="single" w:sz="6" w:space="0" w:color="E6E6E6"/>
              <w:left w:val="single" w:sz="6" w:space="0" w:color="E6E6E6"/>
              <w:bottom w:val="single" w:sz="6" w:space="0" w:color="E6E6E6"/>
              <w:right w:val="single" w:sz="6" w:space="0" w:color="E6E6E6"/>
            </w:tcBorders>
            <w:shd w:val="clear" w:color="auto" w:fill="DFC9EF"/>
            <w:vAlign w:val="center"/>
            <w:hideMark/>
          </w:tcPr>
          <w:p w14:paraId="4F44F9EF" w14:textId="6D29ABD0" w:rsidR="00BF5DC4" w:rsidRPr="00546449" w:rsidRDefault="00BF5DC4" w:rsidP="00430B63">
            <w:pPr>
              <w:pStyle w:val="Table-Text"/>
              <w:ind w:left="43" w:right="43"/>
              <w:rPr>
                <w:rFonts w:ascii="Aptos Narrow" w:hAnsi="Aptos Narrow"/>
                <w:b w:val="0"/>
                <w:bCs w:val="0"/>
                <w:sz w:val="22"/>
                <w:szCs w:val="22"/>
              </w:rPr>
            </w:pPr>
            <w:r w:rsidRPr="00546449">
              <w:rPr>
                <w:rFonts w:ascii="Aptos Narrow" w:hAnsi="Aptos Narrow"/>
                <w:b w:val="0"/>
                <w:bCs w:val="0"/>
                <w:sz w:val="22"/>
                <w:szCs w:val="22"/>
              </w:rPr>
              <w:t>Decision</w:t>
            </w:r>
            <w:r w:rsidR="00AB5CE1">
              <w:rPr>
                <w:rFonts w:ascii="Aptos Narrow" w:hAnsi="Aptos Narrow"/>
                <w:b w:val="0"/>
                <w:bCs w:val="0"/>
                <w:sz w:val="22"/>
                <w:szCs w:val="22"/>
              </w:rPr>
              <w:t>-</w:t>
            </w:r>
            <w:r w:rsidRPr="00546449">
              <w:rPr>
                <w:rFonts w:ascii="Aptos Narrow" w:hAnsi="Aptos Narrow"/>
                <w:b w:val="0"/>
                <w:bCs w:val="0"/>
                <w:sz w:val="22"/>
                <w:szCs w:val="22"/>
              </w:rPr>
              <w:br/>
              <w:t>limited</w:t>
            </w:r>
          </w:p>
        </w:tc>
        <w:tc>
          <w:tcPr>
            <w:tcW w:w="1792" w:type="dxa"/>
            <w:tcBorders>
              <w:top w:val="single" w:sz="6" w:space="0" w:color="E6E6E6"/>
              <w:left w:val="single" w:sz="6" w:space="0" w:color="E6E6E6"/>
              <w:bottom w:val="single" w:sz="6" w:space="0" w:color="E6E6E6"/>
              <w:right w:val="single" w:sz="6" w:space="0" w:color="BFBFBF" w:themeColor="background1" w:themeShade="BF"/>
            </w:tcBorders>
            <w:shd w:val="clear" w:color="auto" w:fill="7030A0"/>
            <w:vAlign w:val="center"/>
            <w:hideMark/>
          </w:tcPr>
          <w:p w14:paraId="24353505" w14:textId="13E7B179" w:rsidR="00BF5DC4" w:rsidRPr="00546449" w:rsidRDefault="00BF5DC4" w:rsidP="00430B63">
            <w:pPr>
              <w:pStyle w:val="Table-Text"/>
              <w:ind w:left="43" w:right="43"/>
              <w:rPr>
                <w:rFonts w:ascii="Aptos Narrow" w:hAnsi="Aptos Narrow"/>
                <w:b w:val="0"/>
                <w:bCs w:val="0"/>
                <w:color w:val="FFFFFF" w:themeColor="background1"/>
                <w:sz w:val="22"/>
                <w:szCs w:val="22"/>
              </w:rPr>
            </w:pPr>
            <w:r w:rsidRPr="00546449">
              <w:rPr>
                <w:rFonts w:ascii="Aptos Narrow" w:hAnsi="Aptos Narrow"/>
                <w:b w:val="0"/>
                <w:bCs w:val="0"/>
                <w:color w:val="FFFFFF" w:themeColor="background1"/>
                <w:sz w:val="22"/>
                <w:szCs w:val="22"/>
              </w:rPr>
              <w:t>Decision</w:t>
            </w:r>
            <w:r w:rsidR="00AB5CE1">
              <w:rPr>
                <w:rFonts w:ascii="Aptos Narrow" w:hAnsi="Aptos Narrow"/>
                <w:b w:val="0"/>
                <w:bCs w:val="0"/>
                <w:color w:val="FFFFFF" w:themeColor="background1"/>
                <w:sz w:val="22"/>
                <w:szCs w:val="22"/>
              </w:rPr>
              <w:t>-</w:t>
            </w:r>
            <w:r w:rsidR="00710CD5">
              <w:rPr>
                <w:rFonts w:ascii="Aptos Narrow" w:hAnsi="Aptos Narrow"/>
                <w:b w:val="0"/>
                <w:bCs w:val="0"/>
                <w:color w:val="FFFFFF" w:themeColor="background1"/>
                <w:sz w:val="22"/>
                <w:szCs w:val="22"/>
              </w:rPr>
              <w:br/>
            </w:r>
            <w:r w:rsidRPr="00546449">
              <w:rPr>
                <w:rFonts w:ascii="Aptos Narrow" w:hAnsi="Aptos Narrow"/>
                <w:b w:val="0"/>
                <w:bCs w:val="0"/>
                <w:color w:val="FFFFFF" w:themeColor="background1"/>
                <w:sz w:val="22"/>
                <w:szCs w:val="22"/>
              </w:rPr>
              <w:t xml:space="preserve">limited </w:t>
            </w:r>
            <w:r w:rsidRPr="00546449">
              <w:rPr>
                <w:rFonts w:ascii="Aptos Narrow" w:hAnsi="Aptos Narrow"/>
                <w:b w:val="0"/>
                <w:bCs w:val="0"/>
                <w:color w:val="FFFFFF" w:themeColor="background1"/>
                <w:sz w:val="22"/>
                <w:szCs w:val="22"/>
              </w:rPr>
              <w:br/>
              <w:t>by rule</w:t>
            </w:r>
          </w:p>
        </w:tc>
      </w:tr>
      <w:tr w:rsidR="00BF5DC4" w:rsidRPr="000C5273" w14:paraId="3DB0F2B8" w14:textId="77777777" w:rsidTr="00BF5DC4">
        <w:trPr>
          <w:jc w:val="center"/>
        </w:trPr>
        <w:tc>
          <w:tcPr>
            <w:tcW w:w="1612" w:type="dxa"/>
            <w:tcBorders>
              <w:top w:val="single" w:sz="4" w:space="0" w:color="A6A6A6" w:themeColor="background1" w:themeShade="A6"/>
              <w:left w:val="single" w:sz="4" w:space="0" w:color="BFBFBF" w:themeColor="background1" w:themeShade="BF"/>
              <w:bottom w:val="single" w:sz="4" w:space="0" w:color="BFBFBF" w:themeColor="background1" w:themeShade="BF"/>
              <w:right w:val="single" w:sz="6" w:space="0" w:color="D9D9D9" w:themeColor="background1" w:themeShade="D9"/>
            </w:tcBorders>
            <w:shd w:val="clear" w:color="auto" w:fill="F2F2F2" w:themeFill="background1" w:themeFillShade="F2"/>
            <w:vAlign w:val="center"/>
            <w:hideMark/>
          </w:tcPr>
          <w:p w14:paraId="3224CE31" w14:textId="77777777" w:rsidR="00BF5DC4" w:rsidRPr="00BD1F3F" w:rsidRDefault="00BF5DC4" w:rsidP="00430B63">
            <w:pPr>
              <w:pStyle w:val="Table-Text"/>
              <w:keepNext w:val="0"/>
              <w:keepLines w:val="0"/>
              <w:spacing w:before="160" w:after="160" w:line="216" w:lineRule="auto"/>
              <w:ind w:left="72" w:rightChars="72" w:right="173"/>
              <w:rPr>
                <w:rFonts w:ascii="Aptos Narrow" w:hAnsi="Aptos Narrow"/>
                <w:sz w:val="22"/>
                <w:szCs w:val="22"/>
              </w:rPr>
            </w:pPr>
            <w:r w:rsidRPr="00BD1F3F">
              <w:rPr>
                <w:rFonts w:ascii="Aptos Narrow" w:hAnsi="Aptos Narrow"/>
                <w:sz w:val="22"/>
                <w:szCs w:val="22"/>
              </w:rPr>
              <w:t xml:space="preserve">Epistemic </w:t>
            </w:r>
            <w:r w:rsidRPr="00BD1F3F">
              <w:rPr>
                <w:rFonts w:ascii="Aptos Narrow" w:hAnsi="Aptos Narrow"/>
                <w:sz w:val="22"/>
                <w:szCs w:val="22"/>
              </w:rPr>
              <w:br/>
              <w:t>status</w:t>
            </w:r>
          </w:p>
        </w:tc>
        <w:tc>
          <w:tcPr>
            <w:tcW w:w="1260" w:type="dxa"/>
            <w:tcBorders>
              <w:top w:val="single" w:sz="6" w:space="0" w:color="D9D9D9" w:themeColor="background1" w:themeShade="D9"/>
              <w:left w:val="single" w:sz="6" w:space="0" w:color="D9D9D9" w:themeColor="background1" w:themeShade="D9"/>
              <w:bottom w:val="single" w:sz="4" w:space="0" w:color="BFBFBF" w:themeColor="background1" w:themeShade="BF"/>
              <w:right w:val="single" w:sz="6" w:space="0" w:color="D9D9D9" w:themeColor="background1" w:themeShade="D9"/>
            </w:tcBorders>
            <w:shd w:val="clear" w:color="auto" w:fill="000000" w:themeFill="text1"/>
            <w:vAlign w:val="center"/>
            <w:hideMark/>
          </w:tcPr>
          <w:p w14:paraId="4906F3B5" w14:textId="77777777" w:rsidR="00BF5DC4" w:rsidRPr="00546449" w:rsidRDefault="00BF5DC4" w:rsidP="00430B63">
            <w:pPr>
              <w:pStyle w:val="Table-Text"/>
              <w:keepNext w:val="0"/>
              <w:keepLines w:val="0"/>
              <w:ind w:left="43" w:right="43"/>
              <w:rPr>
                <w:rFonts w:ascii="Aptos Narrow" w:hAnsi="Aptos Narrow"/>
                <w:b w:val="0"/>
                <w:bCs w:val="0"/>
                <w:color w:val="FFFFFF" w:themeColor="background1"/>
                <w:sz w:val="22"/>
                <w:szCs w:val="22"/>
              </w:rPr>
            </w:pPr>
            <w:r w:rsidRPr="00546449">
              <w:rPr>
                <w:rFonts w:ascii="Aptos Narrow" w:hAnsi="Aptos Narrow"/>
                <w:b w:val="0"/>
                <w:bCs w:val="0"/>
                <w:color w:val="FFFFFF" w:themeColor="background1"/>
                <w:sz w:val="22"/>
                <w:szCs w:val="22"/>
              </w:rPr>
              <w:t>Structure recognized</w:t>
            </w:r>
          </w:p>
        </w:tc>
        <w:tc>
          <w:tcPr>
            <w:tcW w:w="1440" w:type="dxa"/>
            <w:tcBorders>
              <w:top w:val="single" w:sz="6" w:space="0" w:color="D9D9D9" w:themeColor="background1" w:themeShade="D9"/>
              <w:left w:val="single" w:sz="6" w:space="0" w:color="D9D9D9" w:themeColor="background1" w:themeShade="D9"/>
              <w:bottom w:val="single" w:sz="4" w:space="0" w:color="BFBFBF" w:themeColor="background1" w:themeShade="BF"/>
              <w:right w:val="single" w:sz="6" w:space="0" w:color="D9D9D9" w:themeColor="background1" w:themeShade="D9"/>
            </w:tcBorders>
            <w:shd w:val="clear" w:color="auto" w:fill="7F7F7F" w:themeFill="text1" w:themeFillTint="80"/>
            <w:vAlign w:val="center"/>
            <w:hideMark/>
          </w:tcPr>
          <w:p w14:paraId="2AC052A7" w14:textId="77777777" w:rsidR="00BF5DC4" w:rsidRPr="00546449" w:rsidRDefault="00BF5DC4" w:rsidP="00430B63">
            <w:pPr>
              <w:pStyle w:val="Table-Text"/>
              <w:keepNext w:val="0"/>
              <w:keepLines w:val="0"/>
              <w:ind w:left="43" w:right="43"/>
              <w:rPr>
                <w:rFonts w:ascii="Aptos Narrow" w:hAnsi="Aptos Narrow"/>
                <w:b w:val="0"/>
                <w:bCs w:val="0"/>
                <w:color w:val="FFFFFF" w:themeColor="background1"/>
                <w:sz w:val="22"/>
                <w:szCs w:val="22"/>
              </w:rPr>
            </w:pPr>
            <w:r w:rsidRPr="00546449">
              <w:rPr>
                <w:rFonts w:ascii="Aptos Narrow" w:hAnsi="Aptos Narrow"/>
                <w:b w:val="0"/>
                <w:bCs w:val="0"/>
                <w:color w:val="FFFFFF" w:themeColor="background1"/>
                <w:sz w:val="22"/>
                <w:szCs w:val="22"/>
              </w:rPr>
              <w:t>Structure acknowledged</w:t>
            </w:r>
          </w:p>
        </w:tc>
        <w:tc>
          <w:tcPr>
            <w:tcW w:w="1530" w:type="dxa"/>
            <w:tcBorders>
              <w:top w:val="single" w:sz="6" w:space="0" w:color="E6E6E6"/>
              <w:left w:val="single" w:sz="6" w:space="0" w:color="D9D9D9" w:themeColor="background1" w:themeShade="D9"/>
              <w:bottom w:val="single" w:sz="4" w:space="0" w:color="BFBFBF" w:themeColor="background1" w:themeShade="BF"/>
              <w:right w:val="single" w:sz="6" w:space="0" w:color="E6E6E6"/>
            </w:tcBorders>
            <w:vAlign w:val="center"/>
            <w:hideMark/>
          </w:tcPr>
          <w:p w14:paraId="2F2F99B9" w14:textId="77777777" w:rsidR="00BF5DC4" w:rsidRPr="00546449" w:rsidRDefault="00BF5DC4" w:rsidP="00430B63">
            <w:pPr>
              <w:pStyle w:val="Table-Text"/>
              <w:keepNext w:val="0"/>
              <w:keepLines w:val="0"/>
              <w:ind w:left="43" w:right="43"/>
              <w:rPr>
                <w:rFonts w:ascii="Aptos Narrow" w:hAnsi="Aptos Narrow"/>
                <w:b w:val="0"/>
                <w:bCs w:val="0"/>
                <w:sz w:val="22"/>
                <w:szCs w:val="22"/>
              </w:rPr>
            </w:pPr>
            <w:r w:rsidRPr="00546449">
              <w:rPr>
                <w:rFonts w:ascii="Aptos Narrow" w:hAnsi="Aptos Narrow"/>
                <w:b w:val="0"/>
                <w:bCs w:val="0"/>
                <w:sz w:val="22"/>
                <w:szCs w:val="22"/>
              </w:rPr>
              <w:t>Structure identifiable but unread</w:t>
            </w:r>
          </w:p>
        </w:tc>
        <w:tc>
          <w:tcPr>
            <w:tcW w:w="1628" w:type="dxa"/>
            <w:tcBorders>
              <w:top w:val="single" w:sz="6" w:space="0" w:color="E6E6E6"/>
              <w:left w:val="single" w:sz="6" w:space="0" w:color="E6E6E6"/>
              <w:bottom w:val="single" w:sz="4" w:space="0" w:color="BFBFBF" w:themeColor="background1" w:themeShade="BF"/>
              <w:right w:val="single" w:sz="6" w:space="0" w:color="E6E6E6"/>
            </w:tcBorders>
            <w:shd w:val="clear" w:color="auto" w:fill="DFC9EF"/>
            <w:vAlign w:val="center"/>
            <w:hideMark/>
          </w:tcPr>
          <w:p w14:paraId="50292BDE" w14:textId="77777777" w:rsidR="00BF5DC4" w:rsidRPr="00546449" w:rsidRDefault="00BF5DC4" w:rsidP="00430B63">
            <w:pPr>
              <w:pStyle w:val="Table-Text"/>
              <w:keepNext w:val="0"/>
              <w:keepLines w:val="0"/>
              <w:ind w:left="43" w:right="43"/>
              <w:rPr>
                <w:rFonts w:ascii="Aptos Narrow" w:hAnsi="Aptos Narrow"/>
                <w:b w:val="0"/>
                <w:bCs w:val="0"/>
                <w:sz w:val="22"/>
                <w:szCs w:val="22"/>
              </w:rPr>
            </w:pPr>
            <w:r w:rsidRPr="00546449">
              <w:rPr>
                <w:rFonts w:ascii="Aptos Narrow" w:hAnsi="Aptos Narrow"/>
                <w:b w:val="0"/>
                <w:bCs w:val="0"/>
                <w:sz w:val="22"/>
                <w:szCs w:val="22"/>
              </w:rPr>
              <w:t xml:space="preserve">Structure decomposed </w:t>
            </w:r>
            <w:r w:rsidRPr="00546449">
              <w:rPr>
                <w:rFonts w:ascii="Aptos Narrow" w:hAnsi="Aptos Narrow"/>
                <w:b w:val="0"/>
                <w:bCs w:val="0"/>
                <w:sz w:val="22"/>
                <w:szCs w:val="22"/>
              </w:rPr>
              <w:br/>
            </w:r>
            <w:r w:rsidRPr="00546449">
              <w:rPr>
                <w:rFonts w:ascii="Aptos Narrow" w:hAnsi="Aptos Narrow"/>
                <w:b w:val="0"/>
                <w:bCs w:val="0"/>
                <w:i/>
                <w:iCs/>
                <w:sz w:val="22"/>
                <w:szCs w:val="22"/>
              </w:rPr>
              <w:t>post hoc</w:t>
            </w:r>
          </w:p>
        </w:tc>
        <w:tc>
          <w:tcPr>
            <w:tcW w:w="1792" w:type="dxa"/>
            <w:tcBorders>
              <w:top w:val="single" w:sz="6" w:space="0" w:color="E6E6E6"/>
              <w:left w:val="single" w:sz="6" w:space="0" w:color="E6E6E6"/>
              <w:bottom w:val="single" w:sz="4" w:space="0" w:color="BFBFBF" w:themeColor="background1" w:themeShade="BF"/>
              <w:right w:val="single" w:sz="6" w:space="0" w:color="BFBFBF" w:themeColor="background1" w:themeShade="BF"/>
            </w:tcBorders>
            <w:shd w:val="clear" w:color="auto" w:fill="7030A0"/>
            <w:vAlign w:val="center"/>
            <w:hideMark/>
          </w:tcPr>
          <w:p w14:paraId="5684BF6F" w14:textId="77777777" w:rsidR="00BF5DC4" w:rsidRPr="00546449" w:rsidRDefault="00BF5DC4" w:rsidP="00430B63">
            <w:pPr>
              <w:pStyle w:val="Table-Text"/>
              <w:keepNext w:val="0"/>
              <w:keepLines w:val="0"/>
              <w:ind w:left="43" w:right="43"/>
              <w:rPr>
                <w:rFonts w:ascii="Aptos Narrow" w:hAnsi="Aptos Narrow"/>
                <w:b w:val="0"/>
                <w:bCs w:val="0"/>
                <w:color w:val="FFFFFF" w:themeColor="background1"/>
                <w:sz w:val="22"/>
                <w:szCs w:val="22"/>
              </w:rPr>
            </w:pPr>
            <w:r w:rsidRPr="00546449">
              <w:rPr>
                <w:rFonts w:ascii="Aptos Narrow" w:hAnsi="Aptos Narrow"/>
                <w:b w:val="0"/>
                <w:bCs w:val="0"/>
                <w:color w:val="FFFFFF" w:themeColor="background1"/>
                <w:sz w:val="22"/>
                <w:szCs w:val="22"/>
              </w:rPr>
              <w:t>Structure anticipated, identified, interpreted</w:t>
            </w:r>
          </w:p>
        </w:tc>
      </w:tr>
    </w:tbl>
    <w:p w14:paraId="485C5E2D" w14:textId="49882B56" w:rsidR="00BF5DC4" w:rsidRDefault="00BF5DC4" w:rsidP="00BF5DC4">
      <w:pPr>
        <w:pStyle w:val="FigureCaption"/>
      </w:pPr>
      <w:r w:rsidRPr="003F5318">
        <w:t>Historical progression in how β is handled across trial paradigms: from divergence without decomposition (e.g., Chalmers</w:t>
      </w:r>
      <w:r>
        <w:rPr>
          <w:vertAlign w:val="superscript"/>
        </w:rPr>
        <w:t>S16</w:t>
      </w:r>
      <w:r w:rsidRPr="003F5318">
        <w:t>), to preference accommodation without β as an estimand (preference</w:t>
      </w:r>
      <w:r w:rsidR="00AB5CE1">
        <w:t>-</w:t>
      </w:r>
      <w:r w:rsidRPr="003F5318">
        <w:t>aware designs; ProtecT</w:t>
      </w:r>
      <w:r w:rsidRPr="00CC05D6">
        <w:rPr>
          <w:vertAlign w:val="superscript"/>
        </w:rPr>
        <w:t>S17,S18</w:t>
      </w:r>
      <w:r w:rsidRPr="003F5318">
        <w:t>; SPORT</w:t>
      </w:r>
      <w:r>
        <w:rPr>
          <w:vertAlign w:val="superscript"/>
        </w:rPr>
        <w:t>S10</w:t>
      </w:r>
      <w:r w:rsidRPr="003F5318">
        <w:rPr>
          <w:vertAlign w:val="superscript"/>
        </w:rPr>
        <w:t>,</w:t>
      </w:r>
      <w:r>
        <w:rPr>
          <w:vertAlign w:val="superscript"/>
        </w:rPr>
        <w:t>S11</w:t>
      </w:r>
      <w:r w:rsidRPr="003F5318">
        <w:t>), to explicit outcome</w:t>
      </w:r>
      <w:r w:rsidRPr="003F5318">
        <w:rPr>
          <w:rFonts w:ascii="Cambria Math" w:hAnsi="Cambria Math" w:cs="Cambria Math"/>
        </w:rPr>
        <w:t>‑</w:t>
      </w:r>
      <w:r w:rsidRPr="003F5318">
        <w:t xml:space="preserve">scale </w:t>
      </w:r>
      <w:r w:rsidRPr="003F5318">
        <w:rPr>
          <w:rFonts w:ascii="Aptos" w:hAnsi="Aptos" w:cs="Aptos"/>
        </w:rPr>
        <w:t>β</w:t>
      </w:r>
      <w:r w:rsidRPr="003F5318">
        <w:t xml:space="preserve"> quantification in </w:t>
      </w:r>
      <w:r w:rsidR="00476EDB">
        <w:t>Secondary analyses</w:t>
      </w:r>
      <w:r w:rsidRPr="003F5318">
        <w:t>.</w:t>
      </w:r>
      <w:r>
        <w:rPr>
          <w:vertAlign w:val="superscript"/>
        </w:rPr>
        <w:t>S3,S4</w:t>
      </w:r>
      <w:r w:rsidRPr="003F5318">
        <w:t xml:space="preserve"> The present framework prespecifies </w:t>
      </w:r>
      <w:r w:rsidRPr="003F5318">
        <w:rPr>
          <w:rFonts w:ascii="Aptos" w:hAnsi="Aptos" w:cs="Aptos"/>
        </w:rPr>
        <w:t>β</w:t>
      </w:r>
      <w:r w:rsidRPr="003F5318">
        <w:t xml:space="preserve"> as an estimand and links identification to interpretation through rule</w:t>
      </w:r>
      <w:r w:rsidRPr="003F5318">
        <w:rPr>
          <w:rFonts w:ascii="Cambria Math" w:hAnsi="Cambria Math" w:cs="Cambria Math"/>
        </w:rPr>
        <w:t>‑</w:t>
      </w:r>
      <w:r w:rsidRPr="003F5318">
        <w:t>governed regime assignment (A1</w:t>
      </w:r>
      <w:r w:rsidRPr="003F5318">
        <w:rPr>
          <w:rFonts w:ascii="Aptos" w:hAnsi="Aptos" w:cs="Aptos"/>
        </w:rPr>
        <w:t>–</w:t>
      </w:r>
      <w:r w:rsidRPr="003F5318">
        <w:t>A5; R1</w:t>
      </w:r>
      <w:r w:rsidRPr="003F5318">
        <w:rPr>
          <w:rFonts w:ascii="Aptos" w:hAnsi="Aptos" w:cs="Aptos"/>
        </w:rPr>
        <w:t>–</w:t>
      </w:r>
      <w:r w:rsidRPr="003F5318">
        <w:t>R5).</w:t>
      </w:r>
    </w:p>
    <w:p w14:paraId="1A95BC51" w14:textId="77777777" w:rsidR="00BF5DC4" w:rsidRDefault="00BF5DC4" w:rsidP="00BF5DC4">
      <w:pPr>
        <w:pStyle w:val="FigureTitle"/>
      </w:pPr>
      <w:r w:rsidRPr="001F55FF">
        <w:rPr>
          <w:b/>
          <w:bCs/>
        </w:rPr>
        <w:lastRenderedPageBreak/>
        <w:t>Table</w:t>
      </w:r>
      <w:r w:rsidRPr="001F55FF">
        <w:rPr>
          <w:rFonts w:ascii="Arial" w:hAnsi="Arial" w:cs="Arial"/>
          <w:b/>
          <w:bCs/>
        </w:rPr>
        <w:t> </w:t>
      </w:r>
      <w:r>
        <w:rPr>
          <w:rFonts w:ascii="Arial" w:hAnsi="Arial" w:cs="Arial"/>
          <w:b/>
          <w:bCs/>
        </w:rPr>
        <w:t>S</w:t>
      </w:r>
      <w:r>
        <w:rPr>
          <w:b/>
          <w:bCs/>
        </w:rPr>
        <w:t>5b</w:t>
      </w:r>
      <w:r w:rsidRPr="001F55FF">
        <w:t xml:space="preserve">. </w:t>
      </w:r>
      <w:r w:rsidRPr="009F5451">
        <w:t xml:space="preserve">Formal </w:t>
      </w:r>
      <w:r>
        <w:t>E</w:t>
      </w:r>
      <w:r w:rsidRPr="009F5451">
        <w:t xml:space="preserve">pistemic </w:t>
      </w:r>
      <w:r>
        <w:t>I</w:t>
      </w:r>
      <w:r w:rsidRPr="009F5451">
        <w:t>ntegration (Axioms–Rules–Methods)</w:t>
      </w:r>
      <w:r>
        <w:t xml:space="preserve"> </w:t>
      </w:r>
      <w:r>
        <w:br/>
        <w:t>Across Trial Generations</w:t>
      </w:r>
    </w:p>
    <w:tbl>
      <w:tblPr>
        <w:tblW w:w="9090" w:type="dxa"/>
        <w:jc w:val="center"/>
        <w:tblLayout w:type="fixed"/>
        <w:tblCellMar>
          <w:left w:w="0" w:type="dxa"/>
          <w:right w:w="0" w:type="dxa"/>
        </w:tblCellMar>
        <w:tblLook w:val="04A0" w:firstRow="1" w:lastRow="0" w:firstColumn="1" w:lastColumn="0" w:noHBand="0" w:noVBand="1"/>
      </w:tblPr>
      <w:tblGrid>
        <w:gridCol w:w="1260"/>
        <w:gridCol w:w="1350"/>
        <w:gridCol w:w="1440"/>
        <w:gridCol w:w="1710"/>
        <w:gridCol w:w="1710"/>
        <w:gridCol w:w="1620"/>
      </w:tblGrid>
      <w:tr w:rsidR="00BF5DC4" w:rsidRPr="000C5273" w14:paraId="3161B444" w14:textId="77777777" w:rsidTr="00430B63">
        <w:trPr>
          <w:trHeight w:val="1200"/>
          <w:tblHeader/>
          <w:jc w:val="center"/>
        </w:trPr>
        <w:tc>
          <w:tcPr>
            <w:tcW w:w="1260" w:type="dxa"/>
            <w:tcBorders>
              <w:bottom w:val="single" w:sz="36" w:space="0" w:color="A6A6A6" w:themeColor="background1" w:themeShade="A6"/>
              <w:right w:val="single" w:sz="6" w:space="0" w:color="BFBFBF" w:themeColor="background1" w:themeShade="BF"/>
            </w:tcBorders>
            <w:vAlign w:val="bottom"/>
            <w:hideMark/>
          </w:tcPr>
          <w:p w14:paraId="7D662C57" w14:textId="77777777" w:rsidR="00BF5DC4" w:rsidRPr="000C5273" w:rsidRDefault="00BF5DC4" w:rsidP="00430B63">
            <w:pPr>
              <w:keepNext/>
              <w:keepLines/>
              <w:spacing w:before="60" w:after="60" w:line="240" w:lineRule="auto"/>
              <w:ind w:left="72" w:right="72"/>
              <w:jc w:val="center"/>
              <w:rPr>
                <w:rFonts w:eastAsia="Times New Roman" w:cs="Times New Roman"/>
                <w:b/>
                <w:bCs/>
                <w:kern w:val="0"/>
                <w14:ligatures w14:val="none"/>
              </w:rPr>
            </w:pPr>
          </w:p>
        </w:tc>
        <w:tc>
          <w:tcPr>
            <w:tcW w:w="1350" w:type="dxa"/>
            <w:tcBorders>
              <w:top w:val="single" w:sz="6" w:space="0" w:color="BFBFBF" w:themeColor="background1" w:themeShade="BF"/>
              <w:left w:val="single" w:sz="6" w:space="0" w:color="BFBFBF" w:themeColor="background1" w:themeShade="BF"/>
              <w:bottom w:val="single" w:sz="36" w:space="0" w:color="A6A6A6" w:themeColor="background1" w:themeShade="A6"/>
              <w:right w:val="single" w:sz="6" w:space="0" w:color="A6A6A6" w:themeColor="background1" w:themeShade="A6"/>
            </w:tcBorders>
            <w:shd w:val="clear" w:color="auto" w:fill="F5F5F5"/>
            <w:vAlign w:val="bottom"/>
            <w:hideMark/>
          </w:tcPr>
          <w:p w14:paraId="53BFF94B" w14:textId="77777777" w:rsidR="00BF5DC4" w:rsidRPr="000C5273" w:rsidRDefault="00BF5DC4" w:rsidP="00430B63">
            <w:pPr>
              <w:keepNext/>
              <w:keepLines/>
              <w:spacing w:before="120" w:after="120" w:line="240" w:lineRule="auto"/>
              <w:ind w:left="72" w:right="72"/>
              <w:jc w:val="center"/>
              <w:rPr>
                <w:rFonts w:eastAsia="Times New Roman" w:cs="Times New Roman"/>
                <w:b/>
                <w:bCs/>
                <w:kern w:val="0"/>
                <w14:ligatures w14:val="none"/>
              </w:rPr>
            </w:pPr>
            <w:r w:rsidRPr="003B60A6">
              <w:rPr>
                <w:rFonts w:eastAsia="Times New Roman" w:cs="Times New Roman"/>
                <w:b/>
                <w:bCs/>
                <w:kern w:val="0"/>
                <w14:ligatures w14:val="none"/>
              </w:rPr>
              <w:t>Chalmers</w:t>
            </w:r>
            <w:r w:rsidRPr="000C5273">
              <w:rPr>
                <w:rFonts w:eastAsia="Times New Roman" w:cs="Times New Roman"/>
                <w:b/>
                <w:bCs/>
                <w:kern w:val="0"/>
                <w14:ligatures w14:val="none"/>
              </w:rPr>
              <w:t xml:space="preserve"> </w:t>
            </w:r>
            <w:r w:rsidRPr="00B40875">
              <w:rPr>
                <w:rFonts w:eastAsia="Times New Roman" w:cs="Times New Roman"/>
                <w:kern w:val="0"/>
                <w:sz w:val="18"/>
                <w:szCs w:val="18"/>
                <w14:ligatures w14:val="none"/>
              </w:rPr>
              <w:t>(1981)</w:t>
            </w:r>
            <w:r>
              <w:rPr>
                <w:rFonts w:eastAsia="Times New Roman" w:cs="Times New Roman"/>
                <w:kern w:val="0"/>
                <w:sz w:val="22"/>
                <w:szCs w:val="22"/>
                <w:vertAlign w:val="superscript"/>
                <w14:ligatures w14:val="none"/>
              </w:rPr>
              <w:t>S16</w:t>
            </w:r>
          </w:p>
        </w:tc>
        <w:tc>
          <w:tcPr>
            <w:tcW w:w="1440" w:type="dxa"/>
            <w:tcBorders>
              <w:top w:val="single" w:sz="6" w:space="0" w:color="BFBFBF" w:themeColor="background1" w:themeShade="BF"/>
              <w:left w:val="single" w:sz="6" w:space="0" w:color="A6A6A6" w:themeColor="background1" w:themeShade="A6"/>
              <w:bottom w:val="single" w:sz="36" w:space="0" w:color="A6A6A6" w:themeColor="background1" w:themeShade="A6"/>
              <w:right w:val="single" w:sz="6" w:space="0" w:color="A6A6A6" w:themeColor="background1" w:themeShade="A6"/>
            </w:tcBorders>
            <w:shd w:val="clear" w:color="auto" w:fill="F5F5F5"/>
            <w:vAlign w:val="bottom"/>
            <w:hideMark/>
          </w:tcPr>
          <w:p w14:paraId="06CB9D79" w14:textId="77777777" w:rsidR="00BF5DC4" w:rsidRPr="00B40875" w:rsidRDefault="00BF5DC4" w:rsidP="00430B63">
            <w:pPr>
              <w:keepNext/>
              <w:keepLines/>
              <w:spacing w:before="120" w:after="120" w:line="240" w:lineRule="auto"/>
              <w:ind w:left="72" w:right="72"/>
              <w:jc w:val="center"/>
              <w:rPr>
                <w:rFonts w:eastAsia="Times New Roman" w:cs="Times New Roman"/>
                <w:b/>
                <w:bCs/>
                <w:kern w:val="0"/>
                <w:sz w:val="22"/>
                <w:szCs w:val="22"/>
                <w14:ligatures w14:val="none"/>
              </w:rPr>
            </w:pPr>
            <w:r w:rsidRPr="003B60A6">
              <w:rPr>
                <w:rFonts w:eastAsia="Times New Roman" w:cs="Times New Roman"/>
                <w:b/>
                <w:bCs/>
                <w:kern w:val="0"/>
                <w14:ligatures w14:val="none"/>
              </w:rPr>
              <w:t>ProtecT</w:t>
            </w:r>
            <w:r>
              <w:rPr>
                <w:sz w:val="20"/>
                <w:szCs w:val="20"/>
                <w:vertAlign w:val="superscript"/>
              </w:rPr>
              <w:t>S17,S18</w:t>
            </w:r>
          </w:p>
        </w:tc>
        <w:tc>
          <w:tcPr>
            <w:tcW w:w="1710" w:type="dxa"/>
            <w:tcBorders>
              <w:top w:val="single" w:sz="6" w:space="0" w:color="BFBFBF" w:themeColor="background1" w:themeShade="BF"/>
              <w:left w:val="single" w:sz="6" w:space="0" w:color="A6A6A6" w:themeColor="background1" w:themeShade="A6"/>
              <w:bottom w:val="single" w:sz="36" w:space="0" w:color="A6A6A6" w:themeColor="background1" w:themeShade="A6"/>
              <w:right w:val="single" w:sz="6" w:space="0" w:color="A6A6A6" w:themeColor="background1" w:themeShade="A6"/>
            </w:tcBorders>
            <w:shd w:val="clear" w:color="auto" w:fill="F5F5F5"/>
            <w:vAlign w:val="bottom"/>
            <w:hideMark/>
          </w:tcPr>
          <w:p w14:paraId="4C64DBA9" w14:textId="77777777" w:rsidR="00BF5DC4" w:rsidRPr="00B40875" w:rsidRDefault="00BF5DC4" w:rsidP="00430B63">
            <w:pPr>
              <w:keepNext/>
              <w:keepLines/>
              <w:spacing w:before="120" w:after="120" w:line="240" w:lineRule="auto"/>
              <w:ind w:left="72" w:right="72"/>
              <w:jc w:val="center"/>
              <w:rPr>
                <w:rFonts w:eastAsia="Times New Roman" w:cs="Times New Roman"/>
                <w:b/>
                <w:bCs/>
                <w:kern w:val="0"/>
                <w:sz w:val="22"/>
                <w:szCs w:val="22"/>
                <w14:ligatures w14:val="none"/>
              </w:rPr>
            </w:pPr>
            <w:r w:rsidRPr="003B60A6">
              <w:rPr>
                <w:rFonts w:eastAsia="Times New Roman" w:cs="Times New Roman"/>
                <w:b/>
                <w:bCs/>
                <w:kern w:val="0"/>
                <w14:ligatures w14:val="none"/>
              </w:rPr>
              <w:t>SPORT</w:t>
            </w:r>
            <w:r w:rsidRPr="00CC05D6">
              <w:rPr>
                <w:rFonts w:eastAsia="Times New Roman" w:cs="Times New Roman"/>
                <w:kern w:val="0"/>
                <w:sz w:val="22"/>
                <w:szCs w:val="22"/>
                <w:vertAlign w:val="superscript"/>
                <w14:ligatures w14:val="none"/>
              </w:rPr>
              <w:t>S10,S11</w:t>
            </w:r>
          </w:p>
        </w:tc>
        <w:tc>
          <w:tcPr>
            <w:tcW w:w="1710" w:type="dxa"/>
            <w:tcBorders>
              <w:top w:val="single" w:sz="6" w:space="0" w:color="BFBFBF" w:themeColor="background1" w:themeShade="BF"/>
              <w:left w:val="single" w:sz="6" w:space="0" w:color="A6A6A6" w:themeColor="background1" w:themeShade="A6"/>
              <w:bottom w:val="single" w:sz="36" w:space="0" w:color="A6A6A6" w:themeColor="background1" w:themeShade="A6"/>
              <w:right w:val="single" w:sz="6" w:space="0" w:color="A6A6A6" w:themeColor="background1" w:themeShade="A6"/>
            </w:tcBorders>
            <w:shd w:val="clear" w:color="auto" w:fill="F5F5F5"/>
            <w:vAlign w:val="bottom"/>
            <w:hideMark/>
          </w:tcPr>
          <w:p w14:paraId="544BBEC8" w14:textId="1F45961D" w:rsidR="00BF5DC4" w:rsidRPr="00B40875" w:rsidRDefault="00BF5DC4" w:rsidP="00430B63">
            <w:pPr>
              <w:keepNext/>
              <w:keepLines/>
              <w:spacing w:before="120" w:after="120" w:line="240" w:lineRule="auto"/>
              <w:ind w:left="72" w:right="72"/>
              <w:jc w:val="center"/>
              <w:rPr>
                <w:rFonts w:eastAsia="Times New Roman" w:cs="Times New Roman"/>
                <w:b/>
                <w:bCs/>
                <w:kern w:val="0"/>
                <w:sz w:val="22"/>
                <w:szCs w:val="22"/>
                <w14:ligatures w14:val="none"/>
              </w:rPr>
            </w:pPr>
            <w:r w:rsidRPr="003B60A6">
              <w:rPr>
                <w:rFonts w:eastAsia="Times New Roman" w:cs="Times New Roman"/>
                <w:b/>
                <w:bCs/>
                <w:kern w:val="0"/>
                <w14:ligatures w14:val="none"/>
              </w:rPr>
              <w:t>β</w:t>
            </w:r>
            <w:r w:rsidR="00AB5CE1">
              <w:rPr>
                <w:rFonts w:eastAsia="Times New Roman" w:cs="Times New Roman"/>
                <w:b/>
                <w:bCs/>
                <w:kern w:val="0"/>
                <w14:ligatures w14:val="none"/>
              </w:rPr>
              <w:t>-</w:t>
            </w:r>
            <w:r w:rsidRPr="003B60A6">
              <w:rPr>
                <w:rFonts w:eastAsia="Times New Roman" w:cs="Times New Roman"/>
                <w:b/>
                <w:bCs/>
                <w:kern w:val="0"/>
                <w14:ligatures w14:val="none"/>
              </w:rPr>
              <w:t>Quantifying Secondary Analyses</w:t>
            </w:r>
            <w:r>
              <w:rPr>
                <w:rFonts w:eastAsia="Times New Roman" w:cs="Times New Roman"/>
                <w:kern w:val="0"/>
                <w:sz w:val="22"/>
                <w:szCs w:val="22"/>
                <w:vertAlign w:val="superscript"/>
                <w14:ligatures w14:val="none"/>
              </w:rPr>
              <w:t>S3,S4</w:t>
            </w:r>
          </w:p>
        </w:tc>
        <w:tc>
          <w:tcPr>
            <w:tcW w:w="1620" w:type="dxa"/>
            <w:tcBorders>
              <w:top w:val="single" w:sz="6" w:space="0" w:color="BFBFBF" w:themeColor="background1" w:themeShade="BF"/>
              <w:left w:val="single" w:sz="6" w:space="0" w:color="A6A6A6" w:themeColor="background1" w:themeShade="A6"/>
              <w:bottom w:val="single" w:sz="36" w:space="0" w:color="A6A6A6" w:themeColor="background1" w:themeShade="A6"/>
              <w:right w:val="single" w:sz="6" w:space="0" w:color="BFBFBF" w:themeColor="background1" w:themeShade="BF"/>
            </w:tcBorders>
            <w:shd w:val="clear" w:color="auto" w:fill="F5F5F5"/>
            <w:vAlign w:val="bottom"/>
            <w:hideMark/>
          </w:tcPr>
          <w:p w14:paraId="78E2D712" w14:textId="4F9564B1" w:rsidR="00BF5DC4" w:rsidRPr="000C5273" w:rsidRDefault="00BF5DC4" w:rsidP="00430B63">
            <w:pPr>
              <w:keepNext/>
              <w:keepLines/>
              <w:spacing w:before="120" w:after="120" w:line="240" w:lineRule="auto"/>
              <w:ind w:left="72" w:right="72"/>
              <w:jc w:val="center"/>
              <w:rPr>
                <w:rFonts w:eastAsia="Times New Roman" w:cs="Times New Roman"/>
                <w:b/>
                <w:bCs/>
                <w:kern w:val="0"/>
                <w14:ligatures w14:val="none"/>
              </w:rPr>
            </w:pPr>
            <w:r w:rsidRPr="003B60A6">
              <w:rPr>
                <w:rFonts w:eastAsia="Times New Roman" w:cs="Times New Roman"/>
                <w:b/>
                <w:bCs/>
                <w:kern w:val="0"/>
                <w14:ligatures w14:val="none"/>
              </w:rPr>
              <w:t>β</w:t>
            </w:r>
            <w:r w:rsidR="00AB5CE1">
              <w:rPr>
                <w:rFonts w:eastAsia="Times New Roman" w:cs="Times New Roman"/>
                <w:b/>
                <w:bCs/>
                <w:kern w:val="0"/>
                <w14:ligatures w14:val="none"/>
              </w:rPr>
              <w:t>-</w:t>
            </w:r>
            <w:r w:rsidRPr="003B60A6">
              <w:rPr>
                <w:rFonts w:eastAsia="Times New Roman" w:cs="Times New Roman"/>
                <w:b/>
                <w:bCs/>
                <w:kern w:val="0"/>
                <w14:ligatures w14:val="none"/>
              </w:rPr>
              <w:t>Identifying Trials</w:t>
            </w:r>
            <w:r w:rsidRPr="00B40875">
              <w:rPr>
                <w:rFonts w:eastAsia="Times New Roman" w:cs="Times New Roman"/>
                <w:b/>
                <w:bCs/>
                <w:kern w:val="0"/>
                <w:sz w:val="22"/>
                <w:szCs w:val="22"/>
                <w14:ligatures w14:val="none"/>
              </w:rPr>
              <w:t xml:space="preserve"> </w:t>
            </w:r>
            <w:r w:rsidRPr="00B40875">
              <w:rPr>
                <w:rFonts w:eastAsia="Times New Roman" w:cs="Times New Roman"/>
                <w:b/>
                <w:bCs/>
                <w:kern w:val="0"/>
                <w:sz w:val="22"/>
                <w:szCs w:val="22"/>
                <w14:ligatures w14:val="none"/>
              </w:rPr>
              <w:br/>
            </w:r>
            <w:r w:rsidRPr="00B40875">
              <w:rPr>
                <w:rFonts w:eastAsia="Times New Roman" w:cs="Times New Roman"/>
                <w:kern w:val="0"/>
                <w:sz w:val="18"/>
                <w:szCs w:val="18"/>
                <w14:ligatures w14:val="none"/>
              </w:rPr>
              <w:t>(This Paper)</w:t>
            </w:r>
          </w:p>
        </w:tc>
      </w:tr>
      <w:tr w:rsidR="00BF5DC4" w:rsidRPr="000C5273" w14:paraId="2CB6C64B" w14:textId="77777777" w:rsidTr="00430B63">
        <w:trPr>
          <w:trHeight w:val="1515"/>
          <w:jc w:val="center"/>
        </w:trPr>
        <w:tc>
          <w:tcPr>
            <w:tcW w:w="1260" w:type="dxa"/>
            <w:tcBorders>
              <w:top w:val="single" w:sz="36" w:space="0" w:color="A6A6A6" w:themeColor="background1" w:themeShade="A6"/>
              <w:left w:val="single" w:sz="4" w:space="0" w:color="BFBFBF" w:themeColor="background1" w:themeShade="BF"/>
              <w:bottom w:val="single" w:sz="4" w:space="0" w:color="A6A6A6" w:themeColor="background1" w:themeShade="A6"/>
            </w:tcBorders>
            <w:shd w:val="clear" w:color="auto" w:fill="F2F2F2" w:themeFill="background1" w:themeFillShade="F2"/>
            <w:vAlign w:val="center"/>
          </w:tcPr>
          <w:p w14:paraId="0C4D6FBF" w14:textId="77777777" w:rsidR="00BF5DC4" w:rsidRPr="003B60A6" w:rsidRDefault="00BF5DC4" w:rsidP="00430B63">
            <w:pPr>
              <w:keepNext/>
              <w:keepLines/>
              <w:spacing w:before="180" w:after="180" w:line="240" w:lineRule="auto"/>
              <w:ind w:left="72" w:right="72"/>
              <w:jc w:val="center"/>
              <w:rPr>
                <w:rFonts w:ascii="Aptos Narrow" w:eastAsia="Times New Roman" w:hAnsi="Aptos Narrow" w:cs="Times New Roman"/>
                <w:b/>
                <w:bCs/>
                <w:kern w:val="0"/>
                <w:sz w:val="28"/>
                <w:szCs w:val="28"/>
                <w14:ligatures w14:val="none"/>
              </w:rPr>
            </w:pPr>
            <w:r w:rsidRPr="003B60A6">
              <w:rPr>
                <w:rFonts w:ascii="Aptos Narrow" w:eastAsia="Times New Roman" w:hAnsi="Aptos Narrow" w:cs="Times New Roman"/>
                <w:b/>
                <w:bCs/>
                <w:kern w:val="0"/>
                <w:sz w:val="28"/>
                <w:szCs w:val="28"/>
                <w14:ligatures w14:val="none"/>
              </w:rPr>
              <w:t>Axioms</w:t>
            </w:r>
            <w:r w:rsidRPr="003B60A6">
              <w:rPr>
                <w:rFonts w:ascii="Aptos Narrow" w:eastAsia="Times New Roman" w:hAnsi="Aptos Narrow" w:cs="Times New Roman"/>
                <w:b/>
                <w:bCs/>
                <w:kern w:val="0"/>
                <w:sz w:val="28"/>
                <w:szCs w:val="28"/>
                <w14:ligatures w14:val="none"/>
              </w:rPr>
              <w:br/>
              <w:t>invoked</w:t>
            </w:r>
          </w:p>
        </w:tc>
        <w:tc>
          <w:tcPr>
            <w:tcW w:w="1350" w:type="dxa"/>
            <w:tcBorders>
              <w:top w:val="single" w:sz="36" w:space="0" w:color="A6A6A6" w:themeColor="background1" w:themeShade="A6"/>
              <w:left w:val="nil"/>
              <w:bottom w:val="single" w:sz="6" w:space="0" w:color="D9D9D9" w:themeColor="background1" w:themeShade="D9"/>
              <w:right w:val="single" w:sz="6" w:space="0" w:color="D9D9D9" w:themeColor="background1" w:themeShade="D9"/>
            </w:tcBorders>
            <w:shd w:val="clear" w:color="auto" w:fill="000000" w:themeFill="text1"/>
            <w:vAlign w:val="center"/>
          </w:tcPr>
          <w:p w14:paraId="11C49A1A" w14:textId="77777777" w:rsidR="00BF5DC4" w:rsidRPr="003B615A" w:rsidRDefault="00BF5DC4" w:rsidP="00430B63">
            <w:pPr>
              <w:keepNext/>
              <w:keepLines/>
              <w:spacing w:before="240" w:after="240" w:line="240" w:lineRule="auto"/>
              <w:ind w:left="72" w:right="72"/>
              <w:jc w:val="center"/>
              <w:rPr>
                <w:rFonts w:ascii="Aptos Narrow" w:eastAsia="Times New Roman" w:hAnsi="Aptos Narrow" w:cs="Times New Roman"/>
                <w:color w:val="FFFFFF" w:themeColor="background1"/>
                <w:kern w:val="0"/>
                <w14:ligatures w14:val="none"/>
              </w:rPr>
            </w:pPr>
            <w:r w:rsidRPr="003B615A">
              <w:rPr>
                <w:rFonts w:ascii="Aptos Narrow" w:eastAsia="Times New Roman" w:hAnsi="Aptos Narrow" w:cs="Times New Roman"/>
                <w:color w:val="FFFFFF" w:themeColor="background1"/>
                <w:kern w:val="0"/>
                <w14:ligatures w14:val="none"/>
              </w:rPr>
              <w:t>None</w:t>
            </w:r>
          </w:p>
        </w:tc>
        <w:tc>
          <w:tcPr>
            <w:tcW w:w="1440" w:type="dxa"/>
            <w:tcBorders>
              <w:top w:val="single" w:sz="36" w:space="0" w:color="A6A6A6" w:themeColor="background1" w:themeShade="A6"/>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7F7F7F" w:themeFill="text1" w:themeFillTint="80"/>
            <w:vAlign w:val="center"/>
          </w:tcPr>
          <w:p w14:paraId="3E589543" w14:textId="77777777" w:rsidR="00BF5DC4" w:rsidRPr="003B615A" w:rsidRDefault="00BF5DC4" w:rsidP="00430B63">
            <w:pPr>
              <w:keepNext/>
              <w:keepLines/>
              <w:spacing w:before="240" w:after="240" w:line="240" w:lineRule="auto"/>
              <w:ind w:left="72" w:right="72"/>
              <w:jc w:val="center"/>
              <w:rPr>
                <w:rFonts w:ascii="Aptos Narrow" w:eastAsia="Times New Roman" w:hAnsi="Aptos Narrow" w:cs="Times New Roman"/>
                <w:color w:val="FFFFFF" w:themeColor="background1"/>
                <w:kern w:val="0"/>
                <w14:ligatures w14:val="none"/>
              </w:rPr>
            </w:pPr>
            <w:r w:rsidRPr="003B615A">
              <w:rPr>
                <w:rFonts w:ascii="Aptos Narrow" w:eastAsia="Times New Roman" w:hAnsi="Aptos Narrow" w:cs="Times New Roman"/>
                <w:b/>
                <w:bCs/>
                <w:color w:val="FFFFFF" w:themeColor="background1"/>
                <w:kern w:val="0"/>
                <w:sz w:val="28"/>
                <w:szCs w:val="28"/>
                <w14:ligatures w14:val="none"/>
              </w:rPr>
              <w:t>A1</w:t>
            </w:r>
            <w:r w:rsidRPr="003B615A">
              <w:rPr>
                <w:rFonts w:ascii="Aptos Narrow" w:eastAsia="Times New Roman" w:hAnsi="Aptos Narrow" w:cs="Times New Roman"/>
                <w:color w:val="FFFFFF" w:themeColor="background1"/>
                <w:kern w:val="0"/>
                <w14:ligatures w14:val="none"/>
              </w:rPr>
              <w:br/>
              <w:t xml:space="preserve"> implicit</w:t>
            </w:r>
          </w:p>
        </w:tc>
        <w:tc>
          <w:tcPr>
            <w:tcW w:w="1710" w:type="dxa"/>
            <w:tcBorders>
              <w:top w:val="single" w:sz="36" w:space="0" w:color="A6A6A6" w:themeColor="background1" w:themeShade="A6"/>
              <w:left w:val="single" w:sz="6" w:space="0" w:color="D9D9D9" w:themeColor="background1" w:themeShade="D9"/>
              <w:bottom w:val="single" w:sz="6" w:space="0" w:color="E6E6E6"/>
              <w:right w:val="single" w:sz="6" w:space="0" w:color="E6E6E6"/>
            </w:tcBorders>
            <w:vAlign w:val="center"/>
          </w:tcPr>
          <w:p w14:paraId="6762FF8F" w14:textId="77777777" w:rsidR="00BF5DC4" w:rsidRPr="003B615A" w:rsidRDefault="00BF5DC4" w:rsidP="00430B63">
            <w:pPr>
              <w:keepNext/>
              <w:keepLines/>
              <w:spacing w:before="240" w:after="240" w:line="240" w:lineRule="auto"/>
              <w:ind w:left="72" w:right="72"/>
              <w:jc w:val="center"/>
              <w:rPr>
                <w:rFonts w:ascii="Aptos Narrow" w:eastAsia="Times New Roman" w:hAnsi="Aptos Narrow" w:cs="Times New Roman"/>
                <w:kern w:val="0"/>
                <w14:ligatures w14:val="none"/>
              </w:rPr>
            </w:pPr>
            <w:r w:rsidRPr="003B615A">
              <w:rPr>
                <w:rFonts w:ascii="Aptos Narrow" w:eastAsia="Times New Roman" w:hAnsi="Aptos Narrow" w:cs="Times New Roman"/>
                <w:b/>
                <w:bCs/>
                <w:kern w:val="0"/>
                <w:sz w:val="28"/>
                <w:szCs w:val="28"/>
                <w14:ligatures w14:val="none"/>
              </w:rPr>
              <w:t>A1</w:t>
            </w:r>
            <w:r w:rsidRPr="003B615A">
              <w:rPr>
                <w:rFonts w:ascii="Aptos Narrow" w:eastAsia="Times New Roman" w:hAnsi="Aptos Narrow" w:cs="Times New Roman"/>
                <w:kern w:val="0"/>
                <w:sz w:val="28"/>
                <w:szCs w:val="28"/>
                <w14:ligatures w14:val="none"/>
              </w:rPr>
              <w:t xml:space="preserve">, </w:t>
            </w:r>
            <w:r w:rsidRPr="003B615A">
              <w:rPr>
                <w:rFonts w:ascii="Aptos Narrow" w:eastAsia="Times New Roman" w:hAnsi="Aptos Narrow" w:cs="Times New Roman"/>
                <w:b/>
                <w:bCs/>
                <w:kern w:val="0"/>
                <w:sz w:val="28"/>
                <w:szCs w:val="28"/>
                <w14:ligatures w14:val="none"/>
              </w:rPr>
              <w:t>A2</w:t>
            </w:r>
            <w:r w:rsidRPr="003B615A">
              <w:rPr>
                <w:rFonts w:ascii="Aptos Narrow" w:eastAsia="Times New Roman" w:hAnsi="Aptos Narrow" w:cs="Times New Roman"/>
                <w:kern w:val="0"/>
                <w14:ligatures w14:val="none"/>
              </w:rPr>
              <w:t xml:space="preserve"> </w:t>
            </w:r>
            <w:r w:rsidRPr="003B615A">
              <w:rPr>
                <w:rFonts w:ascii="Aptos Narrow" w:eastAsia="Times New Roman" w:hAnsi="Aptos Narrow" w:cs="Times New Roman"/>
                <w:kern w:val="0"/>
                <w14:ligatures w14:val="none"/>
              </w:rPr>
              <w:br/>
              <w:t>implicit</w:t>
            </w:r>
          </w:p>
        </w:tc>
        <w:tc>
          <w:tcPr>
            <w:tcW w:w="1710" w:type="dxa"/>
            <w:tcBorders>
              <w:top w:val="single" w:sz="36" w:space="0" w:color="A6A6A6" w:themeColor="background1" w:themeShade="A6"/>
              <w:left w:val="single" w:sz="6" w:space="0" w:color="E6E6E6"/>
              <w:bottom w:val="single" w:sz="6" w:space="0" w:color="E6E6E6"/>
              <w:right w:val="single" w:sz="6" w:space="0" w:color="E6E6E6"/>
            </w:tcBorders>
            <w:shd w:val="clear" w:color="auto" w:fill="DFC9EF"/>
            <w:vAlign w:val="center"/>
          </w:tcPr>
          <w:p w14:paraId="5BF2F115" w14:textId="77777777" w:rsidR="00BF5DC4" w:rsidRPr="003B615A" w:rsidRDefault="00BF5DC4" w:rsidP="00430B63">
            <w:pPr>
              <w:keepNext/>
              <w:keepLines/>
              <w:spacing w:before="240" w:after="240" w:line="240" w:lineRule="auto"/>
              <w:ind w:left="72" w:right="72"/>
              <w:jc w:val="center"/>
              <w:rPr>
                <w:rFonts w:ascii="Aptos Narrow" w:eastAsia="Times New Roman" w:hAnsi="Aptos Narrow" w:cs="Times New Roman"/>
                <w:kern w:val="0"/>
                <w14:ligatures w14:val="none"/>
              </w:rPr>
            </w:pPr>
            <w:r w:rsidRPr="003B615A">
              <w:rPr>
                <w:rFonts w:ascii="Aptos Narrow" w:eastAsia="Times New Roman" w:hAnsi="Aptos Narrow" w:cs="Times New Roman"/>
                <w:b/>
                <w:bCs/>
                <w:kern w:val="0"/>
                <w:sz w:val="28"/>
                <w:szCs w:val="28"/>
                <w14:ligatures w14:val="none"/>
              </w:rPr>
              <w:t>A1</w:t>
            </w:r>
            <w:r w:rsidRPr="003B615A">
              <w:rPr>
                <w:rFonts w:ascii="Aptos Narrow" w:eastAsia="Times New Roman" w:hAnsi="Aptos Narrow" w:cs="Times New Roman"/>
                <w:kern w:val="0"/>
                <w14:ligatures w14:val="none"/>
              </w:rPr>
              <w:t xml:space="preserve">, </w:t>
            </w:r>
            <w:r w:rsidRPr="003B615A">
              <w:rPr>
                <w:rFonts w:ascii="Aptos Narrow" w:eastAsia="Times New Roman" w:hAnsi="Aptos Narrow" w:cs="Times New Roman"/>
                <w:b/>
                <w:bCs/>
                <w:kern w:val="0"/>
                <w:sz w:val="28"/>
                <w:szCs w:val="28"/>
                <w14:ligatures w14:val="none"/>
              </w:rPr>
              <w:t>A2</w:t>
            </w:r>
            <w:r w:rsidRPr="003B615A">
              <w:rPr>
                <w:rFonts w:ascii="Aptos Narrow" w:eastAsia="Times New Roman" w:hAnsi="Aptos Narrow" w:cs="Times New Roman"/>
                <w:kern w:val="0"/>
                <w14:ligatures w14:val="none"/>
              </w:rPr>
              <w:t xml:space="preserve"> </w:t>
            </w:r>
            <w:r w:rsidRPr="003B615A">
              <w:rPr>
                <w:rFonts w:ascii="Aptos Narrow" w:eastAsia="Times New Roman" w:hAnsi="Aptos Narrow" w:cs="Times New Roman"/>
                <w:kern w:val="0"/>
                <w14:ligatures w14:val="none"/>
              </w:rPr>
              <w:br/>
              <w:t>explicit</w:t>
            </w:r>
          </w:p>
        </w:tc>
        <w:tc>
          <w:tcPr>
            <w:tcW w:w="1620" w:type="dxa"/>
            <w:tcBorders>
              <w:top w:val="single" w:sz="36" w:space="0" w:color="A6A6A6" w:themeColor="background1" w:themeShade="A6"/>
              <w:left w:val="single" w:sz="6" w:space="0" w:color="E6E6E6"/>
              <w:bottom w:val="single" w:sz="6" w:space="0" w:color="E6E6E6"/>
              <w:right w:val="single" w:sz="6" w:space="0" w:color="BFBFBF" w:themeColor="background1" w:themeShade="BF"/>
            </w:tcBorders>
            <w:shd w:val="clear" w:color="auto" w:fill="7030A0"/>
            <w:vAlign w:val="center"/>
          </w:tcPr>
          <w:p w14:paraId="12178E32" w14:textId="77777777" w:rsidR="00BF5DC4" w:rsidRPr="003B615A" w:rsidRDefault="00BF5DC4" w:rsidP="00430B63">
            <w:pPr>
              <w:keepNext/>
              <w:keepLines/>
              <w:spacing w:before="240" w:after="240" w:line="240" w:lineRule="auto"/>
              <w:ind w:left="72" w:right="72"/>
              <w:jc w:val="center"/>
              <w:rPr>
                <w:rFonts w:ascii="Aptos Narrow" w:eastAsia="Times New Roman" w:hAnsi="Aptos Narrow" w:cs="Times New Roman"/>
                <w:color w:val="FFFFFF" w:themeColor="background1"/>
                <w:kern w:val="0"/>
                <w14:ligatures w14:val="none"/>
              </w:rPr>
            </w:pPr>
            <w:r w:rsidRPr="003B615A">
              <w:rPr>
                <w:rFonts w:ascii="Aptos Narrow" w:eastAsia="Times New Roman" w:hAnsi="Aptos Narrow" w:cs="Times New Roman"/>
                <w:b/>
                <w:bCs/>
                <w:color w:val="FFFFFF" w:themeColor="background1"/>
                <w:kern w:val="0"/>
                <w:sz w:val="28"/>
                <w:szCs w:val="28"/>
                <w14:ligatures w14:val="none"/>
              </w:rPr>
              <w:t>A1</w:t>
            </w:r>
            <w:r w:rsidRPr="003B615A">
              <w:rPr>
                <w:rFonts w:ascii="Aptos Narrow" w:eastAsia="Times New Roman" w:hAnsi="Aptos Narrow" w:cs="Times New Roman"/>
                <w:color w:val="FFFFFF" w:themeColor="background1"/>
                <w:kern w:val="0"/>
                <w14:ligatures w14:val="none"/>
              </w:rPr>
              <w:t xml:space="preserve"> – </w:t>
            </w:r>
            <w:r w:rsidRPr="003B615A">
              <w:rPr>
                <w:rFonts w:ascii="Aptos Narrow" w:eastAsia="Times New Roman" w:hAnsi="Aptos Narrow" w:cs="Times New Roman"/>
                <w:b/>
                <w:bCs/>
                <w:color w:val="FFFFFF" w:themeColor="background1"/>
                <w:kern w:val="0"/>
                <w:sz w:val="28"/>
                <w:szCs w:val="28"/>
                <w14:ligatures w14:val="none"/>
              </w:rPr>
              <w:t>A5</w:t>
            </w:r>
          </w:p>
        </w:tc>
      </w:tr>
      <w:tr w:rsidR="00BF5DC4" w:rsidRPr="000C5273" w14:paraId="458350E9" w14:textId="77777777" w:rsidTr="00430B63">
        <w:trPr>
          <w:trHeight w:val="1695"/>
          <w:jc w:val="center"/>
        </w:trPr>
        <w:tc>
          <w:tcPr>
            <w:tcW w:w="1260" w:type="dxa"/>
            <w:tcBorders>
              <w:top w:val="single" w:sz="4" w:space="0" w:color="A6A6A6" w:themeColor="background1" w:themeShade="A6"/>
              <w:left w:val="single" w:sz="4" w:space="0" w:color="BFBFBF" w:themeColor="background1" w:themeShade="BF"/>
              <w:bottom w:val="single" w:sz="4" w:space="0" w:color="A6A6A6" w:themeColor="background1" w:themeShade="A6"/>
            </w:tcBorders>
            <w:shd w:val="clear" w:color="auto" w:fill="F2F2F2" w:themeFill="background1" w:themeFillShade="F2"/>
            <w:vAlign w:val="center"/>
          </w:tcPr>
          <w:p w14:paraId="7AE1F293" w14:textId="77777777" w:rsidR="00BF5DC4" w:rsidRPr="003B60A6" w:rsidRDefault="00BF5DC4" w:rsidP="00430B63">
            <w:pPr>
              <w:keepNext/>
              <w:keepLines/>
              <w:spacing w:before="180" w:after="180" w:line="240" w:lineRule="auto"/>
              <w:ind w:left="72" w:right="72"/>
              <w:jc w:val="center"/>
              <w:rPr>
                <w:rFonts w:ascii="Aptos Narrow" w:eastAsia="Times New Roman" w:hAnsi="Aptos Narrow" w:cs="Times New Roman"/>
                <w:b/>
                <w:bCs/>
                <w:kern w:val="0"/>
                <w:sz w:val="28"/>
                <w:szCs w:val="28"/>
                <w14:ligatures w14:val="none"/>
              </w:rPr>
            </w:pPr>
            <w:r w:rsidRPr="003B60A6">
              <w:rPr>
                <w:rFonts w:ascii="Aptos Narrow" w:eastAsia="Times New Roman" w:hAnsi="Aptos Narrow" w:cs="Times New Roman"/>
                <w:b/>
                <w:bCs/>
                <w:kern w:val="0"/>
                <w:sz w:val="28"/>
                <w:szCs w:val="28"/>
                <w14:ligatures w14:val="none"/>
              </w:rPr>
              <w:t>Rules</w:t>
            </w:r>
            <w:r w:rsidRPr="003B60A6">
              <w:rPr>
                <w:rFonts w:ascii="Aptos Narrow" w:eastAsia="Times New Roman" w:hAnsi="Aptos Narrow" w:cs="Times New Roman"/>
                <w:b/>
                <w:bCs/>
                <w:kern w:val="0"/>
                <w:sz w:val="28"/>
                <w:szCs w:val="28"/>
                <w14:ligatures w14:val="none"/>
              </w:rPr>
              <w:br/>
              <w:t>applied</w:t>
            </w:r>
          </w:p>
        </w:tc>
        <w:tc>
          <w:tcPr>
            <w:tcW w:w="1350" w:type="dxa"/>
            <w:tcBorders>
              <w:top w:val="single" w:sz="6" w:space="0" w:color="D9D9D9" w:themeColor="background1" w:themeShade="D9"/>
              <w:left w:val="nil"/>
              <w:bottom w:val="single" w:sz="6" w:space="0" w:color="D9D9D9" w:themeColor="background1" w:themeShade="D9"/>
              <w:right w:val="single" w:sz="6" w:space="0" w:color="D9D9D9" w:themeColor="background1" w:themeShade="D9"/>
            </w:tcBorders>
            <w:shd w:val="clear" w:color="auto" w:fill="000000" w:themeFill="text1"/>
            <w:vAlign w:val="center"/>
          </w:tcPr>
          <w:p w14:paraId="4923EE9B" w14:textId="77777777" w:rsidR="00BF5DC4" w:rsidRPr="003B615A" w:rsidRDefault="00BF5DC4" w:rsidP="00430B63">
            <w:pPr>
              <w:keepNext/>
              <w:keepLines/>
              <w:spacing w:before="240" w:after="240" w:line="240" w:lineRule="auto"/>
              <w:ind w:left="72" w:right="72"/>
              <w:jc w:val="center"/>
              <w:rPr>
                <w:rFonts w:ascii="Aptos Narrow" w:eastAsia="Times New Roman" w:hAnsi="Aptos Narrow" w:cs="Times New Roman"/>
                <w:color w:val="FFFFFF" w:themeColor="background1"/>
                <w:kern w:val="0"/>
                <w14:ligatures w14:val="none"/>
              </w:rPr>
            </w:pPr>
            <w:r w:rsidRPr="003B615A">
              <w:rPr>
                <w:rFonts w:ascii="Aptos Narrow" w:eastAsia="Times New Roman" w:hAnsi="Aptos Narrow" w:cs="Times New Roman"/>
                <w:color w:val="FFFFFF" w:themeColor="background1"/>
                <w:kern w:val="0"/>
                <w14:ligatures w14:val="none"/>
              </w:rPr>
              <w:t>None</w:t>
            </w:r>
          </w:p>
        </w:tc>
        <w:tc>
          <w:tcPr>
            <w:tcW w:w="144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7F7F7F" w:themeFill="text1" w:themeFillTint="80"/>
            <w:vAlign w:val="center"/>
          </w:tcPr>
          <w:p w14:paraId="02859E3C" w14:textId="77777777" w:rsidR="00BF5DC4" w:rsidRPr="003B615A" w:rsidRDefault="00BF5DC4" w:rsidP="00430B63">
            <w:pPr>
              <w:keepNext/>
              <w:keepLines/>
              <w:spacing w:before="240" w:after="240" w:line="240" w:lineRule="auto"/>
              <w:ind w:left="72" w:right="72"/>
              <w:jc w:val="center"/>
              <w:rPr>
                <w:rFonts w:ascii="Aptos Narrow" w:eastAsia="Times New Roman" w:hAnsi="Aptos Narrow" w:cs="Times New Roman"/>
                <w:color w:val="FFFFFF" w:themeColor="background1"/>
                <w:kern w:val="0"/>
                <w14:ligatures w14:val="none"/>
              </w:rPr>
            </w:pPr>
            <w:r w:rsidRPr="003B615A">
              <w:rPr>
                <w:rFonts w:ascii="Aptos Narrow" w:eastAsia="Times New Roman" w:hAnsi="Aptos Narrow" w:cs="Times New Roman"/>
                <w:color w:val="FFFFFF" w:themeColor="background1"/>
                <w:kern w:val="0"/>
                <w14:ligatures w14:val="none"/>
              </w:rPr>
              <w:t>None</w:t>
            </w:r>
          </w:p>
        </w:tc>
        <w:tc>
          <w:tcPr>
            <w:tcW w:w="1710" w:type="dxa"/>
            <w:tcBorders>
              <w:top w:val="single" w:sz="6" w:space="0" w:color="E6E6E6"/>
              <w:left w:val="single" w:sz="6" w:space="0" w:color="D9D9D9" w:themeColor="background1" w:themeShade="D9"/>
              <w:bottom w:val="single" w:sz="6" w:space="0" w:color="E6E6E6"/>
              <w:right w:val="single" w:sz="6" w:space="0" w:color="E6E6E6"/>
            </w:tcBorders>
            <w:vAlign w:val="center"/>
          </w:tcPr>
          <w:p w14:paraId="5B1402D1" w14:textId="77777777" w:rsidR="00BF5DC4" w:rsidRPr="003B615A" w:rsidRDefault="00BF5DC4" w:rsidP="00430B63">
            <w:pPr>
              <w:keepNext/>
              <w:keepLines/>
              <w:spacing w:before="240" w:after="240" w:line="240" w:lineRule="auto"/>
              <w:ind w:left="72" w:right="72"/>
              <w:jc w:val="center"/>
              <w:rPr>
                <w:rFonts w:ascii="Aptos Narrow" w:eastAsia="Times New Roman" w:hAnsi="Aptos Narrow" w:cs="Times New Roman"/>
                <w:kern w:val="0"/>
                <w14:ligatures w14:val="none"/>
              </w:rPr>
            </w:pPr>
            <w:r w:rsidRPr="003B615A">
              <w:rPr>
                <w:rFonts w:ascii="Aptos Narrow" w:eastAsia="Times New Roman" w:hAnsi="Aptos Narrow" w:cs="Times New Roman"/>
                <w:b/>
                <w:bCs/>
                <w:kern w:val="0"/>
                <w:sz w:val="28"/>
                <w:szCs w:val="28"/>
                <w14:ligatures w14:val="none"/>
              </w:rPr>
              <w:t>R1</w:t>
            </w:r>
            <w:r w:rsidRPr="003B615A">
              <w:rPr>
                <w:rFonts w:ascii="Aptos Narrow" w:eastAsia="Times New Roman" w:hAnsi="Aptos Narrow" w:cs="Times New Roman"/>
                <w:kern w:val="0"/>
                <w14:ligatures w14:val="none"/>
              </w:rPr>
              <w:t xml:space="preserve"> </w:t>
            </w:r>
            <w:r w:rsidRPr="003B615A">
              <w:rPr>
                <w:rFonts w:ascii="Aptos Narrow" w:eastAsia="Times New Roman" w:hAnsi="Aptos Narrow" w:cs="Times New Roman"/>
                <w:kern w:val="0"/>
                <w14:ligatures w14:val="none"/>
              </w:rPr>
              <w:br/>
              <w:t>implicit</w:t>
            </w:r>
          </w:p>
        </w:tc>
        <w:tc>
          <w:tcPr>
            <w:tcW w:w="1710" w:type="dxa"/>
            <w:tcBorders>
              <w:top w:val="single" w:sz="6" w:space="0" w:color="E6E6E6"/>
              <w:left w:val="single" w:sz="6" w:space="0" w:color="E6E6E6"/>
              <w:bottom w:val="single" w:sz="6" w:space="0" w:color="E6E6E6"/>
              <w:right w:val="single" w:sz="6" w:space="0" w:color="E6E6E6"/>
            </w:tcBorders>
            <w:shd w:val="clear" w:color="auto" w:fill="DFC9EF"/>
            <w:vAlign w:val="center"/>
          </w:tcPr>
          <w:p w14:paraId="29BCED69" w14:textId="77777777" w:rsidR="00BF5DC4" w:rsidRPr="003B615A" w:rsidRDefault="00BF5DC4" w:rsidP="00430B63">
            <w:pPr>
              <w:keepNext/>
              <w:keepLines/>
              <w:spacing w:before="240" w:after="240" w:line="240" w:lineRule="auto"/>
              <w:ind w:left="72" w:right="72"/>
              <w:jc w:val="center"/>
              <w:rPr>
                <w:rFonts w:ascii="Aptos Narrow" w:eastAsia="Times New Roman" w:hAnsi="Aptos Narrow" w:cs="Times New Roman"/>
                <w:kern w:val="0"/>
                <w14:ligatures w14:val="none"/>
              </w:rPr>
            </w:pPr>
            <w:r w:rsidRPr="003B615A">
              <w:rPr>
                <w:rFonts w:ascii="Aptos Narrow" w:eastAsia="Times New Roman" w:hAnsi="Aptos Narrow" w:cs="Times New Roman"/>
                <w:b/>
                <w:bCs/>
                <w:kern w:val="0"/>
                <w:sz w:val="28"/>
                <w:szCs w:val="28"/>
                <w14:ligatures w14:val="none"/>
              </w:rPr>
              <w:t>R1</w:t>
            </w:r>
            <w:r w:rsidRPr="003B615A">
              <w:rPr>
                <w:rFonts w:ascii="Aptos Narrow" w:eastAsia="Times New Roman" w:hAnsi="Aptos Narrow" w:cs="Times New Roman"/>
                <w:kern w:val="0"/>
                <w14:ligatures w14:val="none"/>
              </w:rPr>
              <w:t xml:space="preserve"> applied, </w:t>
            </w:r>
            <w:r w:rsidRPr="003B615A">
              <w:rPr>
                <w:rFonts w:ascii="Aptos Narrow" w:eastAsia="Times New Roman" w:hAnsi="Aptos Narrow" w:cs="Times New Roman"/>
                <w:kern w:val="0"/>
                <w14:ligatures w14:val="none"/>
              </w:rPr>
              <w:br/>
              <w:t xml:space="preserve">but </w:t>
            </w:r>
            <w:r w:rsidRPr="003B615A">
              <w:rPr>
                <w:rFonts w:ascii="Aptos Narrow" w:eastAsia="Times New Roman" w:hAnsi="Aptos Narrow" w:cs="Times New Roman"/>
                <w:kern w:val="0"/>
                <w14:ligatures w14:val="none"/>
              </w:rPr>
              <w:br/>
              <w:t>retrospectively</w:t>
            </w:r>
          </w:p>
        </w:tc>
        <w:tc>
          <w:tcPr>
            <w:tcW w:w="1620" w:type="dxa"/>
            <w:tcBorders>
              <w:top w:val="single" w:sz="6" w:space="0" w:color="E6E6E6"/>
              <w:left w:val="single" w:sz="6" w:space="0" w:color="E6E6E6"/>
              <w:bottom w:val="single" w:sz="6" w:space="0" w:color="E6E6E6"/>
              <w:right w:val="single" w:sz="6" w:space="0" w:color="BFBFBF" w:themeColor="background1" w:themeShade="BF"/>
            </w:tcBorders>
            <w:shd w:val="clear" w:color="auto" w:fill="7030A0"/>
            <w:vAlign w:val="center"/>
          </w:tcPr>
          <w:p w14:paraId="4FECABB0" w14:textId="77777777" w:rsidR="00BF5DC4" w:rsidRPr="003B615A" w:rsidRDefault="00BF5DC4" w:rsidP="00430B63">
            <w:pPr>
              <w:keepNext/>
              <w:keepLines/>
              <w:spacing w:before="240" w:after="240" w:line="240" w:lineRule="auto"/>
              <w:ind w:left="72" w:right="72"/>
              <w:jc w:val="center"/>
              <w:rPr>
                <w:rFonts w:ascii="Aptos Narrow" w:eastAsia="Times New Roman" w:hAnsi="Aptos Narrow" w:cs="Times New Roman"/>
                <w:color w:val="FFFFFF" w:themeColor="background1"/>
                <w:kern w:val="0"/>
                <w14:ligatures w14:val="none"/>
              </w:rPr>
            </w:pPr>
            <w:r w:rsidRPr="003B615A">
              <w:rPr>
                <w:rFonts w:ascii="Aptos Narrow" w:eastAsia="Times New Roman" w:hAnsi="Aptos Narrow" w:cs="Times New Roman"/>
                <w:b/>
                <w:bCs/>
                <w:color w:val="FFFFFF" w:themeColor="background1"/>
                <w:kern w:val="0"/>
                <w:sz w:val="28"/>
                <w:szCs w:val="28"/>
                <w14:ligatures w14:val="none"/>
              </w:rPr>
              <w:t>R1</w:t>
            </w:r>
            <w:r w:rsidRPr="003B615A">
              <w:rPr>
                <w:rFonts w:ascii="Aptos Narrow" w:eastAsia="Times New Roman" w:hAnsi="Aptos Narrow" w:cs="Times New Roman"/>
                <w:color w:val="FFFFFF" w:themeColor="background1"/>
                <w:kern w:val="0"/>
                <w14:ligatures w14:val="none"/>
              </w:rPr>
              <w:t xml:space="preserve"> – </w:t>
            </w:r>
            <w:r w:rsidRPr="003B615A">
              <w:rPr>
                <w:rFonts w:ascii="Aptos Narrow" w:eastAsia="Times New Roman" w:hAnsi="Aptos Narrow" w:cs="Times New Roman"/>
                <w:b/>
                <w:bCs/>
                <w:color w:val="FFFFFF" w:themeColor="background1"/>
                <w:kern w:val="0"/>
                <w:sz w:val="28"/>
                <w:szCs w:val="28"/>
                <w14:ligatures w14:val="none"/>
              </w:rPr>
              <w:t>R5</w:t>
            </w:r>
          </w:p>
        </w:tc>
      </w:tr>
      <w:tr w:rsidR="00BF5DC4" w:rsidRPr="000C5273" w14:paraId="6BBAC595" w14:textId="77777777" w:rsidTr="00430B63">
        <w:trPr>
          <w:trHeight w:val="1605"/>
          <w:jc w:val="center"/>
        </w:trPr>
        <w:tc>
          <w:tcPr>
            <w:tcW w:w="1260" w:type="dxa"/>
            <w:tcBorders>
              <w:top w:val="single" w:sz="4" w:space="0" w:color="A6A6A6" w:themeColor="background1" w:themeShade="A6"/>
              <w:left w:val="single" w:sz="4" w:space="0" w:color="BFBFBF" w:themeColor="background1" w:themeShade="BF"/>
              <w:bottom w:val="single" w:sz="4" w:space="0" w:color="BFBFBF" w:themeColor="background1" w:themeShade="BF"/>
            </w:tcBorders>
            <w:shd w:val="clear" w:color="auto" w:fill="F2F2F2" w:themeFill="background1" w:themeFillShade="F2"/>
            <w:vAlign w:val="center"/>
          </w:tcPr>
          <w:p w14:paraId="59C3C98B" w14:textId="77777777" w:rsidR="00BF5DC4" w:rsidRPr="003B60A6" w:rsidRDefault="00BF5DC4" w:rsidP="00430B63">
            <w:pPr>
              <w:keepNext/>
              <w:keepLines/>
              <w:spacing w:before="180" w:after="180" w:line="240" w:lineRule="auto"/>
              <w:ind w:left="72" w:right="72"/>
              <w:jc w:val="center"/>
              <w:rPr>
                <w:rFonts w:ascii="Aptos Narrow" w:eastAsia="Times New Roman" w:hAnsi="Aptos Narrow" w:cs="Times New Roman"/>
                <w:b/>
                <w:bCs/>
                <w:kern w:val="0"/>
                <w:sz w:val="28"/>
                <w:szCs w:val="28"/>
                <w14:ligatures w14:val="none"/>
              </w:rPr>
            </w:pPr>
            <w:r w:rsidRPr="003B60A6">
              <w:rPr>
                <w:rFonts w:ascii="Aptos Narrow" w:eastAsia="Times New Roman" w:hAnsi="Aptos Narrow" w:cs="Times New Roman"/>
                <w:b/>
                <w:bCs/>
                <w:kern w:val="0"/>
                <w:sz w:val="28"/>
                <w:szCs w:val="28"/>
                <w14:ligatures w14:val="none"/>
              </w:rPr>
              <w:t>Methods</w:t>
            </w:r>
            <w:r w:rsidRPr="003B60A6">
              <w:rPr>
                <w:rFonts w:ascii="Aptos Narrow" w:eastAsia="Times New Roman" w:hAnsi="Aptos Narrow" w:cs="Times New Roman"/>
                <w:b/>
                <w:bCs/>
                <w:kern w:val="0"/>
                <w:sz w:val="28"/>
                <w:szCs w:val="28"/>
                <w14:ligatures w14:val="none"/>
              </w:rPr>
              <w:br/>
              <w:t>used</w:t>
            </w:r>
          </w:p>
        </w:tc>
        <w:tc>
          <w:tcPr>
            <w:tcW w:w="1350" w:type="dxa"/>
            <w:tcBorders>
              <w:top w:val="single" w:sz="6" w:space="0" w:color="D9D9D9" w:themeColor="background1" w:themeShade="D9"/>
              <w:left w:val="nil"/>
              <w:bottom w:val="single" w:sz="4" w:space="0" w:color="BFBFBF" w:themeColor="background1" w:themeShade="BF"/>
              <w:right w:val="single" w:sz="6" w:space="0" w:color="D9D9D9" w:themeColor="background1" w:themeShade="D9"/>
            </w:tcBorders>
            <w:shd w:val="clear" w:color="auto" w:fill="000000" w:themeFill="text1"/>
            <w:vAlign w:val="center"/>
          </w:tcPr>
          <w:p w14:paraId="4717BD9A" w14:textId="77777777" w:rsidR="00BF5DC4" w:rsidRPr="003B615A" w:rsidRDefault="00BF5DC4" w:rsidP="00430B63">
            <w:pPr>
              <w:keepNext/>
              <w:keepLines/>
              <w:spacing w:before="240" w:after="240" w:line="240" w:lineRule="auto"/>
              <w:ind w:left="72" w:right="72"/>
              <w:jc w:val="center"/>
              <w:rPr>
                <w:rFonts w:ascii="Aptos Narrow" w:eastAsia="Times New Roman" w:hAnsi="Aptos Narrow" w:cs="Times New Roman"/>
                <w:color w:val="FFFFFF" w:themeColor="background1"/>
                <w:kern w:val="0"/>
                <w14:ligatures w14:val="none"/>
              </w:rPr>
            </w:pPr>
            <w:r w:rsidRPr="003B615A">
              <w:rPr>
                <w:rFonts w:ascii="Aptos Narrow" w:eastAsia="Times New Roman" w:hAnsi="Aptos Narrow" w:cs="Times New Roman"/>
                <w:color w:val="FFFFFF" w:themeColor="background1"/>
                <w:kern w:val="0"/>
                <w14:ligatures w14:val="none"/>
              </w:rPr>
              <w:t>None</w:t>
            </w:r>
          </w:p>
        </w:tc>
        <w:tc>
          <w:tcPr>
            <w:tcW w:w="1440" w:type="dxa"/>
            <w:tcBorders>
              <w:top w:val="single" w:sz="6" w:space="0" w:color="D9D9D9" w:themeColor="background1" w:themeShade="D9"/>
              <w:left w:val="single" w:sz="6" w:space="0" w:color="D9D9D9" w:themeColor="background1" w:themeShade="D9"/>
              <w:bottom w:val="single" w:sz="4" w:space="0" w:color="BFBFBF" w:themeColor="background1" w:themeShade="BF"/>
              <w:right w:val="single" w:sz="6" w:space="0" w:color="D9D9D9" w:themeColor="background1" w:themeShade="D9"/>
            </w:tcBorders>
            <w:shd w:val="clear" w:color="auto" w:fill="7F7F7F" w:themeFill="text1" w:themeFillTint="80"/>
            <w:vAlign w:val="center"/>
          </w:tcPr>
          <w:p w14:paraId="74D18A32" w14:textId="77777777" w:rsidR="00BF5DC4" w:rsidRPr="003B615A" w:rsidRDefault="00BF5DC4" w:rsidP="00430B63">
            <w:pPr>
              <w:keepNext/>
              <w:keepLines/>
              <w:spacing w:before="240" w:after="240" w:line="240" w:lineRule="auto"/>
              <w:ind w:left="72" w:right="72"/>
              <w:jc w:val="center"/>
              <w:rPr>
                <w:rFonts w:ascii="Aptos Narrow" w:eastAsia="Times New Roman" w:hAnsi="Aptos Narrow" w:cs="Times New Roman"/>
                <w:color w:val="FFFFFF" w:themeColor="background1"/>
                <w:kern w:val="0"/>
                <w:sz w:val="28"/>
                <w:szCs w:val="28"/>
                <w14:ligatures w14:val="none"/>
              </w:rPr>
            </w:pPr>
            <w:r w:rsidRPr="003B615A">
              <w:rPr>
                <w:rFonts w:ascii="Aptos Narrow" w:eastAsia="Times New Roman" w:hAnsi="Aptos Narrow" w:cs="Times New Roman"/>
                <w:color w:val="FFFFFF" w:themeColor="background1"/>
                <w:kern w:val="0"/>
                <w:sz w:val="28"/>
                <w:szCs w:val="28"/>
                <w14:ligatures w14:val="none"/>
              </w:rPr>
              <w:t>M0</w:t>
            </w:r>
          </w:p>
        </w:tc>
        <w:tc>
          <w:tcPr>
            <w:tcW w:w="1710" w:type="dxa"/>
            <w:tcBorders>
              <w:top w:val="single" w:sz="6" w:space="0" w:color="E6E6E6"/>
              <w:left w:val="single" w:sz="6" w:space="0" w:color="D9D9D9" w:themeColor="background1" w:themeShade="D9"/>
              <w:bottom w:val="single" w:sz="4" w:space="0" w:color="BFBFBF" w:themeColor="background1" w:themeShade="BF"/>
              <w:right w:val="single" w:sz="6" w:space="0" w:color="E6E6E6"/>
            </w:tcBorders>
            <w:vAlign w:val="center"/>
          </w:tcPr>
          <w:p w14:paraId="25AF846C" w14:textId="77777777" w:rsidR="00BF5DC4" w:rsidRPr="00B40875" w:rsidRDefault="00BF5DC4" w:rsidP="00430B63">
            <w:pPr>
              <w:keepNext/>
              <w:keepLines/>
              <w:spacing w:before="240" w:after="240" w:line="240" w:lineRule="auto"/>
              <w:ind w:left="72" w:right="72"/>
              <w:jc w:val="center"/>
              <w:rPr>
                <w:rFonts w:ascii="Aptos Narrow" w:eastAsia="Times New Roman" w:hAnsi="Aptos Narrow" w:cs="Times New Roman"/>
                <w:kern w:val="0"/>
                <w:sz w:val="20"/>
                <w:szCs w:val="20"/>
                <w14:ligatures w14:val="none"/>
              </w:rPr>
            </w:pPr>
            <w:r w:rsidRPr="003B615A">
              <w:rPr>
                <w:rFonts w:ascii="Aptos Narrow" w:eastAsia="Times New Roman" w:hAnsi="Aptos Narrow" w:cs="Times New Roman"/>
                <w:b/>
                <w:bCs/>
                <w:kern w:val="0"/>
                <w:sz w:val="28"/>
                <w:szCs w:val="28"/>
                <w14:ligatures w14:val="none"/>
              </w:rPr>
              <w:t>M1</w:t>
            </w:r>
            <w:r w:rsidRPr="003B615A">
              <w:rPr>
                <w:rFonts w:ascii="Aptos Narrow" w:eastAsia="Times New Roman" w:hAnsi="Aptos Narrow" w:cs="Times New Roman"/>
                <w:kern w:val="0"/>
                <w14:ligatures w14:val="none"/>
              </w:rPr>
              <w:t xml:space="preserve"> present; </w:t>
            </w:r>
            <w:r>
              <w:rPr>
                <w:rFonts w:ascii="Aptos Narrow" w:eastAsia="Times New Roman" w:hAnsi="Aptos Narrow" w:cs="Times New Roman"/>
                <w:kern w:val="0"/>
                <w14:ligatures w14:val="none"/>
              </w:rPr>
              <w:br/>
            </w:r>
            <w:r w:rsidRPr="003B615A">
              <w:rPr>
                <w:rFonts w:ascii="Aptos Narrow" w:eastAsia="Times New Roman" w:hAnsi="Aptos Narrow" w:cs="Times New Roman"/>
                <w:b/>
                <w:bCs/>
                <w:kern w:val="0"/>
                <w:sz w:val="28"/>
                <w:szCs w:val="28"/>
                <w14:ligatures w14:val="none"/>
              </w:rPr>
              <w:t>M2</w:t>
            </w:r>
            <w:r w:rsidRPr="003F5318">
              <w:rPr>
                <w:rFonts w:ascii="Aptos Narrow" w:eastAsia="Times New Roman" w:hAnsi="Aptos Narrow" w:cs="Times New Roman"/>
                <w:kern w:val="0"/>
                <w:sz w:val="22"/>
                <w:szCs w:val="22"/>
                <w14:ligatures w14:val="none"/>
              </w:rPr>
              <w:t xml:space="preserve"> implicit</w:t>
            </w:r>
            <w:r w:rsidRPr="003F5318">
              <w:rPr>
                <w:rFonts w:ascii="Aptos Narrow" w:eastAsia="Times New Roman" w:hAnsi="Aptos Narrow" w:cs="Times New Roman"/>
                <w:kern w:val="0"/>
                <w:sz w:val="22"/>
                <w:szCs w:val="22"/>
                <w14:ligatures w14:val="none"/>
              </w:rPr>
              <w:br/>
            </w:r>
            <w:r w:rsidRPr="00B40875">
              <w:rPr>
                <w:rFonts w:ascii="Aptos Narrow" w:eastAsia="Times New Roman" w:hAnsi="Aptos Narrow" w:cs="Times New Roman"/>
                <w:kern w:val="0"/>
                <w:sz w:val="18"/>
                <w:szCs w:val="18"/>
                <w14:ligatures w14:val="none"/>
              </w:rPr>
              <w:t>(no prespecified β)</w:t>
            </w:r>
          </w:p>
        </w:tc>
        <w:tc>
          <w:tcPr>
            <w:tcW w:w="1710" w:type="dxa"/>
            <w:tcBorders>
              <w:top w:val="single" w:sz="6" w:space="0" w:color="E6E6E6"/>
              <w:left w:val="single" w:sz="6" w:space="0" w:color="E6E6E6"/>
              <w:bottom w:val="single" w:sz="4" w:space="0" w:color="BFBFBF" w:themeColor="background1" w:themeShade="BF"/>
              <w:right w:val="single" w:sz="6" w:space="0" w:color="E6E6E6"/>
            </w:tcBorders>
            <w:shd w:val="clear" w:color="auto" w:fill="DFC9EF"/>
            <w:vAlign w:val="center"/>
          </w:tcPr>
          <w:p w14:paraId="5977D835" w14:textId="77777777" w:rsidR="00BF5DC4" w:rsidRPr="003B615A" w:rsidRDefault="00BF5DC4" w:rsidP="00430B63">
            <w:pPr>
              <w:keepNext/>
              <w:keepLines/>
              <w:spacing w:before="240" w:after="240" w:line="240" w:lineRule="auto"/>
              <w:ind w:left="72" w:right="72"/>
              <w:jc w:val="center"/>
              <w:rPr>
                <w:rFonts w:ascii="Aptos Narrow" w:eastAsia="Times New Roman" w:hAnsi="Aptos Narrow" w:cs="Times New Roman"/>
                <w:kern w:val="0"/>
                <w14:ligatures w14:val="none"/>
              </w:rPr>
            </w:pPr>
            <w:r w:rsidRPr="003B615A">
              <w:rPr>
                <w:rFonts w:ascii="Aptos Narrow" w:eastAsia="Times New Roman" w:hAnsi="Aptos Narrow" w:cs="Times New Roman"/>
                <w:b/>
                <w:bCs/>
                <w:kern w:val="0"/>
                <w:sz w:val="28"/>
                <w:szCs w:val="28"/>
                <w14:ligatures w14:val="none"/>
              </w:rPr>
              <w:t>M1</w:t>
            </w:r>
            <w:r w:rsidRPr="003B615A">
              <w:rPr>
                <w:rFonts w:ascii="Aptos Narrow" w:eastAsia="Times New Roman" w:hAnsi="Aptos Narrow" w:cs="Times New Roman"/>
                <w:kern w:val="0"/>
                <w14:ligatures w14:val="none"/>
              </w:rPr>
              <w:t xml:space="preserve"> &amp; </w:t>
            </w:r>
            <w:r w:rsidRPr="003B615A">
              <w:rPr>
                <w:rFonts w:ascii="Aptos Narrow" w:eastAsia="Times New Roman" w:hAnsi="Aptos Narrow" w:cs="Times New Roman"/>
                <w:b/>
                <w:bCs/>
                <w:kern w:val="0"/>
                <w:sz w:val="28"/>
                <w:szCs w:val="28"/>
                <w14:ligatures w14:val="none"/>
              </w:rPr>
              <w:t>M2</w:t>
            </w:r>
            <w:r w:rsidRPr="003B615A">
              <w:rPr>
                <w:rFonts w:ascii="Aptos Narrow" w:eastAsia="Times New Roman" w:hAnsi="Aptos Narrow" w:cs="Times New Roman"/>
                <w:kern w:val="0"/>
                <w14:ligatures w14:val="none"/>
              </w:rPr>
              <w:t xml:space="preserve"> </w:t>
            </w:r>
            <w:r w:rsidRPr="003B615A">
              <w:rPr>
                <w:rFonts w:ascii="Aptos Narrow" w:eastAsia="Times New Roman" w:hAnsi="Aptos Narrow" w:cs="Times New Roman"/>
                <w:kern w:val="0"/>
                <w14:ligatures w14:val="none"/>
              </w:rPr>
              <w:br/>
              <w:t>present</w:t>
            </w:r>
          </w:p>
        </w:tc>
        <w:tc>
          <w:tcPr>
            <w:tcW w:w="1620" w:type="dxa"/>
            <w:tcBorders>
              <w:top w:val="single" w:sz="6" w:space="0" w:color="E6E6E6"/>
              <w:left w:val="single" w:sz="6" w:space="0" w:color="E6E6E6"/>
              <w:bottom w:val="single" w:sz="4" w:space="0" w:color="BFBFBF" w:themeColor="background1" w:themeShade="BF"/>
              <w:right w:val="single" w:sz="6" w:space="0" w:color="BFBFBF" w:themeColor="background1" w:themeShade="BF"/>
            </w:tcBorders>
            <w:shd w:val="clear" w:color="auto" w:fill="7030A0"/>
            <w:vAlign w:val="center"/>
          </w:tcPr>
          <w:p w14:paraId="65AE5333" w14:textId="77777777" w:rsidR="00BF5DC4" w:rsidRPr="003B615A" w:rsidRDefault="00BF5DC4" w:rsidP="00430B63">
            <w:pPr>
              <w:keepNext/>
              <w:keepLines/>
              <w:spacing w:before="240" w:after="240" w:line="240" w:lineRule="auto"/>
              <w:ind w:left="72" w:right="72"/>
              <w:jc w:val="center"/>
              <w:rPr>
                <w:rFonts w:ascii="Aptos Narrow" w:eastAsia="Times New Roman" w:hAnsi="Aptos Narrow" w:cs="Times New Roman"/>
                <w:color w:val="FFFFFF" w:themeColor="background1"/>
                <w:kern w:val="0"/>
                <w14:ligatures w14:val="none"/>
              </w:rPr>
            </w:pPr>
            <w:r w:rsidRPr="003B615A">
              <w:rPr>
                <w:rFonts w:ascii="Aptos Narrow" w:eastAsia="Times New Roman" w:hAnsi="Aptos Narrow" w:cs="Times New Roman"/>
                <w:b/>
                <w:bCs/>
                <w:color w:val="FFFFFF" w:themeColor="background1"/>
                <w:kern w:val="0"/>
                <w:sz w:val="28"/>
                <w:szCs w:val="28"/>
                <w14:ligatures w14:val="none"/>
              </w:rPr>
              <w:t>M1</w:t>
            </w:r>
            <w:r w:rsidRPr="003B615A">
              <w:rPr>
                <w:rFonts w:ascii="Aptos Narrow" w:eastAsia="Times New Roman" w:hAnsi="Aptos Narrow" w:cs="Times New Roman"/>
                <w:color w:val="FFFFFF" w:themeColor="background1"/>
                <w:kern w:val="0"/>
                <w14:ligatures w14:val="none"/>
              </w:rPr>
              <w:t xml:space="preserve"> – </w:t>
            </w:r>
            <w:r w:rsidRPr="003B615A">
              <w:rPr>
                <w:rFonts w:ascii="Aptos Narrow" w:eastAsia="Times New Roman" w:hAnsi="Aptos Narrow" w:cs="Times New Roman"/>
                <w:b/>
                <w:bCs/>
                <w:color w:val="FFFFFF" w:themeColor="background1"/>
                <w:kern w:val="0"/>
                <w:sz w:val="28"/>
                <w:szCs w:val="28"/>
                <w14:ligatures w14:val="none"/>
              </w:rPr>
              <w:t>M6</w:t>
            </w:r>
          </w:p>
        </w:tc>
      </w:tr>
    </w:tbl>
    <w:p w14:paraId="773AE135" w14:textId="09D93B6D" w:rsidR="00BF5DC4" w:rsidRDefault="00BF5DC4" w:rsidP="00BF5DC4">
      <w:pPr>
        <w:pStyle w:val="FigureCaption"/>
      </w:pPr>
      <w:r w:rsidRPr="009F5451">
        <w:t>Explicit mapping of structural axioms (A), interpretive rules (R), and analytical methods (M) across trial generations. The table shows that what ultimately distinguishes β</w:t>
      </w:r>
      <w:r w:rsidR="00AB5CE1">
        <w:rPr>
          <w:rFonts w:ascii="Cambria Math" w:hAnsi="Cambria Math" w:cs="Cambria Math"/>
        </w:rPr>
        <w:t>-</w:t>
      </w:r>
      <w:r w:rsidRPr="009F5451">
        <w:t>identifying trials is not clinical realism or preference awareness, but the prospective integration and coordination of axioms, rules, and methods prior to interpretation.</w:t>
      </w:r>
      <w:r>
        <w:t xml:space="preserve"> Supplement S9 provides more detail on the SPORT trial and </w:t>
      </w:r>
      <w:r w:rsidRPr="008B03FC">
        <w:t>β</w:t>
      </w:r>
      <w:r w:rsidR="00AB5CE1">
        <w:t>-</w:t>
      </w:r>
      <w:r>
        <w:t>qu</w:t>
      </w:r>
      <w:r w:rsidRPr="008B03FC">
        <w:t xml:space="preserve">antifying </w:t>
      </w:r>
      <w:r>
        <w:t xml:space="preserve">secondary analysis, distinguishing it from the full spectrum of design principles outlined in this paper. Note that for </w:t>
      </w:r>
      <w:r w:rsidRPr="003B615A">
        <w:t>β</w:t>
      </w:r>
      <w:r w:rsidR="00AB5CE1">
        <w:t>-</w:t>
      </w:r>
      <w:r w:rsidRPr="003B615A">
        <w:t>Identifying Trials</w:t>
      </w:r>
      <w:r>
        <w:t xml:space="preserve"> (as developed in this paper) all axioms, rules, and methods (A–R–M) are applied.</w:t>
      </w:r>
    </w:p>
    <w:p w14:paraId="28DEA6AA" w14:textId="649D47BF" w:rsidR="00BF5DC4" w:rsidRDefault="00BF5DC4" w:rsidP="00BF5DC4">
      <w:r w:rsidRPr="00AF2DC1">
        <w:t>Seen in this light, β</w:t>
      </w:r>
      <w:r w:rsidR="00AB5CE1">
        <w:t>-</w:t>
      </w:r>
      <w:r w:rsidRPr="00AF2DC1">
        <w:t xml:space="preserve">identifying trials are not one more </w:t>
      </w:r>
      <w:r>
        <w:t xml:space="preserve">niche in the world of </w:t>
      </w:r>
      <w:r w:rsidRPr="00AF2DC1">
        <w:t xml:space="preserve">trial design, but the next step in the evolution of trial interpretation: from unexplained divergence, to descriptive accommodation of preference, to retrospective β quantification, and finally to prospective β identification under prespecified rules. </w:t>
      </w:r>
    </w:p>
    <w:p w14:paraId="00AC9DB4" w14:textId="1B964A35" w:rsidR="00BF5DC4" w:rsidRPr="00AF2DC1" w:rsidRDefault="00BF5DC4" w:rsidP="00BF5DC4">
      <w:r w:rsidRPr="00AF2DC1">
        <w:t>Supplement S9 develops this point through SPORT, showing that the difference between β</w:t>
      </w:r>
      <w:r w:rsidR="00AB5CE1">
        <w:t>-</w:t>
      </w:r>
      <w:r w:rsidRPr="00AF2DC1">
        <w:t>quantifying and β</w:t>
      </w:r>
      <w:r w:rsidR="00AB5CE1">
        <w:t>-</w:t>
      </w:r>
      <w:r w:rsidRPr="00AF2DC1">
        <w:t>identifying trials is not semantic, but methodological.</w:t>
      </w:r>
      <w:r w:rsidRPr="00AF2DC1">
        <w:rPr>
          <w:vertAlign w:val="superscript"/>
        </w:rPr>
        <w:t>S3,S4,S10,S11</w:t>
      </w:r>
      <w:r>
        <w:rPr>
          <w:b/>
          <w:bCs/>
        </w:rPr>
        <w:br w:type="page"/>
      </w:r>
    </w:p>
    <w:p w14:paraId="792AC2FA" w14:textId="77777777" w:rsidR="00BF5DC4" w:rsidRDefault="00BF5DC4" w:rsidP="00BF5DC4">
      <w:pPr>
        <w:pStyle w:val="Heading1"/>
        <w:jc w:val="left"/>
        <w:rPr>
          <w:sz w:val="36"/>
          <w:szCs w:val="36"/>
        </w:rPr>
      </w:pPr>
      <w:bookmarkStart w:id="59" w:name="_Toc230299624"/>
      <w:r>
        <w:rPr>
          <w:b/>
          <w:bCs/>
        </w:rPr>
        <w:lastRenderedPageBreak/>
        <w:t xml:space="preserve">S9 </w:t>
      </w:r>
      <w:r w:rsidRPr="0087275A">
        <w:rPr>
          <w:sz w:val="36"/>
          <w:szCs w:val="36"/>
        </w:rPr>
        <w:t>SPORT as a Transitional β</w:t>
      </w:r>
      <w:r w:rsidRPr="0087275A">
        <w:rPr>
          <w:rFonts w:ascii="Cambria Math" w:hAnsi="Cambria Math" w:cs="Cambria Math"/>
          <w:sz w:val="36"/>
          <w:szCs w:val="36"/>
        </w:rPr>
        <w:t>‑</w:t>
      </w:r>
      <w:r w:rsidRPr="0087275A">
        <w:rPr>
          <w:sz w:val="36"/>
          <w:szCs w:val="36"/>
        </w:rPr>
        <w:t>Quantifying Trial</w:t>
      </w:r>
      <w:bookmarkEnd w:id="59"/>
    </w:p>
    <w:p w14:paraId="7886E0B0" w14:textId="70927192" w:rsidR="00BF5DC4" w:rsidRPr="00CF4C9C" w:rsidRDefault="00BF5DC4" w:rsidP="00BF5DC4">
      <w:r w:rsidRPr="000A72B3">
        <w:t>SPORT is transitional: (α,</w:t>
      </w:r>
      <w:r>
        <w:t xml:space="preserve"> </w:t>
      </w:r>
      <w:r w:rsidRPr="000A72B3">
        <w:t xml:space="preserve">β) are identifiable </w:t>
      </w:r>
      <w:r w:rsidRPr="000A72B3">
        <w:rPr>
          <w:i/>
          <w:iCs/>
        </w:rPr>
        <w:t>post hoc</w:t>
      </w:r>
      <w:r w:rsidRPr="000A72B3">
        <w:t>, but not prespecified under the Axioms–Rules–Methods framework</w:t>
      </w:r>
      <w:r w:rsidRPr="00CF4C9C">
        <w:t xml:space="preserve"> (Table</w:t>
      </w:r>
      <w:r w:rsidR="00710CD5">
        <w:rPr>
          <w:rFonts w:ascii="Arial" w:hAnsi="Arial" w:cs="Arial"/>
        </w:rPr>
        <w:t xml:space="preserve"> S3</w:t>
      </w:r>
      <w:r>
        <w:t xml:space="preserve"> in </w:t>
      </w:r>
      <w:r w:rsidR="00710CD5">
        <w:t>this Supplement</w:t>
      </w:r>
      <w:r w:rsidRPr="00CF4C9C">
        <w:t>).</w:t>
      </w:r>
      <w:r w:rsidRPr="00DC63E5">
        <w:rPr>
          <w:vertAlign w:val="superscript"/>
        </w:rPr>
        <w:t>S3,S4,</w:t>
      </w:r>
      <w:r>
        <w:rPr>
          <w:vertAlign w:val="superscript"/>
        </w:rPr>
        <w:t>S11</w:t>
      </w:r>
      <w:r w:rsidRPr="00DC63E5">
        <w:rPr>
          <w:vertAlign w:val="superscript"/>
        </w:rPr>
        <w:t>,</w:t>
      </w:r>
      <w:r>
        <w:rPr>
          <w:vertAlign w:val="superscript"/>
        </w:rPr>
        <w:t>S12</w:t>
      </w:r>
    </w:p>
    <w:p w14:paraId="6966ACA8" w14:textId="3324EEE8" w:rsidR="00BF5DC4" w:rsidRDefault="00BF5DC4" w:rsidP="00BF5DC4">
      <w:pPr>
        <w:jc w:val="center"/>
      </w:pPr>
      <w:r>
        <w:rPr>
          <w:noProof/>
        </w:rPr>
        <mc:AlternateContent>
          <mc:Choice Requires="wps">
            <w:drawing>
              <wp:inline distT="0" distB="0" distL="0" distR="0" wp14:anchorId="2AEE0908" wp14:editId="08DD4E14">
                <wp:extent cx="5915465" cy="7132320"/>
                <wp:effectExtent l="0" t="0" r="28575" b="11430"/>
                <wp:docPr id="21274420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5465" cy="7132320"/>
                        </a:xfrm>
                        <a:prstGeom prst="rect">
                          <a:avLst/>
                        </a:prstGeom>
                        <a:solidFill>
                          <a:srgbClr val="E4D2F2"/>
                        </a:solidFill>
                        <a:ln w="9525">
                          <a:solidFill>
                            <a:srgbClr val="000000"/>
                          </a:solidFill>
                          <a:miter lim="800000"/>
                          <a:headEnd/>
                          <a:tailEnd/>
                        </a:ln>
                      </wps:spPr>
                      <wps:txbx>
                        <w:txbxContent>
                          <w:p w14:paraId="260F1D4F" w14:textId="77777777" w:rsidR="00BF5DC4" w:rsidRPr="000A72B3" w:rsidRDefault="00BF5DC4" w:rsidP="00BF5DC4">
                            <w:pPr>
                              <w:spacing w:before="360" w:after="60" w:line="240" w:lineRule="auto"/>
                              <w:ind w:left="288" w:right="288"/>
                              <w:rPr>
                                <w:rFonts w:eastAsia="Times New Roman" w:cs="Segoe UI"/>
                                <w:kern w:val="0"/>
                                <w:sz w:val="20"/>
                                <w:szCs w:val="20"/>
                                <w14:ligatures w14:val="none"/>
                              </w:rPr>
                            </w:pPr>
                            <w:r w:rsidRPr="00CF4C9C">
                              <w:rPr>
                                <w:rFonts w:eastAsia="Times New Roman" w:cs="Segoe UI"/>
                                <w:b/>
                                <w:bCs/>
                                <w:kern w:val="0"/>
                                <w:sz w:val="20"/>
                                <w:szCs w:val="20"/>
                                <w14:ligatures w14:val="none"/>
                              </w:rPr>
                              <w:t>Design and data structure</w:t>
                            </w:r>
                            <w:r w:rsidRPr="000A72B3">
                              <w:t xml:space="preserve"> </w:t>
                            </w:r>
                            <w:r w:rsidRPr="000A72B3">
                              <w:rPr>
                                <w:rFonts w:eastAsia="Times New Roman" w:cs="Segoe UI"/>
                                <w:kern w:val="0"/>
                                <w:sz w:val="20"/>
                                <w:szCs w:val="20"/>
                                <w14:ligatures w14:val="none"/>
                              </w:rPr>
                              <w:t>SPORT combined randomization, crossover, and observed treatment received on a common outcome scale. A direction</w:t>
                            </w:r>
                            <w:r w:rsidRPr="000A72B3">
                              <w:rPr>
                                <w:rFonts w:ascii="Cambria Math" w:eastAsia="Times New Roman" w:hAnsi="Cambria Math" w:cs="Cambria Math"/>
                                <w:kern w:val="0"/>
                                <w:sz w:val="20"/>
                                <w:szCs w:val="20"/>
                                <w14:ligatures w14:val="none"/>
                              </w:rPr>
                              <w:t>‑</w:t>
                            </w:r>
                            <w:r w:rsidRPr="000A72B3">
                              <w:rPr>
                                <w:rFonts w:eastAsia="Times New Roman" w:cs="Segoe UI"/>
                                <w:kern w:val="0"/>
                                <w:sz w:val="20"/>
                                <w:szCs w:val="20"/>
                                <w14:ligatures w14:val="none"/>
                              </w:rPr>
                              <w:t>consistent 0</w:t>
                            </w:r>
                            <w:r w:rsidRPr="000A72B3">
                              <w:rPr>
                                <w:rFonts w:ascii="Aptos" w:eastAsia="Times New Roman" w:hAnsi="Aptos" w:cs="Aptos"/>
                                <w:kern w:val="0"/>
                                <w:sz w:val="20"/>
                                <w:szCs w:val="20"/>
                                <w14:ligatures w14:val="none"/>
                              </w:rPr>
                              <w:t>–</w:t>
                            </w:r>
                            <w:r w:rsidRPr="000A72B3">
                              <w:rPr>
                                <w:rFonts w:eastAsia="Times New Roman" w:cs="Segoe UI"/>
                                <w:kern w:val="0"/>
                                <w:sz w:val="20"/>
                                <w:szCs w:val="20"/>
                                <w14:ligatures w14:val="none"/>
                              </w:rPr>
                              <w:t>100 composite (SF</w:t>
                            </w:r>
                            <w:r w:rsidRPr="000A72B3">
                              <w:rPr>
                                <w:rFonts w:ascii="Cambria Math" w:eastAsia="Times New Roman" w:hAnsi="Cambria Math" w:cs="Cambria Math"/>
                                <w:kern w:val="0"/>
                                <w:sz w:val="20"/>
                                <w:szCs w:val="20"/>
                                <w14:ligatures w14:val="none"/>
                              </w:rPr>
                              <w:t>‑</w:t>
                            </w:r>
                            <w:r w:rsidRPr="000A72B3">
                              <w:rPr>
                                <w:rFonts w:eastAsia="Times New Roman" w:cs="Segoe UI"/>
                                <w:kern w:val="0"/>
                                <w:sz w:val="20"/>
                                <w:szCs w:val="20"/>
                                <w14:ligatures w14:val="none"/>
                              </w:rPr>
                              <w:t xml:space="preserve">36 BP/PF + ODI) enabled </w:t>
                            </w:r>
                            <w:r w:rsidRPr="000A72B3">
                              <w:rPr>
                                <w:rFonts w:ascii="Aptos" w:eastAsia="Times New Roman" w:hAnsi="Aptos" w:cs="Aptos"/>
                                <w:kern w:val="0"/>
                                <w:sz w:val="20"/>
                                <w:szCs w:val="20"/>
                                <w14:ligatures w14:val="none"/>
                              </w:rPr>
                              <w:t>Δα–Δ</w:t>
                            </w:r>
                            <w:r w:rsidRPr="000A72B3">
                              <w:rPr>
                                <w:rFonts w:eastAsia="Times New Roman" w:cs="Segoe UI"/>
                                <w:kern w:val="0"/>
                                <w:sz w:val="20"/>
                                <w:szCs w:val="20"/>
                                <w14:ligatures w14:val="none"/>
                              </w:rPr>
                              <w:t xml:space="preserve">OBS comparison. Randomization identifies </w:t>
                            </w:r>
                            <w:r w:rsidRPr="000A72B3">
                              <w:rPr>
                                <w:rFonts w:ascii="Aptos" w:eastAsia="Times New Roman" w:hAnsi="Aptos" w:cs="Aptos"/>
                                <w:kern w:val="0"/>
                                <w:sz w:val="20"/>
                                <w:szCs w:val="20"/>
                                <w14:ligatures w14:val="none"/>
                              </w:rPr>
                              <w:t>α</w:t>
                            </w:r>
                            <w:r w:rsidRPr="000A72B3">
                              <w:rPr>
                                <w:rFonts w:eastAsia="Times New Roman" w:cs="Segoe UI"/>
                                <w:kern w:val="0"/>
                                <w:sz w:val="20"/>
                                <w:szCs w:val="20"/>
                                <w14:ligatures w14:val="none"/>
                              </w:rPr>
                              <w:t xml:space="preserve"> (M1) and uptake defines </w:t>
                            </w:r>
                            <w:r w:rsidRPr="000A72B3">
                              <w:rPr>
                                <w:rFonts w:ascii="Aptos" w:eastAsia="Times New Roman" w:hAnsi="Aptos" w:cs="Aptos"/>
                                <w:kern w:val="0"/>
                                <w:sz w:val="20"/>
                                <w:szCs w:val="20"/>
                                <w14:ligatures w14:val="none"/>
                              </w:rPr>
                              <w:t>Δ</w:t>
                            </w:r>
                            <w:r w:rsidRPr="000A72B3">
                              <w:rPr>
                                <w:rFonts w:eastAsia="Times New Roman" w:cs="Segoe UI"/>
                                <w:kern w:val="0"/>
                                <w:sz w:val="20"/>
                                <w:szCs w:val="20"/>
                                <w14:ligatures w14:val="none"/>
                              </w:rPr>
                              <w:t xml:space="preserve">OBS, making </w:t>
                            </w:r>
                            <w:r w:rsidRPr="000A72B3">
                              <w:rPr>
                                <w:rFonts w:ascii="Aptos" w:eastAsia="Times New Roman" w:hAnsi="Aptos" w:cs="Aptos"/>
                                <w:kern w:val="0"/>
                                <w:sz w:val="20"/>
                                <w:szCs w:val="20"/>
                                <w14:ligatures w14:val="none"/>
                              </w:rPr>
                              <w:t>β</w:t>
                            </w:r>
                            <w:r w:rsidRPr="000A72B3">
                              <w:rPr>
                                <w:rFonts w:eastAsia="Times New Roman" w:cs="Segoe UI"/>
                                <w:kern w:val="0"/>
                                <w:sz w:val="20"/>
                                <w:szCs w:val="20"/>
                                <w14:ligatures w14:val="none"/>
                              </w:rPr>
                              <w:t xml:space="preserve"> recoverable </w:t>
                            </w:r>
                            <w:r w:rsidRPr="000A72B3">
                              <w:rPr>
                                <w:rFonts w:eastAsia="Times New Roman" w:cs="Segoe UI"/>
                                <w:i/>
                                <w:iCs/>
                                <w:kern w:val="0"/>
                                <w:sz w:val="20"/>
                                <w:szCs w:val="20"/>
                                <w14:ligatures w14:val="none"/>
                              </w:rPr>
                              <w:t>post hoc</w:t>
                            </w:r>
                            <w:r w:rsidRPr="000A72B3">
                              <w:rPr>
                                <w:rFonts w:eastAsia="Times New Roman" w:cs="Segoe UI"/>
                                <w:kern w:val="0"/>
                                <w:sz w:val="20"/>
                                <w:szCs w:val="20"/>
                                <w14:ligatures w14:val="none"/>
                              </w:rPr>
                              <w:t>.</w:t>
                            </w:r>
                          </w:p>
                          <w:p w14:paraId="2CE43232" w14:textId="77777777" w:rsidR="00BF5DC4" w:rsidRPr="000A72B3" w:rsidRDefault="00BF5DC4" w:rsidP="00BF5DC4">
                            <w:pPr>
                              <w:spacing w:before="120" w:after="60" w:line="240" w:lineRule="auto"/>
                              <w:ind w:left="288" w:right="288"/>
                              <w:rPr>
                                <w:rFonts w:eastAsia="Times New Roman" w:cs="Segoe UI"/>
                                <w:kern w:val="0"/>
                                <w:sz w:val="20"/>
                                <w:szCs w:val="20"/>
                                <w14:ligatures w14:val="none"/>
                              </w:rPr>
                            </w:pPr>
                            <w:r w:rsidRPr="00CF4C9C">
                              <w:rPr>
                                <w:rFonts w:eastAsia="Times New Roman" w:cs="Segoe UI"/>
                                <w:b/>
                                <w:bCs/>
                                <w:kern w:val="0"/>
                                <w:sz w:val="20"/>
                                <w:szCs w:val="20"/>
                                <w14:ligatures w14:val="none"/>
                              </w:rPr>
                              <w:t>Observed results and decomposition</w:t>
                            </w:r>
                            <w:r w:rsidRPr="0087275A">
                              <w:rPr>
                                <w:rFonts w:eastAsia="Times New Roman" w:cs="Segoe UI"/>
                                <w:kern w:val="0"/>
                                <w:sz w:val="19"/>
                                <w:szCs w:val="19"/>
                                <w14:ligatures w14:val="none"/>
                              </w:rPr>
                              <w:t>.</w:t>
                            </w:r>
                            <w:r>
                              <w:rPr>
                                <w:rFonts w:eastAsia="Times New Roman" w:cs="Segoe UI"/>
                                <w:kern w:val="0"/>
                                <w:sz w:val="19"/>
                                <w:szCs w:val="19"/>
                                <w14:ligatures w14:val="none"/>
                              </w:rPr>
                              <w:t xml:space="preserve"> </w:t>
                            </w:r>
                            <w:r w:rsidRPr="000A72B3">
                              <w:rPr>
                                <w:rFonts w:eastAsia="Times New Roman" w:cs="Segoe UI"/>
                                <w:kern w:val="0"/>
                                <w:sz w:val="20"/>
                                <w:szCs w:val="20"/>
                                <w14:ligatures w14:val="none"/>
                              </w:rPr>
                              <w:t>The intention</w:t>
                            </w:r>
                            <w:r w:rsidRPr="000A72B3">
                              <w:rPr>
                                <w:rFonts w:ascii="Cambria Math" w:eastAsia="Times New Roman" w:hAnsi="Cambria Math" w:cs="Cambria Math"/>
                                <w:kern w:val="0"/>
                                <w:sz w:val="20"/>
                                <w:szCs w:val="20"/>
                                <w14:ligatures w14:val="none"/>
                              </w:rPr>
                              <w:t>‑</w:t>
                            </w:r>
                            <w:r w:rsidRPr="000A72B3">
                              <w:rPr>
                                <w:rFonts w:eastAsia="Times New Roman" w:cs="Segoe UI"/>
                                <w:kern w:val="0"/>
                                <w:sz w:val="20"/>
                                <w:szCs w:val="20"/>
                                <w14:ligatures w14:val="none"/>
                              </w:rPr>
                              <w:t>to</w:t>
                            </w:r>
                            <w:r w:rsidRPr="000A72B3">
                              <w:rPr>
                                <w:rFonts w:ascii="Cambria Math" w:eastAsia="Times New Roman" w:hAnsi="Cambria Math" w:cs="Cambria Math"/>
                                <w:kern w:val="0"/>
                                <w:sz w:val="20"/>
                                <w:szCs w:val="20"/>
                                <w14:ligatures w14:val="none"/>
                              </w:rPr>
                              <w:t>‑</w:t>
                            </w:r>
                            <w:r w:rsidRPr="000A72B3">
                              <w:rPr>
                                <w:rFonts w:eastAsia="Times New Roman" w:cs="Segoe UI"/>
                                <w:kern w:val="0"/>
                                <w:sz w:val="20"/>
                                <w:szCs w:val="20"/>
                                <w14:ligatures w14:val="none"/>
                              </w:rPr>
                              <w:t xml:space="preserve">treat (ITT) effect was small, reflecting attenuation from crossover, whereas observational contrasts were substantially larger. Secondary analyses decomposed this divergence as: </w:t>
                            </w:r>
                            <w:r w:rsidRPr="000A72B3">
                              <w:rPr>
                                <w:rFonts w:eastAsia="Times New Roman" w:cs="Segoe UI"/>
                                <w:b/>
                                <w:bCs/>
                                <w:kern w:val="0"/>
                                <w:sz w:val="20"/>
                                <w:szCs w:val="20"/>
                                <w14:ligatures w14:val="none"/>
                              </w:rPr>
                              <w:t>β = ΔOBS – Δα</w:t>
                            </w:r>
                            <w:r w:rsidRPr="000A72B3">
                              <w:rPr>
                                <w:rFonts w:eastAsia="Times New Roman" w:cs="Segoe UI"/>
                                <w:kern w:val="0"/>
                                <w:sz w:val="20"/>
                                <w:szCs w:val="20"/>
                                <w14:ligatures w14:val="none"/>
                              </w:rPr>
                              <w:t>,</w:t>
                            </w:r>
                            <w:r w:rsidRPr="000A72B3">
                              <w:rPr>
                                <w:rFonts w:eastAsia="Times New Roman" w:cs="Segoe UI"/>
                                <w:b/>
                                <w:bCs/>
                                <w:kern w:val="0"/>
                                <w:sz w:val="20"/>
                                <w:szCs w:val="20"/>
                                <w14:ligatures w14:val="none"/>
                              </w:rPr>
                              <w:t xml:space="preserve"> </w:t>
                            </w:r>
                            <w:r w:rsidRPr="000A72B3">
                              <w:rPr>
                                <w:rFonts w:eastAsia="Times New Roman" w:cs="Segoe UI"/>
                                <w:kern w:val="0"/>
                                <w:sz w:val="20"/>
                                <w:szCs w:val="20"/>
                                <w14:ligatures w14:val="none"/>
                              </w:rPr>
                              <w:t>yielding:</w:t>
                            </w:r>
                          </w:p>
                          <w:p w14:paraId="4966817A" w14:textId="77777777" w:rsidR="00BF5DC4" w:rsidRPr="000A72B3" w:rsidRDefault="00BF5DC4">
                            <w:pPr>
                              <w:pStyle w:val="ListParagraph"/>
                              <w:numPr>
                                <w:ilvl w:val="0"/>
                                <w:numId w:val="15"/>
                              </w:numPr>
                              <w:spacing w:beforeLines="60" w:before="144" w:afterLines="60" w:after="144" w:line="240" w:lineRule="auto"/>
                              <w:ind w:left="900" w:right="288" w:hanging="252"/>
                              <w:rPr>
                                <w:rFonts w:eastAsia="Times New Roman" w:cs="Segoe UI"/>
                                <w:kern w:val="0"/>
                                <w:sz w:val="20"/>
                                <w:szCs w:val="20"/>
                                <w14:ligatures w14:val="none"/>
                              </w:rPr>
                            </w:pPr>
                            <w:r w:rsidRPr="000A72B3">
                              <w:rPr>
                                <w:rFonts w:eastAsia="Times New Roman" w:cs="Segoe UI"/>
                                <w:kern w:val="0"/>
                                <w:sz w:val="20"/>
                                <w:szCs w:val="20"/>
                                <w14:ligatures w14:val="none"/>
                              </w:rPr>
                              <w:t>α</w:t>
                            </w:r>
                            <w:r w:rsidRPr="000A72B3">
                              <w:rPr>
                                <w:rFonts w:eastAsia="Times New Roman" w:cs="Segoe UI"/>
                                <w:kern w:val="0"/>
                                <w:sz w:val="20"/>
                                <w:szCs w:val="20"/>
                                <w:vertAlign w:val="subscript"/>
                                <w14:ligatures w14:val="none"/>
                              </w:rPr>
                              <w:t>Surgery</w:t>
                            </w:r>
                            <w:r w:rsidRPr="000A72B3">
                              <w:rPr>
                                <w:rFonts w:eastAsia="Times New Roman" w:cs="Segoe UI"/>
                                <w:kern w:val="0"/>
                                <w:sz w:val="20"/>
                                <w:szCs w:val="20"/>
                                <w14:ligatures w14:val="none"/>
                              </w:rPr>
                              <w:t xml:space="preserve"> ≈ 16–17 points; α</w:t>
                            </w:r>
                            <w:r>
                              <w:rPr>
                                <w:rFonts w:eastAsia="Times New Roman" w:cs="Segoe UI"/>
                                <w:kern w:val="0"/>
                                <w:sz w:val="20"/>
                                <w:szCs w:val="20"/>
                                <w:vertAlign w:val="subscript"/>
                                <w14:ligatures w14:val="none"/>
                              </w:rPr>
                              <w:t>nonoperative</w:t>
                            </w:r>
                            <w:r w:rsidRPr="000A72B3">
                              <w:rPr>
                                <w:rFonts w:eastAsia="Times New Roman" w:cs="Segoe UI"/>
                                <w:kern w:val="0"/>
                                <w:sz w:val="20"/>
                                <w:szCs w:val="20"/>
                                <w14:ligatures w14:val="none"/>
                              </w:rPr>
                              <w:t xml:space="preserve"> ≈ 15–16</w:t>
                            </w:r>
                          </w:p>
                          <w:p w14:paraId="7C8212F0" w14:textId="77777777" w:rsidR="00BF5DC4" w:rsidRPr="000A72B3" w:rsidRDefault="00BF5DC4">
                            <w:pPr>
                              <w:pStyle w:val="ListParagraph"/>
                              <w:numPr>
                                <w:ilvl w:val="0"/>
                                <w:numId w:val="15"/>
                              </w:numPr>
                              <w:spacing w:beforeLines="60" w:before="144" w:afterLines="60" w:after="144" w:line="240" w:lineRule="auto"/>
                              <w:ind w:left="900" w:right="288" w:hanging="252"/>
                              <w:rPr>
                                <w:rFonts w:eastAsia="Times New Roman" w:cs="Segoe UI"/>
                                <w:kern w:val="0"/>
                                <w:sz w:val="20"/>
                                <w:szCs w:val="20"/>
                                <w14:ligatures w14:val="none"/>
                              </w:rPr>
                            </w:pPr>
                            <w:r w:rsidRPr="000A72B3">
                              <w:rPr>
                                <w:rFonts w:eastAsia="Times New Roman" w:cs="Segoe UI"/>
                                <w:kern w:val="0"/>
                                <w:sz w:val="20"/>
                                <w:szCs w:val="20"/>
                                <w14:ligatures w14:val="none"/>
                              </w:rPr>
                              <w:t>Δα ≈ 0.65 points (near or below MCID)</w:t>
                            </w:r>
                          </w:p>
                          <w:p w14:paraId="251D776D" w14:textId="77777777" w:rsidR="00BF5DC4" w:rsidRPr="000A72B3" w:rsidRDefault="00BF5DC4">
                            <w:pPr>
                              <w:pStyle w:val="ListParagraph"/>
                              <w:numPr>
                                <w:ilvl w:val="0"/>
                                <w:numId w:val="15"/>
                              </w:numPr>
                              <w:spacing w:beforeLines="60" w:before="144" w:afterLines="60" w:after="144" w:line="240" w:lineRule="auto"/>
                              <w:ind w:left="900" w:right="288" w:hanging="252"/>
                              <w:rPr>
                                <w:rFonts w:eastAsia="Times New Roman" w:cs="Segoe UI"/>
                                <w:kern w:val="0"/>
                                <w:sz w:val="20"/>
                                <w:szCs w:val="20"/>
                                <w14:ligatures w14:val="none"/>
                              </w:rPr>
                            </w:pPr>
                            <w:r w:rsidRPr="000A72B3">
                              <w:rPr>
                                <w:rFonts w:eastAsia="Times New Roman" w:cs="Segoe UI"/>
                                <w:kern w:val="0"/>
                                <w:sz w:val="20"/>
                                <w:szCs w:val="20"/>
                                <w14:ligatures w14:val="none"/>
                              </w:rPr>
                              <w:t>β ≈ 6–8 points (clinically meaningful)</w:t>
                            </w:r>
                          </w:p>
                          <w:p w14:paraId="767B5C59" w14:textId="77777777" w:rsidR="00BF5DC4" w:rsidRPr="000A72B3" w:rsidRDefault="00BF5DC4" w:rsidP="00BF5DC4">
                            <w:pPr>
                              <w:spacing w:before="60" w:after="60" w:line="240" w:lineRule="auto"/>
                              <w:ind w:left="288" w:right="288"/>
                              <w:rPr>
                                <w:rFonts w:eastAsia="Times New Roman" w:cs="Segoe UI"/>
                                <w:kern w:val="0"/>
                                <w:sz w:val="20"/>
                                <w:szCs w:val="20"/>
                                <w14:ligatures w14:val="none"/>
                              </w:rPr>
                            </w:pPr>
                            <w:r w:rsidRPr="000A72B3">
                              <w:rPr>
                                <w:rFonts w:eastAsia="Times New Roman" w:cs="Segoe UI"/>
                                <w:kern w:val="0"/>
                                <w:sz w:val="20"/>
                                <w:szCs w:val="20"/>
                                <w14:ligatures w14:val="none"/>
                              </w:rPr>
                              <w:t>These results show that outcomes were jointly determined by biology and patient choice, with β dominating comparative outcomes under near biological equipoise.</w:t>
                            </w:r>
                          </w:p>
                          <w:p w14:paraId="7592B4AB" w14:textId="77777777" w:rsidR="00BF5DC4" w:rsidRPr="000A72B3" w:rsidRDefault="00BF5DC4" w:rsidP="00BF5DC4">
                            <w:pPr>
                              <w:spacing w:before="120" w:after="60" w:line="240" w:lineRule="auto"/>
                              <w:ind w:left="288" w:right="288"/>
                              <w:rPr>
                                <w:rFonts w:eastAsia="Times New Roman" w:cs="Segoe UI"/>
                                <w:kern w:val="0"/>
                                <w:sz w:val="20"/>
                                <w:szCs w:val="20"/>
                                <w14:ligatures w14:val="none"/>
                              </w:rPr>
                            </w:pPr>
                            <w:r w:rsidRPr="00CF4C9C">
                              <w:rPr>
                                <w:rFonts w:eastAsia="Times New Roman" w:cs="Segoe UI"/>
                                <w:b/>
                                <w:bCs/>
                                <w:kern w:val="0"/>
                                <w:sz w:val="20"/>
                                <w:szCs w:val="20"/>
                                <w14:ligatures w14:val="none"/>
                              </w:rPr>
                              <w:t>A–R–M mapping</w:t>
                            </w:r>
                            <w:r w:rsidRPr="0087275A">
                              <w:rPr>
                                <w:rFonts w:eastAsia="Times New Roman" w:cs="Segoe UI"/>
                                <w:kern w:val="0"/>
                                <w:sz w:val="19"/>
                                <w:szCs w:val="19"/>
                                <w14:ligatures w14:val="none"/>
                              </w:rPr>
                              <w:t>.</w:t>
                            </w:r>
                            <w:r>
                              <w:rPr>
                                <w:rFonts w:eastAsia="Times New Roman" w:cs="Segoe UI"/>
                                <w:kern w:val="0"/>
                                <w:sz w:val="19"/>
                                <w:szCs w:val="19"/>
                                <w14:ligatures w14:val="none"/>
                              </w:rPr>
                              <w:t xml:space="preserve"> </w:t>
                            </w:r>
                            <w:r w:rsidRPr="000A72B3">
                              <w:rPr>
                                <w:rFonts w:eastAsia="Times New Roman" w:cs="Segoe UI"/>
                                <w:kern w:val="0"/>
                                <w:sz w:val="20"/>
                                <w:szCs w:val="20"/>
                                <w14:ligatures w14:val="none"/>
                              </w:rPr>
                              <w:t>SPORT corresponds to the β</w:t>
                            </w:r>
                            <w:r w:rsidRPr="000A72B3">
                              <w:rPr>
                                <w:rFonts w:ascii="Cambria Math" w:eastAsia="Times New Roman" w:hAnsi="Cambria Math" w:cs="Cambria Math"/>
                                <w:kern w:val="0"/>
                                <w:sz w:val="20"/>
                                <w:szCs w:val="20"/>
                                <w14:ligatures w14:val="none"/>
                              </w:rPr>
                              <w:t>‑</w:t>
                            </w:r>
                            <w:r w:rsidRPr="000A72B3">
                              <w:rPr>
                                <w:rFonts w:eastAsia="Times New Roman" w:cs="Segoe UI"/>
                                <w:kern w:val="0"/>
                                <w:sz w:val="20"/>
                                <w:szCs w:val="20"/>
                                <w14:ligatures w14:val="none"/>
                              </w:rPr>
                              <w:t>quantifying column:</w:t>
                            </w:r>
                          </w:p>
                          <w:p w14:paraId="182A0B85" w14:textId="77777777" w:rsidR="00BF5DC4" w:rsidRPr="000A72B3" w:rsidRDefault="00BF5DC4">
                            <w:pPr>
                              <w:pStyle w:val="ListParagraph"/>
                              <w:numPr>
                                <w:ilvl w:val="0"/>
                                <w:numId w:val="16"/>
                              </w:numPr>
                              <w:spacing w:beforeLines="60" w:before="144" w:afterLines="60" w:after="144" w:line="240" w:lineRule="auto"/>
                              <w:ind w:left="900" w:right="288" w:hanging="252"/>
                              <w:rPr>
                                <w:rFonts w:eastAsia="Times New Roman" w:cs="Segoe UI"/>
                                <w:kern w:val="0"/>
                                <w:sz w:val="20"/>
                                <w:szCs w:val="20"/>
                                <w14:ligatures w14:val="none"/>
                              </w:rPr>
                            </w:pPr>
                            <w:r w:rsidRPr="000A72B3">
                              <w:rPr>
                                <w:rFonts w:eastAsia="Times New Roman" w:cs="Segoe UI"/>
                                <w:kern w:val="0"/>
                                <w:sz w:val="20"/>
                                <w:szCs w:val="20"/>
                                <w14:ligatures w14:val="none"/>
                              </w:rPr>
                              <w:t>Axioms (</w:t>
                            </w:r>
                            <w:r w:rsidRPr="000A72B3">
                              <w:rPr>
                                <w:rFonts w:eastAsia="Times New Roman" w:cs="Segoe UI"/>
                                <w:b/>
                                <w:bCs/>
                                <w:kern w:val="0"/>
                                <w:sz w:val="20"/>
                                <w:szCs w:val="20"/>
                                <w14:ligatures w14:val="none"/>
                              </w:rPr>
                              <w:t>A</w:t>
                            </w:r>
                            <w:r w:rsidRPr="000A72B3">
                              <w:rPr>
                                <w:rFonts w:eastAsia="Times New Roman" w:cs="Segoe UI"/>
                                <w:kern w:val="0"/>
                                <w:sz w:val="20"/>
                                <w:szCs w:val="20"/>
                                <w14:ligatures w14:val="none"/>
                              </w:rPr>
                              <w:t>): A1–A2 satisfied implicitly (dual causation present but not formalized)</w:t>
                            </w:r>
                          </w:p>
                          <w:p w14:paraId="2008A97C" w14:textId="77777777" w:rsidR="00BF5DC4" w:rsidRPr="000A72B3" w:rsidRDefault="00BF5DC4">
                            <w:pPr>
                              <w:pStyle w:val="ListParagraph"/>
                              <w:numPr>
                                <w:ilvl w:val="0"/>
                                <w:numId w:val="16"/>
                              </w:numPr>
                              <w:spacing w:beforeLines="60" w:before="144" w:afterLines="60" w:after="144" w:line="240" w:lineRule="auto"/>
                              <w:ind w:left="900" w:right="288" w:hanging="252"/>
                              <w:rPr>
                                <w:rFonts w:eastAsia="Times New Roman" w:cs="Segoe UI"/>
                                <w:kern w:val="0"/>
                                <w:sz w:val="20"/>
                                <w:szCs w:val="20"/>
                                <w14:ligatures w14:val="none"/>
                              </w:rPr>
                            </w:pPr>
                            <w:r w:rsidRPr="000A72B3">
                              <w:rPr>
                                <w:rFonts w:eastAsia="Times New Roman" w:cs="Segoe UI"/>
                                <w:kern w:val="0"/>
                                <w:sz w:val="20"/>
                                <w:szCs w:val="20"/>
                                <w14:ligatures w14:val="none"/>
                              </w:rPr>
                              <w:t>Rules (</w:t>
                            </w:r>
                            <w:r w:rsidRPr="000A72B3">
                              <w:rPr>
                                <w:rFonts w:eastAsia="Times New Roman" w:cs="Segoe UI"/>
                                <w:b/>
                                <w:bCs/>
                                <w:kern w:val="0"/>
                                <w:sz w:val="20"/>
                                <w:szCs w:val="20"/>
                                <w14:ligatures w14:val="none"/>
                              </w:rPr>
                              <w:t>R</w:t>
                            </w:r>
                            <w:r w:rsidRPr="000A72B3">
                              <w:rPr>
                                <w:rFonts w:eastAsia="Times New Roman" w:cs="Segoe UI"/>
                                <w:kern w:val="0"/>
                                <w:sz w:val="20"/>
                                <w:szCs w:val="20"/>
                                <w14:ligatures w14:val="none"/>
                              </w:rPr>
                              <w:t>): R1 applied retrospectively; R2–R5 not prespecified</w:t>
                            </w:r>
                          </w:p>
                          <w:p w14:paraId="075ACE6B" w14:textId="77777777" w:rsidR="00BF5DC4" w:rsidRPr="000A72B3" w:rsidRDefault="00BF5DC4">
                            <w:pPr>
                              <w:pStyle w:val="ListParagraph"/>
                              <w:numPr>
                                <w:ilvl w:val="0"/>
                                <w:numId w:val="16"/>
                              </w:numPr>
                              <w:spacing w:beforeLines="60" w:before="144" w:afterLines="60" w:after="144" w:line="240" w:lineRule="auto"/>
                              <w:ind w:left="900" w:right="288" w:hanging="252"/>
                              <w:rPr>
                                <w:rFonts w:eastAsia="Times New Roman" w:cs="Segoe UI"/>
                                <w:kern w:val="0"/>
                                <w:sz w:val="20"/>
                                <w:szCs w:val="20"/>
                                <w14:ligatures w14:val="none"/>
                              </w:rPr>
                            </w:pPr>
                            <w:r w:rsidRPr="000A72B3">
                              <w:rPr>
                                <w:rFonts w:eastAsia="Times New Roman" w:cs="Segoe UI"/>
                                <w:kern w:val="0"/>
                                <w:sz w:val="20"/>
                                <w:szCs w:val="20"/>
                                <w14:ligatures w14:val="none"/>
                              </w:rPr>
                              <w:t>Methods (</w:t>
                            </w:r>
                            <w:r w:rsidRPr="000A72B3">
                              <w:rPr>
                                <w:rFonts w:eastAsia="Times New Roman" w:cs="Segoe UI"/>
                                <w:b/>
                                <w:bCs/>
                                <w:kern w:val="0"/>
                                <w:sz w:val="20"/>
                                <w:szCs w:val="20"/>
                                <w14:ligatures w14:val="none"/>
                              </w:rPr>
                              <w:t>M</w:t>
                            </w:r>
                            <w:r w:rsidRPr="000A72B3">
                              <w:rPr>
                                <w:rFonts w:eastAsia="Times New Roman" w:cs="Segoe UI"/>
                                <w:kern w:val="0"/>
                                <w:sz w:val="20"/>
                                <w:szCs w:val="20"/>
                                <w14:ligatures w14:val="none"/>
                              </w:rPr>
                              <w:t>): M1 present; M2 implicit in secondary analyses; M3–M6 absent</w:t>
                            </w:r>
                          </w:p>
                          <w:p w14:paraId="41ADA694" w14:textId="77777777" w:rsidR="00BF5DC4" w:rsidRPr="000A72B3" w:rsidRDefault="00BF5DC4" w:rsidP="00BF5DC4">
                            <w:pPr>
                              <w:spacing w:before="60" w:after="60" w:line="240" w:lineRule="auto"/>
                              <w:ind w:left="288" w:right="288"/>
                              <w:rPr>
                                <w:rFonts w:eastAsia="Times New Roman" w:cs="Segoe UI"/>
                                <w:kern w:val="0"/>
                                <w:sz w:val="20"/>
                                <w:szCs w:val="20"/>
                                <w14:ligatures w14:val="none"/>
                              </w:rPr>
                            </w:pPr>
                            <w:r w:rsidRPr="000A72B3">
                              <w:rPr>
                                <w:rFonts w:eastAsia="Times New Roman" w:cs="Segoe UI"/>
                                <w:kern w:val="0"/>
                                <w:sz w:val="20"/>
                                <w:szCs w:val="20"/>
                                <w14:ligatures w14:val="none"/>
                              </w:rPr>
                              <w:t>Thus, β is recoverable, but not prospectively identified or interpreted.</w:t>
                            </w:r>
                          </w:p>
                          <w:p w14:paraId="3DDC4F16" w14:textId="77777777" w:rsidR="00BF5DC4" w:rsidRDefault="00BF5DC4" w:rsidP="00BF5DC4">
                            <w:pPr>
                              <w:spacing w:before="120" w:after="60" w:line="240" w:lineRule="auto"/>
                              <w:ind w:left="288" w:right="288"/>
                              <w:rPr>
                                <w:rFonts w:eastAsia="Times New Roman" w:cs="Segoe UI"/>
                                <w:kern w:val="0"/>
                                <w:sz w:val="19"/>
                                <w:szCs w:val="19"/>
                                <w14:ligatures w14:val="none"/>
                              </w:rPr>
                            </w:pPr>
                            <w:r w:rsidRPr="00CF4C9C">
                              <w:rPr>
                                <w:rFonts w:eastAsia="Times New Roman" w:cs="Segoe UI"/>
                                <w:b/>
                                <w:bCs/>
                                <w:kern w:val="0"/>
                                <w:sz w:val="20"/>
                                <w:szCs w:val="20"/>
                                <w14:ligatures w14:val="none"/>
                              </w:rPr>
                              <w:t>What was not prespecified</w:t>
                            </w:r>
                            <w:r w:rsidRPr="0087275A">
                              <w:rPr>
                                <w:rFonts w:eastAsia="Times New Roman" w:cs="Segoe UI"/>
                                <w:kern w:val="0"/>
                                <w:sz w:val="19"/>
                                <w:szCs w:val="19"/>
                                <w14:ligatures w14:val="none"/>
                              </w:rPr>
                              <w:t>.</w:t>
                            </w:r>
                            <w:r>
                              <w:rPr>
                                <w:rFonts w:eastAsia="Times New Roman" w:cs="Segoe UI"/>
                                <w:kern w:val="0"/>
                                <w:sz w:val="19"/>
                                <w:szCs w:val="19"/>
                                <w14:ligatures w14:val="none"/>
                              </w:rPr>
                              <w:t xml:space="preserve"> </w:t>
                            </w:r>
                            <w:r w:rsidRPr="000A72B3">
                              <w:rPr>
                                <w:rFonts w:eastAsia="Times New Roman" w:cs="Segoe UI"/>
                                <w:kern w:val="0"/>
                                <w:sz w:val="20"/>
                                <w:szCs w:val="20"/>
                                <w14:ligatures w14:val="none"/>
                              </w:rPr>
                              <w:t>SPORT did not define β as a primary estimand, did not prespecify regime-based interpretation (R1), and did not route design to preserve identification across regimes (R2). Trials were not powered for β (R3), and neutrality/non-interference constraints on preference measurement were not formalized (A6, R4). Identification diagnostics and joint (Δα, β) inference were not built into the design prospectively (M3–M6). A minimal prespecified core—β on a common scale (A2; M2), regime rules (R1–R2), and identification/measurement safeguards (M3; A6/R4)—captures most of the framework’s leverage; the remaining elements chiefly increase precision and prospective rigor (R3; M4–M6).</w:t>
                            </w:r>
                          </w:p>
                          <w:p w14:paraId="47D2D83B" w14:textId="77777777" w:rsidR="00BF5DC4" w:rsidRPr="000A72B3" w:rsidRDefault="00BF5DC4" w:rsidP="00BF5DC4">
                            <w:pPr>
                              <w:spacing w:before="120" w:after="60" w:line="240" w:lineRule="auto"/>
                              <w:ind w:left="288" w:right="288"/>
                              <w:rPr>
                                <w:rFonts w:eastAsia="Times New Roman" w:cs="Segoe UI"/>
                                <w:kern w:val="0"/>
                                <w:sz w:val="20"/>
                                <w:szCs w:val="20"/>
                                <w14:ligatures w14:val="none"/>
                              </w:rPr>
                            </w:pPr>
                            <w:r w:rsidRPr="00CF4C9C">
                              <w:rPr>
                                <w:rFonts w:eastAsia="Times New Roman" w:cs="Segoe UI"/>
                                <w:b/>
                                <w:bCs/>
                                <w:kern w:val="0"/>
                                <w:sz w:val="20"/>
                                <w:szCs w:val="20"/>
                                <w14:ligatures w14:val="none"/>
                              </w:rPr>
                              <w:t xml:space="preserve">How a </w:t>
                            </w:r>
                            <w:r>
                              <w:rPr>
                                <w:rFonts w:eastAsia="Times New Roman" w:cs="Segoe UI"/>
                                <w:b/>
                                <w:bCs/>
                                <w:kern w:val="0"/>
                                <w:sz w:val="20"/>
                                <w:szCs w:val="20"/>
                                <w14:ligatures w14:val="none"/>
                              </w:rPr>
                              <w:t xml:space="preserve">full </w:t>
                            </w:r>
                            <w:r w:rsidRPr="00CF4C9C">
                              <w:rPr>
                                <w:rFonts w:eastAsia="Times New Roman" w:cs="Segoe UI"/>
                                <w:b/>
                                <w:bCs/>
                                <w:kern w:val="0"/>
                                <w:sz w:val="20"/>
                                <w:szCs w:val="20"/>
                                <w14:ligatures w14:val="none"/>
                              </w:rPr>
                              <w:t>β</w:t>
                            </w:r>
                            <w:r w:rsidRPr="00CF4C9C">
                              <w:rPr>
                                <w:rFonts w:ascii="Cambria Math" w:eastAsia="Times New Roman" w:hAnsi="Cambria Math" w:cs="Cambria Math"/>
                                <w:b/>
                                <w:bCs/>
                                <w:kern w:val="0"/>
                                <w:sz w:val="20"/>
                                <w:szCs w:val="20"/>
                                <w14:ligatures w14:val="none"/>
                              </w:rPr>
                              <w:t>‑</w:t>
                            </w:r>
                            <w:r w:rsidRPr="00CF4C9C">
                              <w:rPr>
                                <w:rFonts w:eastAsia="Times New Roman" w:cs="Segoe UI"/>
                                <w:b/>
                                <w:bCs/>
                                <w:kern w:val="0"/>
                                <w:sz w:val="20"/>
                                <w:szCs w:val="20"/>
                                <w14:ligatures w14:val="none"/>
                              </w:rPr>
                              <w:t>identifying trial would differ</w:t>
                            </w:r>
                            <w:r w:rsidRPr="00CF4C9C">
                              <w:rPr>
                                <w:rFonts w:eastAsia="Times New Roman" w:cs="Segoe UI"/>
                                <w:kern w:val="0"/>
                                <w:sz w:val="19"/>
                                <w:szCs w:val="19"/>
                                <w14:ligatures w14:val="none"/>
                              </w:rPr>
                              <w:t>.</w:t>
                            </w:r>
                            <w:r>
                              <w:rPr>
                                <w:rFonts w:eastAsia="Times New Roman" w:cs="Segoe UI"/>
                                <w:kern w:val="0"/>
                                <w:sz w:val="19"/>
                                <w:szCs w:val="19"/>
                                <w14:ligatures w14:val="none"/>
                              </w:rPr>
                              <w:t xml:space="preserve"> </w:t>
                            </w:r>
                            <w:r w:rsidRPr="000A72B3">
                              <w:rPr>
                                <w:rFonts w:eastAsia="Times New Roman" w:cs="Segoe UI"/>
                                <w:kern w:val="0"/>
                                <w:sz w:val="20"/>
                                <w:szCs w:val="20"/>
                                <w14:ligatures w14:val="none"/>
                              </w:rPr>
                              <w:t>A β</w:t>
                            </w:r>
                            <w:r w:rsidRPr="000A72B3">
                              <w:rPr>
                                <w:rFonts w:ascii="Cambria Math" w:eastAsia="Times New Roman" w:hAnsi="Cambria Math" w:cs="Cambria Math"/>
                                <w:kern w:val="0"/>
                                <w:sz w:val="20"/>
                                <w:szCs w:val="20"/>
                                <w14:ligatures w14:val="none"/>
                              </w:rPr>
                              <w:t>‑</w:t>
                            </w:r>
                            <w:r w:rsidRPr="000A72B3">
                              <w:rPr>
                                <w:rFonts w:eastAsia="Times New Roman" w:cs="Segoe UI"/>
                                <w:kern w:val="0"/>
                                <w:sz w:val="20"/>
                                <w:szCs w:val="20"/>
                                <w14:ligatures w14:val="none"/>
                              </w:rPr>
                              <w:t xml:space="preserve">identifying trial under </w:t>
                            </w:r>
                            <w:r>
                              <w:rPr>
                                <w:rFonts w:eastAsia="Times New Roman" w:cs="Segoe UI"/>
                                <w:kern w:val="0"/>
                                <w:sz w:val="20"/>
                                <w:szCs w:val="20"/>
                                <w14:ligatures w14:val="none"/>
                              </w:rPr>
                              <w:t>the</w:t>
                            </w:r>
                            <w:r w:rsidRPr="000A72B3">
                              <w:rPr>
                                <w:rFonts w:eastAsia="Times New Roman" w:cs="Segoe UI"/>
                                <w:kern w:val="0"/>
                                <w:sz w:val="20"/>
                                <w:szCs w:val="20"/>
                                <w14:ligatures w14:val="none"/>
                              </w:rPr>
                              <w:t xml:space="preserve"> </w:t>
                            </w:r>
                            <w:r>
                              <w:rPr>
                                <w:rFonts w:eastAsia="Times New Roman" w:cs="Segoe UI"/>
                                <w:kern w:val="0"/>
                                <w:sz w:val="20"/>
                                <w:szCs w:val="20"/>
                                <w14:ligatures w14:val="none"/>
                              </w:rPr>
                              <w:t xml:space="preserve">full </w:t>
                            </w:r>
                            <w:r w:rsidRPr="000A72B3">
                              <w:rPr>
                                <w:rFonts w:eastAsia="Times New Roman" w:cs="Segoe UI"/>
                                <w:kern w:val="0"/>
                                <w:sz w:val="20"/>
                                <w:szCs w:val="20"/>
                                <w14:ligatures w14:val="none"/>
                              </w:rPr>
                              <w:t xml:space="preserve">framework </w:t>
                            </w:r>
                            <w:r>
                              <w:rPr>
                                <w:rFonts w:eastAsia="Times New Roman" w:cs="Segoe UI"/>
                                <w:kern w:val="0"/>
                                <w:sz w:val="20"/>
                                <w:szCs w:val="20"/>
                                <w14:ligatures w14:val="none"/>
                              </w:rPr>
                              <w:t xml:space="preserve">developed in this paper </w:t>
                            </w:r>
                            <w:r w:rsidRPr="000A72B3">
                              <w:rPr>
                                <w:rFonts w:eastAsia="Times New Roman" w:cs="Segoe UI"/>
                                <w:kern w:val="0"/>
                                <w:sz w:val="20"/>
                                <w:szCs w:val="20"/>
                                <w14:ligatures w14:val="none"/>
                              </w:rPr>
                              <w:t>would:</w:t>
                            </w:r>
                          </w:p>
                          <w:p w14:paraId="7EBE3615" w14:textId="77777777" w:rsidR="00BF5DC4" w:rsidRPr="000A72B3" w:rsidRDefault="00BF5DC4">
                            <w:pPr>
                              <w:pStyle w:val="ListParagraph"/>
                              <w:numPr>
                                <w:ilvl w:val="0"/>
                                <w:numId w:val="17"/>
                              </w:numPr>
                              <w:spacing w:beforeLines="60" w:before="144" w:afterLines="60" w:after="144" w:line="240" w:lineRule="auto"/>
                              <w:ind w:left="900" w:right="288" w:hanging="252"/>
                              <w:rPr>
                                <w:rFonts w:eastAsia="Times New Roman" w:cs="Segoe UI"/>
                                <w:kern w:val="0"/>
                                <w:sz w:val="20"/>
                                <w:szCs w:val="20"/>
                                <w14:ligatures w14:val="none"/>
                              </w:rPr>
                            </w:pPr>
                            <w:r w:rsidRPr="000A72B3">
                              <w:rPr>
                                <w:rFonts w:eastAsia="Times New Roman" w:cs="Segoe UI"/>
                                <w:kern w:val="0"/>
                                <w:sz w:val="20"/>
                                <w:szCs w:val="20"/>
                                <w14:ligatures w14:val="none"/>
                              </w:rPr>
                              <w:t>prespecify co</w:t>
                            </w:r>
                            <w:r w:rsidRPr="000A72B3">
                              <w:rPr>
                                <w:rFonts w:ascii="Cambria Math" w:eastAsia="Times New Roman" w:hAnsi="Cambria Math" w:cs="Cambria Math"/>
                                <w:kern w:val="0"/>
                                <w:sz w:val="20"/>
                                <w:szCs w:val="20"/>
                                <w14:ligatures w14:val="none"/>
                              </w:rPr>
                              <w:t>‑</w:t>
                            </w:r>
                            <w:r w:rsidRPr="000A72B3">
                              <w:rPr>
                                <w:rFonts w:eastAsia="Times New Roman" w:cs="Segoe UI"/>
                                <w:kern w:val="0"/>
                                <w:sz w:val="20"/>
                                <w:szCs w:val="20"/>
                                <w14:ligatures w14:val="none"/>
                              </w:rPr>
                              <w:t>estimands (</w:t>
                            </w:r>
                            <w:r w:rsidRPr="000A72B3">
                              <w:rPr>
                                <w:rFonts w:ascii="Aptos" w:eastAsia="Times New Roman" w:hAnsi="Aptos" w:cs="Aptos"/>
                                <w:kern w:val="0"/>
                                <w:sz w:val="20"/>
                                <w:szCs w:val="20"/>
                                <w14:ligatures w14:val="none"/>
                              </w:rPr>
                              <w:t>α</w:t>
                            </w:r>
                            <w:r w:rsidRPr="000A72B3">
                              <w:rPr>
                                <w:rFonts w:eastAsia="Times New Roman" w:cs="Segoe UI"/>
                                <w:kern w:val="0"/>
                                <w:sz w:val="20"/>
                                <w:szCs w:val="20"/>
                                <w14:ligatures w14:val="none"/>
                              </w:rPr>
                              <w:t xml:space="preserve">, </w:t>
                            </w:r>
                            <w:r w:rsidRPr="000A72B3">
                              <w:rPr>
                                <w:rFonts w:ascii="Aptos" w:eastAsia="Times New Roman" w:hAnsi="Aptos" w:cs="Aptos"/>
                                <w:kern w:val="0"/>
                                <w:sz w:val="20"/>
                                <w:szCs w:val="20"/>
                                <w14:ligatures w14:val="none"/>
                              </w:rPr>
                              <w:t>Δα</w:t>
                            </w:r>
                            <w:r w:rsidRPr="000A72B3">
                              <w:rPr>
                                <w:rFonts w:eastAsia="Times New Roman" w:cs="Segoe UI"/>
                                <w:kern w:val="0"/>
                                <w:sz w:val="20"/>
                                <w:szCs w:val="20"/>
                                <w14:ligatures w14:val="none"/>
                              </w:rPr>
                              <w:t xml:space="preserve">, </w:t>
                            </w:r>
                            <w:r w:rsidRPr="000A72B3">
                              <w:rPr>
                                <w:rFonts w:ascii="Aptos" w:eastAsia="Times New Roman" w:hAnsi="Aptos" w:cs="Aptos"/>
                                <w:kern w:val="0"/>
                                <w:sz w:val="20"/>
                                <w:szCs w:val="20"/>
                                <w14:ligatures w14:val="none"/>
                              </w:rPr>
                              <w:t>β</w:t>
                            </w:r>
                            <w:r w:rsidRPr="000A72B3">
                              <w:rPr>
                                <w:rFonts w:eastAsia="Times New Roman" w:cs="Segoe UI"/>
                                <w:kern w:val="0"/>
                                <w:sz w:val="20"/>
                                <w:szCs w:val="20"/>
                                <w14:ligatures w14:val="none"/>
                              </w:rPr>
                              <w:t>) on a common scale (A2; M1</w:t>
                            </w:r>
                            <w:r w:rsidRPr="000A72B3">
                              <w:rPr>
                                <w:rFonts w:ascii="Aptos" w:eastAsia="Times New Roman" w:hAnsi="Aptos" w:cs="Aptos"/>
                                <w:kern w:val="0"/>
                                <w:sz w:val="20"/>
                                <w:szCs w:val="20"/>
                                <w14:ligatures w14:val="none"/>
                              </w:rPr>
                              <w:t>–</w:t>
                            </w:r>
                            <w:r w:rsidRPr="000A72B3">
                              <w:rPr>
                                <w:rFonts w:eastAsia="Times New Roman" w:cs="Segoe UI"/>
                                <w:kern w:val="0"/>
                                <w:sz w:val="20"/>
                                <w:szCs w:val="20"/>
                                <w14:ligatures w14:val="none"/>
                              </w:rPr>
                              <w:t>M2);</w:t>
                            </w:r>
                          </w:p>
                          <w:p w14:paraId="622DBDFC" w14:textId="77777777" w:rsidR="00BF5DC4" w:rsidRPr="000A72B3" w:rsidRDefault="00BF5DC4">
                            <w:pPr>
                              <w:pStyle w:val="ListParagraph"/>
                              <w:numPr>
                                <w:ilvl w:val="0"/>
                                <w:numId w:val="17"/>
                              </w:numPr>
                              <w:spacing w:beforeLines="60" w:before="144" w:afterLines="60" w:after="144" w:line="240" w:lineRule="auto"/>
                              <w:ind w:left="900" w:right="288" w:hanging="252"/>
                              <w:rPr>
                                <w:rFonts w:eastAsia="Times New Roman" w:cs="Segoe UI"/>
                                <w:kern w:val="0"/>
                                <w:sz w:val="20"/>
                                <w:szCs w:val="20"/>
                                <w14:ligatures w14:val="none"/>
                              </w:rPr>
                            </w:pPr>
                            <w:r w:rsidRPr="000A72B3">
                              <w:rPr>
                                <w:rFonts w:eastAsia="Times New Roman" w:cs="Segoe UI"/>
                                <w:kern w:val="0"/>
                                <w:sz w:val="20"/>
                                <w:szCs w:val="20"/>
                                <w14:ligatures w14:val="none"/>
                              </w:rPr>
                              <w:t>route design to preserve identifiability across regimes (R2);</w:t>
                            </w:r>
                          </w:p>
                          <w:p w14:paraId="0FDE5E37" w14:textId="77777777" w:rsidR="00BF5DC4" w:rsidRPr="000A72B3" w:rsidRDefault="00BF5DC4">
                            <w:pPr>
                              <w:pStyle w:val="ListParagraph"/>
                              <w:numPr>
                                <w:ilvl w:val="0"/>
                                <w:numId w:val="17"/>
                              </w:numPr>
                              <w:spacing w:beforeLines="60" w:before="144" w:afterLines="60" w:after="144" w:line="240" w:lineRule="auto"/>
                              <w:ind w:left="900" w:right="288" w:hanging="252"/>
                              <w:rPr>
                                <w:rFonts w:eastAsia="Times New Roman" w:cs="Segoe UI"/>
                                <w:kern w:val="0"/>
                                <w:sz w:val="20"/>
                                <w:szCs w:val="20"/>
                                <w14:ligatures w14:val="none"/>
                              </w:rPr>
                            </w:pPr>
                            <w:r w:rsidRPr="000A72B3">
                              <w:rPr>
                                <w:rFonts w:eastAsia="Times New Roman" w:cs="Segoe UI"/>
                                <w:kern w:val="0"/>
                                <w:sz w:val="20"/>
                                <w:szCs w:val="20"/>
                                <w14:ligatures w14:val="none"/>
                              </w:rPr>
                              <w:t>power jointly for α and β and monitor instrument strength (R3; M6);</w:t>
                            </w:r>
                          </w:p>
                          <w:p w14:paraId="60D12C82" w14:textId="77777777" w:rsidR="00BF5DC4" w:rsidRPr="000A72B3" w:rsidRDefault="00BF5DC4">
                            <w:pPr>
                              <w:pStyle w:val="ListParagraph"/>
                              <w:numPr>
                                <w:ilvl w:val="0"/>
                                <w:numId w:val="17"/>
                              </w:numPr>
                              <w:spacing w:beforeLines="60" w:before="144" w:afterLines="60" w:after="144" w:line="240" w:lineRule="auto"/>
                              <w:ind w:left="900" w:right="288" w:hanging="252"/>
                              <w:rPr>
                                <w:rFonts w:eastAsia="Times New Roman" w:cs="Segoe UI"/>
                                <w:kern w:val="0"/>
                                <w:sz w:val="20"/>
                                <w:szCs w:val="20"/>
                                <w14:ligatures w14:val="none"/>
                              </w:rPr>
                            </w:pPr>
                            <w:r w:rsidRPr="000A72B3">
                              <w:rPr>
                                <w:rFonts w:eastAsia="Times New Roman" w:cs="Segoe UI"/>
                                <w:kern w:val="0"/>
                                <w:sz w:val="20"/>
                                <w:szCs w:val="20"/>
                                <w14:ligatures w14:val="none"/>
                              </w:rPr>
                              <w:t>enforce neutral, symmetric preference measurement (A6; R4; M5);</w:t>
                            </w:r>
                          </w:p>
                          <w:p w14:paraId="53A570D6" w14:textId="77777777" w:rsidR="00BF5DC4" w:rsidRPr="000A72B3" w:rsidRDefault="00BF5DC4">
                            <w:pPr>
                              <w:pStyle w:val="ListParagraph"/>
                              <w:numPr>
                                <w:ilvl w:val="0"/>
                                <w:numId w:val="17"/>
                              </w:numPr>
                              <w:spacing w:beforeLines="60" w:before="144" w:afterLines="60" w:after="144" w:line="240" w:lineRule="auto"/>
                              <w:ind w:left="900" w:right="288" w:hanging="252"/>
                              <w:rPr>
                                <w:rFonts w:eastAsia="Times New Roman" w:cs="Segoe UI"/>
                                <w:kern w:val="0"/>
                                <w:sz w:val="20"/>
                                <w:szCs w:val="20"/>
                                <w14:ligatures w14:val="none"/>
                              </w:rPr>
                            </w:pPr>
                            <w:r w:rsidRPr="000A72B3">
                              <w:rPr>
                                <w:rFonts w:eastAsia="Times New Roman" w:cs="Segoe UI"/>
                                <w:kern w:val="0"/>
                                <w:sz w:val="20"/>
                                <w:szCs w:val="20"/>
                                <w14:ligatures w14:val="none"/>
                              </w:rPr>
                              <w:t>apply identification diagnostics and regime classification prospectively (M3; R1).</w:t>
                            </w:r>
                          </w:p>
                          <w:p w14:paraId="0CE69404" w14:textId="77777777" w:rsidR="00BF5DC4" w:rsidRPr="000A72B3" w:rsidRDefault="00BF5DC4" w:rsidP="00BF5DC4">
                            <w:pPr>
                              <w:spacing w:before="60" w:after="60" w:line="240" w:lineRule="auto"/>
                              <w:ind w:left="288" w:right="288"/>
                              <w:rPr>
                                <w:rFonts w:eastAsia="Times New Roman" w:cs="Segoe UI"/>
                                <w:kern w:val="0"/>
                                <w:sz w:val="20"/>
                                <w:szCs w:val="20"/>
                                <w14:ligatures w14:val="none"/>
                              </w:rPr>
                            </w:pPr>
                            <w:r w:rsidRPr="000A72B3">
                              <w:rPr>
                                <w:rFonts w:eastAsia="Times New Roman" w:cs="Segoe UI"/>
                                <w:kern w:val="0"/>
                                <w:sz w:val="20"/>
                                <w:szCs w:val="20"/>
                                <w14:ligatures w14:val="none"/>
                              </w:rPr>
                              <w:t xml:space="preserve">These elements transform </w:t>
                            </w:r>
                            <w:r w:rsidRPr="000A72B3">
                              <w:rPr>
                                <w:rFonts w:eastAsia="Times New Roman" w:cs="Segoe UI"/>
                                <w:i/>
                                <w:iCs/>
                                <w:kern w:val="0"/>
                                <w:sz w:val="20"/>
                                <w:szCs w:val="20"/>
                                <w14:ligatures w14:val="none"/>
                              </w:rPr>
                              <w:t>post hoc</w:t>
                            </w:r>
                            <w:r w:rsidRPr="000A72B3">
                              <w:rPr>
                                <w:rFonts w:eastAsia="Times New Roman" w:cs="Segoe UI"/>
                                <w:kern w:val="0"/>
                                <w:sz w:val="20"/>
                                <w:szCs w:val="20"/>
                                <w14:ligatures w14:val="none"/>
                              </w:rPr>
                              <w:t xml:space="preserve"> decomposition into prospective, rule</w:t>
                            </w:r>
                            <w:r w:rsidRPr="000A72B3">
                              <w:rPr>
                                <w:rFonts w:ascii="Cambria Math" w:eastAsia="Times New Roman" w:hAnsi="Cambria Math" w:cs="Cambria Math"/>
                                <w:kern w:val="0"/>
                                <w:sz w:val="20"/>
                                <w:szCs w:val="20"/>
                                <w14:ligatures w14:val="none"/>
                              </w:rPr>
                              <w:t>‑</w:t>
                            </w:r>
                            <w:r w:rsidRPr="000A72B3">
                              <w:rPr>
                                <w:rFonts w:eastAsia="Times New Roman" w:cs="Segoe UI"/>
                                <w:kern w:val="0"/>
                                <w:sz w:val="20"/>
                                <w:szCs w:val="20"/>
                                <w14:ligatures w14:val="none"/>
                              </w:rPr>
                              <w:t>governed inference.</w:t>
                            </w:r>
                          </w:p>
                          <w:p w14:paraId="04C921DE" w14:textId="77777777" w:rsidR="00BF5DC4" w:rsidRPr="000A72B3" w:rsidRDefault="00BF5DC4" w:rsidP="00BF5DC4">
                            <w:pPr>
                              <w:spacing w:before="120" w:after="60" w:line="240" w:lineRule="auto"/>
                              <w:ind w:left="288" w:right="288"/>
                              <w:rPr>
                                <w:sz w:val="20"/>
                                <w:szCs w:val="20"/>
                              </w:rPr>
                            </w:pPr>
                            <w:r w:rsidRPr="00CF4C9C">
                              <w:rPr>
                                <w:rFonts w:eastAsia="Times New Roman" w:cs="Segoe UI"/>
                                <w:b/>
                                <w:bCs/>
                                <w:kern w:val="0"/>
                                <w:sz w:val="20"/>
                                <w:szCs w:val="20"/>
                                <w14:ligatures w14:val="none"/>
                              </w:rPr>
                              <w:t>Interpretation within the present framework</w:t>
                            </w:r>
                            <w:r w:rsidRPr="0087275A">
                              <w:rPr>
                                <w:rFonts w:eastAsia="Times New Roman" w:cs="Segoe UI"/>
                                <w:kern w:val="0"/>
                                <w:sz w:val="19"/>
                                <w:szCs w:val="19"/>
                                <w14:ligatures w14:val="none"/>
                              </w:rPr>
                              <w:t>.</w:t>
                            </w:r>
                            <w:r>
                              <w:rPr>
                                <w:rFonts w:eastAsia="Times New Roman" w:cs="Segoe UI"/>
                                <w:kern w:val="0"/>
                                <w:sz w:val="19"/>
                                <w:szCs w:val="19"/>
                                <w14:ligatures w14:val="none"/>
                              </w:rPr>
                              <w:t xml:space="preserve"> </w:t>
                            </w:r>
                            <w:r w:rsidRPr="000A72B3">
                              <w:rPr>
                                <w:rFonts w:eastAsia="Times New Roman" w:cs="Segoe UI"/>
                                <w:kern w:val="0"/>
                                <w:sz w:val="20"/>
                                <w:szCs w:val="20"/>
                                <w14:ligatures w14:val="none"/>
                              </w:rPr>
                              <w:t>SPORT is transitional: β is identifiable and clinically consequential when Δα is small, but the prospective A–R–M integration required for β</w:t>
                            </w:r>
                            <w:r w:rsidRPr="000A72B3">
                              <w:rPr>
                                <w:rFonts w:ascii="Cambria Math" w:eastAsia="Times New Roman" w:hAnsi="Cambria Math" w:cs="Cambria Math"/>
                                <w:kern w:val="0"/>
                                <w:sz w:val="20"/>
                                <w:szCs w:val="20"/>
                                <w14:ligatures w14:val="none"/>
                              </w:rPr>
                              <w:t>‑</w:t>
                            </w:r>
                            <w:r w:rsidRPr="000A72B3">
                              <w:rPr>
                                <w:rFonts w:eastAsia="Times New Roman" w:cs="Segoe UI"/>
                                <w:kern w:val="0"/>
                                <w:sz w:val="20"/>
                                <w:szCs w:val="20"/>
                                <w14:ligatures w14:val="none"/>
                              </w:rPr>
                              <w:t>identifying inference was absent. In Table</w:t>
                            </w:r>
                            <w:r w:rsidRPr="000A72B3">
                              <w:rPr>
                                <w:rFonts w:ascii="Arial" w:eastAsia="Times New Roman" w:hAnsi="Arial" w:cs="Arial"/>
                                <w:kern w:val="0"/>
                                <w:sz w:val="20"/>
                                <w:szCs w:val="20"/>
                                <w14:ligatures w14:val="none"/>
                              </w:rPr>
                              <w:t> </w:t>
                            </w:r>
                            <w:r w:rsidRPr="000A72B3">
                              <w:rPr>
                                <w:rFonts w:eastAsia="Times New Roman" w:cs="Segoe UI"/>
                                <w:kern w:val="0"/>
                                <w:sz w:val="20"/>
                                <w:szCs w:val="20"/>
                                <w14:ligatures w14:val="none"/>
                              </w:rPr>
                              <w:t xml:space="preserve">5b it falls in the </w:t>
                            </w:r>
                            <w:r w:rsidRPr="000A72B3">
                              <w:rPr>
                                <w:rFonts w:ascii="Aptos" w:eastAsia="Times New Roman" w:hAnsi="Aptos" w:cs="Aptos"/>
                                <w:kern w:val="0"/>
                                <w:sz w:val="20"/>
                                <w:szCs w:val="20"/>
                                <w14:ligatures w14:val="none"/>
                              </w:rPr>
                              <w:t>β</w:t>
                            </w:r>
                            <w:r w:rsidRPr="000A72B3">
                              <w:rPr>
                                <w:rFonts w:ascii="Cambria Math" w:eastAsia="Times New Roman" w:hAnsi="Cambria Math" w:cs="Cambria Math"/>
                                <w:kern w:val="0"/>
                                <w:sz w:val="20"/>
                                <w:szCs w:val="20"/>
                                <w14:ligatures w14:val="none"/>
                              </w:rPr>
                              <w:t>‑</w:t>
                            </w:r>
                            <w:r w:rsidRPr="000A72B3">
                              <w:rPr>
                                <w:rFonts w:eastAsia="Times New Roman" w:cs="Segoe UI"/>
                                <w:kern w:val="0"/>
                                <w:sz w:val="20"/>
                                <w:szCs w:val="20"/>
                                <w14:ligatures w14:val="none"/>
                              </w:rPr>
                              <w:t>quantifying column</w:t>
                            </w:r>
                            <w:r w:rsidRPr="000A72B3">
                              <w:rPr>
                                <w:rFonts w:ascii="Aptos" w:eastAsia="Times New Roman" w:hAnsi="Aptos" w:cs="Aptos"/>
                                <w:kern w:val="0"/>
                                <w:sz w:val="20"/>
                                <w:szCs w:val="20"/>
                                <w14:ligatures w14:val="none"/>
                              </w:rPr>
                              <w:t>—</w:t>
                            </w:r>
                            <w:r w:rsidRPr="000A72B3">
                              <w:rPr>
                                <w:rFonts w:eastAsia="Times New Roman" w:cs="Segoe UI"/>
                                <w:kern w:val="0"/>
                                <w:sz w:val="20"/>
                                <w:szCs w:val="20"/>
                                <w14:ligatures w14:val="none"/>
                              </w:rPr>
                              <w:t xml:space="preserve">decomposable, but read through </w:t>
                            </w:r>
                            <w:r w:rsidRPr="000A72B3">
                              <w:rPr>
                                <w:rFonts w:ascii="Aptos" w:eastAsia="Times New Roman" w:hAnsi="Aptos" w:cs="Aptos"/>
                                <w:kern w:val="0"/>
                                <w:sz w:val="20"/>
                                <w:szCs w:val="20"/>
                                <w14:ligatures w14:val="none"/>
                              </w:rPr>
                              <w:t>α</w:t>
                            </w:r>
                            <w:r w:rsidRPr="000A72B3">
                              <w:rPr>
                                <w:rFonts w:ascii="Cambria Math" w:eastAsia="Times New Roman" w:hAnsi="Cambria Math" w:cs="Cambria Math"/>
                                <w:kern w:val="0"/>
                                <w:sz w:val="20"/>
                                <w:szCs w:val="20"/>
                                <w14:ligatures w14:val="none"/>
                              </w:rPr>
                              <w:t>‑</w:t>
                            </w:r>
                            <w:r w:rsidRPr="000A72B3">
                              <w:rPr>
                                <w:rFonts w:eastAsia="Times New Roman" w:cs="Segoe UI"/>
                                <w:kern w:val="0"/>
                                <w:sz w:val="20"/>
                                <w:szCs w:val="20"/>
                                <w14:ligatures w14:val="none"/>
                              </w:rPr>
                              <w:t>centric, retrospective conventions.</w:t>
                            </w:r>
                          </w:p>
                        </w:txbxContent>
                      </wps:txbx>
                      <wps:bodyPr rot="0" vert="horz" wrap="square" lIns="91440" tIns="45720" rIns="91440" bIns="45720" anchor="t" anchorCtr="0">
                        <a:noAutofit/>
                      </wps:bodyPr>
                    </wps:wsp>
                  </a:graphicData>
                </a:graphic>
              </wp:inline>
            </w:drawing>
          </mc:Choice>
          <mc:Fallback>
            <w:pict>
              <v:shapetype w14:anchorId="2AEE0908" id="_x0000_t202" coordsize="21600,21600" o:spt="202" path="m,l,21600r21600,l21600,xe">
                <v:stroke joinstyle="miter"/>
                <v:path gradientshapeok="t" o:connecttype="rect"/>
              </v:shapetype>
              <v:shape id="Text Box 2" o:spid="_x0000_s1026" type="#_x0000_t202" style="width:465.8pt;height:561.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3a4FgIAACAEAAAOAAAAZHJzL2Uyb0RvYy54bWysk81u2zAMx+8D9g6C7otjN24bI07RJc0w&#10;oPsA2j2ALMuxMFnUJCV29vSl5DQN2u0yzAdBNKm/yB+pxc3QKbIX1knQJU0nU0qE5lBLvS3pj8fN&#10;h2tKnGe6Zgq0KOlBOHqzfP9u0ZtCZNCCqoUlKKJd0ZuStt6bIkkcb0XH3ASM0OhswHbMo2m3SW1Z&#10;j+qdSrLp9DLpwdbGAhfO4d/16KTLqN80gvtvTeOEJ6qkmJuPq41rFdZkuWDF1jLTSn5Mg/1DFh2T&#10;Gi89Sa2ZZ2Rn5RupTnILDho/4dAl0DSSi1gDVpNOX1Xz0DIjYi0Ix5kTJvf/ZPnX/YP5bokfPsKA&#10;DYxFOHMP/KcjGlYt01txay30rWA1XpwGZElvXHE8GlC7wgWRqv8CNTaZ7TxEoaGxXaCCdRJUxwYc&#10;TtDF4AnHn/k8zWeXOSUcfVfpRXaRxbYkrHg+bqzznwR0JGxKarGrUZ7t750P6bDiOSTc5kDJeiOV&#10;iobdVitlyZ7hBNzN1tkmixW8ClOa9CWd51k+EvirxDR+f5LopMdRVrIr6fUpiBWB252u46B5JtW4&#10;x5SVPoIM7EaKfqgGDAxAK6gPiNTCOLL4xHDTgv1NSY/jWlL3a8esoER91tiWeTqbhfmOxiy/QobE&#10;nnuqcw/THKVK6ikZtysf30QApuEW29fICPYlk2OuOIaR9/HJhDk/t2PUy8NePgEAAP//AwBQSwME&#10;FAAGAAgAAAAhALkmzc3dAAAABgEAAA8AAABkcnMvZG93bnJldi54bWxMj09LxDAQxe+C3yGM4GVx&#10;0z+waG26iKigsgere/CWNmNbTCalyXbrt3f0opcHw3u895tyuzgrZpzC4ElBuk5AILXeDNQpeHu9&#10;v7gEEaImo60nVPCFAbbV6UmpC+OP9IJzHTvBJRQKraCPcSykDG2PToe1H5HY+/CT05HPqZNm0kcu&#10;d1ZmSbKRTg/EC70e8bbH9rM+OAV39T487Jvd85yv3p8eCa3PV6lS52fLzTWIiEv8C8MPPqNDxUyN&#10;P5AJwirgR+KvsneVpxsQDYfSLM9AVqX8j199AwAA//8DAFBLAQItABQABgAIAAAAIQC2gziS/gAA&#10;AOEBAAATAAAAAAAAAAAAAAAAAAAAAABbQ29udGVudF9UeXBlc10ueG1sUEsBAi0AFAAGAAgAAAAh&#10;ADj9If/WAAAAlAEAAAsAAAAAAAAAAAAAAAAALwEAAF9yZWxzLy5yZWxzUEsBAi0AFAAGAAgAAAAh&#10;AOrHdrgWAgAAIAQAAA4AAAAAAAAAAAAAAAAALgIAAGRycy9lMm9Eb2MueG1sUEsBAi0AFAAGAAgA&#10;AAAhALkmzc3dAAAABgEAAA8AAAAAAAAAAAAAAAAAcAQAAGRycy9kb3ducmV2LnhtbFBLBQYAAAAA&#10;BAAEAPMAAAB6BQAAAAA=&#10;" fillcolor="#e4d2f2">
                <v:textbox>
                  <w:txbxContent>
                    <w:p w14:paraId="260F1D4F" w14:textId="77777777" w:rsidR="00BF5DC4" w:rsidRPr="000A72B3" w:rsidRDefault="00BF5DC4" w:rsidP="00BF5DC4">
                      <w:pPr>
                        <w:spacing w:before="360" w:after="60" w:line="240" w:lineRule="auto"/>
                        <w:ind w:left="288" w:right="288"/>
                        <w:rPr>
                          <w:rFonts w:eastAsia="Times New Roman" w:cs="Segoe UI"/>
                          <w:kern w:val="0"/>
                          <w:sz w:val="20"/>
                          <w:szCs w:val="20"/>
                          <w14:ligatures w14:val="none"/>
                        </w:rPr>
                      </w:pPr>
                      <w:r w:rsidRPr="00CF4C9C">
                        <w:rPr>
                          <w:rFonts w:eastAsia="Times New Roman" w:cs="Segoe UI"/>
                          <w:b/>
                          <w:bCs/>
                          <w:kern w:val="0"/>
                          <w:sz w:val="20"/>
                          <w:szCs w:val="20"/>
                          <w14:ligatures w14:val="none"/>
                        </w:rPr>
                        <w:t>Design and data structure</w:t>
                      </w:r>
                      <w:r w:rsidRPr="000A72B3">
                        <w:t xml:space="preserve"> </w:t>
                      </w:r>
                      <w:r w:rsidRPr="000A72B3">
                        <w:rPr>
                          <w:rFonts w:eastAsia="Times New Roman" w:cs="Segoe UI"/>
                          <w:kern w:val="0"/>
                          <w:sz w:val="20"/>
                          <w:szCs w:val="20"/>
                          <w14:ligatures w14:val="none"/>
                        </w:rPr>
                        <w:t>SPORT combined randomization, crossover, and observed treatment received on a common outcome scale. A direction</w:t>
                      </w:r>
                      <w:r w:rsidRPr="000A72B3">
                        <w:rPr>
                          <w:rFonts w:ascii="Cambria Math" w:eastAsia="Times New Roman" w:hAnsi="Cambria Math" w:cs="Cambria Math"/>
                          <w:kern w:val="0"/>
                          <w:sz w:val="20"/>
                          <w:szCs w:val="20"/>
                          <w14:ligatures w14:val="none"/>
                        </w:rPr>
                        <w:t>‑</w:t>
                      </w:r>
                      <w:r w:rsidRPr="000A72B3">
                        <w:rPr>
                          <w:rFonts w:eastAsia="Times New Roman" w:cs="Segoe UI"/>
                          <w:kern w:val="0"/>
                          <w:sz w:val="20"/>
                          <w:szCs w:val="20"/>
                          <w14:ligatures w14:val="none"/>
                        </w:rPr>
                        <w:t>consistent 0</w:t>
                      </w:r>
                      <w:r w:rsidRPr="000A72B3">
                        <w:rPr>
                          <w:rFonts w:ascii="Aptos" w:eastAsia="Times New Roman" w:hAnsi="Aptos" w:cs="Aptos"/>
                          <w:kern w:val="0"/>
                          <w:sz w:val="20"/>
                          <w:szCs w:val="20"/>
                          <w14:ligatures w14:val="none"/>
                        </w:rPr>
                        <w:t>–</w:t>
                      </w:r>
                      <w:r w:rsidRPr="000A72B3">
                        <w:rPr>
                          <w:rFonts w:eastAsia="Times New Roman" w:cs="Segoe UI"/>
                          <w:kern w:val="0"/>
                          <w:sz w:val="20"/>
                          <w:szCs w:val="20"/>
                          <w14:ligatures w14:val="none"/>
                        </w:rPr>
                        <w:t>100 composite (SF</w:t>
                      </w:r>
                      <w:r w:rsidRPr="000A72B3">
                        <w:rPr>
                          <w:rFonts w:ascii="Cambria Math" w:eastAsia="Times New Roman" w:hAnsi="Cambria Math" w:cs="Cambria Math"/>
                          <w:kern w:val="0"/>
                          <w:sz w:val="20"/>
                          <w:szCs w:val="20"/>
                          <w14:ligatures w14:val="none"/>
                        </w:rPr>
                        <w:t>‑</w:t>
                      </w:r>
                      <w:r w:rsidRPr="000A72B3">
                        <w:rPr>
                          <w:rFonts w:eastAsia="Times New Roman" w:cs="Segoe UI"/>
                          <w:kern w:val="0"/>
                          <w:sz w:val="20"/>
                          <w:szCs w:val="20"/>
                          <w14:ligatures w14:val="none"/>
                        </w:rPr>
                        <w:t xml:space="preserve">36 BP/PF + ODI) enabled </w:t>
                      </w:r>
                      <w:r w:rsidRPr="000A72B3">
                        <w:rPr>
                          <w:rFonts w:ascii="Aptos" w:eastAsia="Times New Roman" w:hAnsi="Aptos" w:cs="Aptos"/>
                          <w:kern w:val="0"/>
                          <w:sz w:val="20"/>
                          <w:szCs w:val="20"/>
                          <w14:ligatures w14:val="none"/>
                        </w:rPr>
                        <w:t>Δα–Δ</w:t>
                      </w:r>
                      <w:r w:rsidRPr="000A72B3">
                        <w:rPr>
                          <w:rFonts w:eastAsia="Times New Roman" w:cs="Segoe UI"/>
                          <w:kern w:val="0"/>
                          <w:sz w:val="20"/>
                          <w:szCs w:val="20"/>
                          <w14:ligatures w14:val="none"/>
                        </w:rPr>
                        <w:t xml:space="preserve">OBS comparison. Randomization identifies </w:t>
                      </w:r>
                      <w:r w:rsidRPr="000A72B3">
                        <w:rPr>
                          <w:rFonts w:ascii="Aptos" w:eastAsia="Times New Roman" w:hAnsi="Aptos" w:cs="Aptos"/>
                          <w:kern w:val="0"/>
                          <w:sz w:val="20"/>
                          <w:szCs w:val="20"/>
                          <w14:ligatures w14:val="none"/>
                        </w:rPr>
                        <w:t>α</w:t>
                      </w:r>
                      <w:r w:rsidRPr="000A72B3">
                        <w:rPr>
                          <w:rFonts w:eastAsia="Times New Roman" w:cs="Segoe UI"/>
                          <w:kern w:val="0"/>
                          <w:sz w:val="20"/>
                          <w:szCs w:val="20"/>
                          <w14:ligatures w14:val="none"/>
                        </w:rPr>
                        <w:t xml:space="preserve"> (M1) and uptake defines </w:t>
                      </w:r>
                      <w:r w:rsidRPr="000A72B3">
                        <w:rPr>
                          <w:rFonts w:ascii="Aptos" w:eastAsia="Times New Roman" w:hAnsi="Aptos" w:cs="Aptos"/>
                          <w:kern w:val="0"/>
                          <w:sz w:val="20"/>
                          <w:szCs w:val="20"/>
                          <w14:ligatures w14:val="none"/>
                        </w:rPr>
                        <w:t>Δ</w:t>
                      </w:r>
                      <w:r w:rsidRPr="000A72B3">
                        <w:rPr>
                          <w:rFonts w:eastAsia="Times New Roman" w:cs="Segoe UI"/>
                          <w:kern w:val="0"/>
                          <w:sz w:val="20"/>
                          <w:szCs w:val="20"/>
                          <w14:ligatures w14:val="none"/>
                        </w:rPr>
                        <w:t xml:space="preserve">OBS, making </w:t>
                      </w:r>
                      <w:r w:rsidRPr="000A72B3">
                        <w:rPr>
                          <w:rFonts w:ascii="Aptos" w:eastAsia="Times New Roman" w:hAnsi="Aptos" w:cs="Aptos"/>
                          <w:kern w:val="0"/>
                          <w:sz w:val="20"/>
                          <w:szCs w:val="20"/>
                          <w14:ligatures w14:val="none"/>
                        </w:rPr>
                        <w:t>β</w:t>
                      </w:r>
                      <w:r w:rsidRPr="000A72B3">
                        <w:rPr>
                          <w:rFonts w:eastAsia="Times New Roman" w:cs="Segoe UI"/>
                          <w:kern w:val="0"/>
                          <w:sz w:val="20"/>
                          <w:szCs w:val="20"/>
                          <w14:ligatures w14:val="none"/>
                        </w:rPr>
                        <w:t xml:space="preserve"> recoverable </w:t>
                      </w:r>
                      <w:r w:rsidRPr="000A72B3">
                        <w:rPr>
                          <w:rFonts w:eastAsia="Times New Roman" w:cs="Segoe UI"/>
                          <w:i/>
                          <w:iCs/>
                          <w:kern w:val="0"/>
                          <w:sz w:val="20"/>
                          <w:szCs w:val="20"/>
                          <w14:ligatures w14:val="none"/>
                        </w:rPr>
                        <w:t>post hoc</w:t>
                      </w:r>
                      <w:r w:rsidRPr="000A72B3">
                        <w:rPr>
                          <w:rFonts w:eastAsia="Times New Roman" w:cs="Segoe UI"/>
                          <w:kern w:val="0"/>
                          <w:sz w:val="20"/>
                          <w:szCs w:val="20"/>
                          <w14:ligatures w14:val="none"/>
                        </w:rPr>
                        <w:t>.</w:t>
                      </w:r>
                    </w:p>
                    <w:p w14:paraId="2CE43232" w14:textId="77777777" w:rsidR="00BF5DC4" w:rsidRPr="000A72B3" w:rsidRDefault="00BF5DC4" w:rsidP="00BF5DC4">
                      <w:pPr>
                        <w:spacing w:before="120" w:after="60" w:line="240" w:lineRule="auto"/>
                        <w:ind w:left="288" w:right="288"/>
                        <w:rPr>
                          <w:rFonts w:eastAsia="Times New Roman" w:cs="Segoe UI"/>
                          <w:kern w:val="0"/>
                          <w:sz w:val="20"/>
                          <w:szCs w:val="20"/>
                          <w14:ligatures w14:val="none"/>
                        </w:rPr>
                      </w:pPr>
                      <w:r w:rsidRPr="00CF4C9C">
                        <w:rPr>
                          <w:rFonts w:eastAsia="Times New Roman" w:cs="Segoe UI"/>
                          <w:b/>
                          <w:bCs/>
                          <w:kern w:val="0"/>
                          <w:sz w:val="20"/>
                          <w:szCs w:val="20"/>
                          <w14:ligatures w14:val="none"/>
                        </w:rPr>
                        <w:t>Observed results and decomposition</w:t>
                      </w:r>
                      <w:r w:rsidRPr="0087275A">
                        <w:rPr>
                          <w:rFonts w:eastAsia="Times New Roman" w:cs="Segoe UI"/>
                          <w:kern w:val="0"/>
                          <w:sz w:val="19"/>
                          <w:szCs w:val="19"/>
                          <w14:ligatures w14:val="none"/>
                        </w:rPr>
                        <w:t>.</w:t>
                      </w:r>
                      <w:r>
                        <w:rPr>
                          <w:rFonts w:eastAsia="Times New Roman" w:cs="Segoe UI"/>
                          <w:kern w:val="0"/>
                          <w:sz w:val="19"/>
                          <w:szCs w:val="19"/>
                          <w14:ligatures w14:val="none"/>
                        </w:rPr>
                        <w:t xml:space="preserve"> </w:t>
                      </w:r>
                      <w:r w:rsidRPr="000A72B3">
                        <w:rPr>
                          <w:rFonts w:eastAsia="Times New Roman" w:cs="Segoe UI"/>
                          <w:kern w:val="0"/>
                          <w:sz w:val="20"/>
                          <w:szCs w:val="20"/>
                          <w14:ligatures w14:val="none"/>
                        </w:rPr>
                        <w:t>The intention</w:t>
                      </w:r>
                      <w:r w:rsidRPr="000A72B3">
                        <w:rPr>
                          <w:rFonts w:ascii="Cambria Math" w:eastAsia="Times New Roman" w:hAnsi="Cambria Math" w:cs="Cambria Math"/>
                          <w:kern w:val="0"/>
                          <w:sz w:val="20"/>
                          <w:szCs w:val="20"/>
                          <w14:ligatures w14:val="none"/>
                        </w:rPr>
                        <w:t>‑</w:t>
                      </w:r>
                      <w:r w:rsidRPr="000A72B3">
                        <w:rPr>
                          <w:rFonts w:eastAsia="Times New Roman" w:cs="Segoe UI"/>
                          <w:kern w:val="0"/>
                          <w:sz w:val="20"/>
                          <w:szCs w:val="20"/>
                          <w14:ligatures w14:val="none"/>
                        </w:rPr>
                        <w:t>to</w:t>
                      </w:r>
                      <w:r w:rsidRPr="000A72B3">
                        <w:rPr>
                          <w:rFonts w:ascii="Cambria Math" w:eastAsia="Times New Roman" w:hAnsi="Cambria Math" w:cs="Cambria Math"/>
                          <w:kern w:val="0"/>
                          <w:sz w:val="20"/>
                          <w:szCs w:val="20"/>
                          <w14:ligatures w14:val="none"/>
                        </w:rPr>
                        <w:t>‑</w:t>
                      </w:r>
                      <w:r w:rsidRPr="000A72B3">
                        <w:rPr>
                          <w:rFonts w:eastAsia="Times New Roman" w:cs="Segoe UI"/>
                          <w:kern w:val="0"/>
                          <w:sz w:val="20"/>
                          <w:szCs w:val="20"/>
                          <w14:ligatures w14:val="none"/>
                        </w:rPr>
                        <w:t xml:space="preserve">treat (ITT) effect was small, reflecting attenuation from crossover, whereas observational contrasts were substantially larger. Secondary analyses decomposed this divergence as: </w:t>
                      </w:r>
                      <w:r w:rsidRPr="000A72B3">
                        <w:rPr>
                          <w:rFonts w:eastAsia="Times New Roman" w:cs="Segoe UI"/>
                          <w:b/>
                          <w:bCs/>
                          <w:kern w:val="0"/>
                          <w:sz w:val="20"/>
                          <w:szCs w:val="20"/>
                          <w14:ligatures w14:val="none"/>
                        </w:rPr>
                        <w:t>β = ΔOBS – Δα</w:t>
                      </w:r>
                      <w:r w:rsidRPr="000A72B3">
                        <w:rPr>
                          <w:rFonts w:eastAsia="Times New Roman" w:cs="Segoe UI"/>
                          <w:kern w:val="0"/>
                          <w:sz w:val="20"/>
                          <w:szCs w:val="20"/>
                          <w14:ligatures w14:val="none"/>
                        </w:rPr>
                        <w:t>,</w:t>
                      </w:r>
                      <w:r w:rsidRPr="000A72B3">
                        <w:rPr>
                          <w:rFonts w:eastAsia="Times New Roman" w:cs="Segoe UI"/>
                          <w:b/>
                          <w:bCs/>
                          <w:kern w:val="0"/>
                          <w:sz w:val="20"/>
                          <w:szCs w:val="20"/>
                          <w14:ligatures w14:val="none"/>
                        </w:rPr>
                        <w:t xml:space="preserve"> </w:t>
                      </w:r>
                      <w:r w:rsidRPr="000A72B3">
                        <w:rPr>
                          <w:rFonts w:eastAsia="Times New Roman" w:cs="Segoe UI"/>
                          <w:kern w:val="0"/>
                          <w:sz w:val="20"/>
                          <w:szCs w:val="20"/>
                          <w14:ligatures w14:val="none"/>
                        </w:rPr>
                        <w:t>yielding:</w:t>
                      </w:r>
                    </w:p>
                    <w:p w14:paraId="4966817A" w14:textId="77777777" w:rsidR="00BF5DC4" w:rsidRPr="000A72B3" w:rsidRDefault="00BF5DC4">
                      <w:pPr>
                        <w:pStyle w:val="ListParagraph"/>
                        <w:numPr>
                          <w:ilvl w:val="0"/>
                          <w:numId w:val="15"/>
                        </w:numPr>
                        <w:spacing w:beforeLines="60" w:before="144" w:afterLines="60" w:after="144" w:line="240" w:lineRule="auto"/>
                        <w:ind w:left="900" w:right="288" w:hanging="252"/>
                        <w:rPr>
                          <w:rFonts w:eastAsia="Times New Roman" w:cs="Segoe UI"/>
                          <w:kern w:val="0"/>
                          <w:sz w:val="20"/>
                          <w:szCs w:val="20"/>
                          <w14:ligatures w14:val="none"/>
                        </w:rPr>
                      </w:pPr>
                      <w:r w:rsidRPr="000A72B3">
                        <w:rPr>
                          <w:rFonts w:eastAsia="Times New Roman" w:cs="Segoe UI"/>
                          <w:kern w:val="0"/>
                          <w:sz w:val="20"/>
                          <w:szCs w:val="20"/>
                          <w14:ligatures w14:val="none"/>
                        </w:rPr>
                        <w:t>α</w:t>
                      </w:r>
                      <w:r w:rsidRPr="000A72B3">
                        <w:rPr>
                          <w:rFonts w:eastAsia="Times New Roman" w:cs="Segoe UI"/>
                          <w:kern w:val="0"/>
                          <w:sz w:val="20"/>
                          <w:szCs w:val="20"/>
                          <w:vertAlign w:val="subscript"/>
                          <w14:ligatures w14:val="none"/>
                        </w:rPr>
                        <w:t>Surgery</w:t>
                      </w:r>
                      <w:r w:rsidRPr="000A72B3">
                        <w:rPr>
                          <w:rFonts w:eastAsia="Times New Roman" w:cs="Segoe UI"/>
                          <w:kern w:val="0"/>
                          <w:sz w:val="20"/>
                          <w:szCs w:val="20"/>
                          <w14:ligatures w14:val="none"/>
                        </w:rPr>
                        <w:t xml:space="preserve"> ≈ 16–17 points; α</w:t>
                      </w:r>
                      <w:r>
                        <w:rPr>
                          <w:rFonts w:eastAsia="Times New Roman" w:cs="Segoe UI"/>
                          <w:kern w:val="0"/>
                          <w:sz w:val="20"/>
                          <w:szCs w:val="20"/>
                          <w:vertAlign w:val="subscript"/>
                          <w14:ligatures w14:val="none"/>
                        </w:rPr>
                        <w:t>nonoperative</w:t>
                      </w:r>
                      <w:r w:rsidRPr="000A72B3">
                        <w:rPr>
                          <w:rFonts w:eastAsia="Times New Roman" w:cs="Segoe UI"/>
                          <w:kern w:val="0"/>
                          <w:sz w:val="20"/>
                          <w:szCs w:val="20"/>
                          <w14:ligatures w14:val="none"/>
                        </w:rPr>
                        <w:t xml:space="preserve"> ≈ 15–16</w:t>
                      </w:r>
                    </w:p>
                    <w:p w14:paraId="7C8212F0" w14:textId="77777777" w:rsidR="00BF5DC4" w:rsidRPr="000A72B3" w:rsidRDefault="00BF5DC4">
                      <w:pPr>
                        <w:pStyle w:val="ListParagraph"/>
                        <w:numPr>
                          <w:ilvl w:val="0"/>
                          <w:numId w:val="15"/>
                        </w:numPr>
                        <w:spacing w:beforeLines="60" w:before="144" w:afterLines="60" w:after="144" w:line="240" w:lineRule="auto"/>
                        <w:ind w:left="900" w:right="288" w:hanging="252"/>
                        <w:rPr>
                          <w:rFonts w:eastAsia="Times New Roman" w:cs="Segoe UI"/>
                          <w:kern w:val="0"/>
                          <w:sz w:val="20"/>
                          <w:szCs w:val="20"/>
                          <w14:ligatures w14:val="none"/>
                        </w:rPr>
                      </w:pPr>
                      <w:r w:rsidRPr="000A72B3">
                        <w:rPr>
                          <w:rFonts w:eastAsia="Times New Roman" w:cs="Segoe UI"/>
                          <w:kern w:val="0"/>
                          <w:sz w:val="20"/>
                          <w:szCs w:val="20"/>
                          <w14:ligatures w14:val="none"/>
                        </w:rPr>
                        <w:t>Δα ≈ 0.65 points (near or below MCID)</w:t>
                      </w:r>
                    </w:p>
                    <w:p w14:paraId="251D776D" w14:textId="77777777" w:rsidR="00BF5DC4" w:rsidRPr="000A72B3" w:rsidRDefault="00BF5DC4">
                      <w:pPr>
                        <w:pStyle w:val="ListParagraph"/>
                        <w:numPr>
                          <w:ilvl w:val="0"/>
                          <w:numId w:val="15"/>
                        </w:numPr>
                        <w:spacing w:beforeLines="60" w:before="144" w:afterLines="60" w:after="144" w:line="240" w:lineRule="auto"/>
                        <w:ind w:left="900" w:right="288" w:hanging="252"/>
                        <w:rPr>
                          <w:rFonts w:eastAsia="Times New Roman" w:cs="Segoe UI"/>
                          <w:kern w:val="0"/>
                          <w:sz w:val="20"/>
                          <w:szCs w:val="20"/>
                          <w14:ligatures w14:val="none"/>
                        </w:rPr>
                      </w:pPr>
                      <w:r w:rsidRPr="000A72B3">
                        <w:rPr>
                          <w:rFonts w:eastAsia="Times New Roman" w:cs="Segoe UI"/>
                          <w:kern w:val="0"/>
                          <w:sz w:val="20"/>
                          <w:szCs w:val="20"/>
                          <w14:ligatures w14:val="none"/>
                        </w:rPr>
                        <w:t>β ≈ 6–8 points (clinically meaningful)</w:t>
                      </w:r>
                    </w:p>
                    <w:p w14:paraId="767B5C59" w14:textId="77777777" w:rsidR="00BF5DC4" w:rsidRPr="000A72B3" w:rsidRDefault="00BF5DC4" w:rsidP="00BF5DC4">
                      <w:pPr>
                        <w:spacing w:before="60" w:after="60" w:line="240" w:lineRule="auto"/>
                        <w:ind w:left="288" w:right="288"/>
                        <w:rPr>
                          <w:rFonts w:eastAsia="Times New Roman" w:cs="Segoe UI"/>
                          <w:kern w:val="0"/>
                          <w:sz w:val="20"/>
                          <w:szCs w:val="20"/>
                          <w14:ligatures w14:val="none"/>
                        </w:rPr>
                      </w:pPr>
                      <w:r w:rsidRPr="000A72B3">
                        <w:rPr>
                          <w:rFonts w:eastAsia="Times New Roman" w:cs="Segoe UI"/>
                          <w:kern w:val="0"/>
                          <w:sz w:val="20"/>
                          <w:szCs w:val="20"/>
                          <w14:ligatures w14:val="none"/>
                        </w:rPr>
                        <w:t>These results show that outcomes were jointly determined by biology and patient choice, with β dominating comparative outcomes under near biological equipoise.</w:t>
                      </w:r>
                    </w:p>
                    <w:p w14:paraId="7592B4AB" w14:textId="77777777" w:rsidR="00BF5DC4" w:rsidRPr="000A72B3" w:rsidRDefault="00BF5DC4" w:rsidP="00BF5DC4">
                      <w:pPr>
                        <w:spacing w:before="120" w:after="60" w:line="240" w:lineRule="auto"/>
                        <w:ind w:left="288" w:right="288"/>
                        <w:rPr>
                          <w:rFonts w:eastAsia="Times New Roman" w:cs="Segoe UI"/>
                          <w:kern w:val="0"/>
                          <w:sz w:val="20"/>
                          <w:szCs w:val="20"/>
                          <w14:ligatures w14:val="none"/>
                        </w:rPr>
                      </w:pPr>
                      <w:r w:rsidRPr="00CF4C9C">
                        <w:rPr>
                          <w:rFonts w:eastAsia="Times New Roman" w:cs="Segoe UI"/>
                          <w:b/>
                          <w:bCs/>
                          <w:kern w:val="0"/>
                          <w:sz w:val="20"/>
                          <w:szCs w:val="20"/>
                          <w14:ligatures w14:val="none"/>
                        </w:rPr>
                        <w:t>A–R–M mapping</w:t>
                      </w:r>
                      <w:r w:rsidRPr="0087275A">
                        <w:rPr>
                          <w:rFonts w:eastAsia="Times New Roman" w:cs="Segoe UI"/>
                          <w:kern w:val="0"/>
                          <w:sz w:val="19"/>
                          <w:szCs w:val="19"/>
                          <w14:ligatures w14:val="none"/>
                        </w:rPr>
                        <w:t>.</w:t>
                      </w:r>
                      <w:r>
                        <w:rPr>
                          <w:rFonts w:eastAsia="Times New Roman" w:cs="Segoe UI"/>
                          <w:kern w:val="0"/>
                          <w:sz w:val="19"/>
                          <w:szCs w:val="19"/>
                          <w14:ligatures w14:val="none"/>
                        </w:rPr>
                        <w:t xml:space="preserve"> </w:t>
                      </w:r>
                      <w:r w:rsidRPr="000A72B3">
                        <w:rPr>
                          <w:rFonts w:eastAsia="Times New Roman" w:cs="Segoe UI"/>
                          <w:kern w:val="0"/>
                          <w:sz w:val="20"/>
                          <w:szCs w:val="20"/>
                          <w14:ligatures w14:val="none"/>
                        </w:rPr>
                        <w:t>SPORT corresponds to the β</w:t>
                      </w:r>
                      <w:r w:rsidRPr="000A72B3">
                        <w:rPr>
                          <w:rFonts w:ascii="Cambria Math" w:eastAsia="Times New Roman" w:hAnsi="Cambria Math" w:cs="Cambria Math"/>
                          <w:kern w:val="0"/>
                          <w:sz w:val="20"/>
                          <w:szCs w:val="20"/>
                          <w14:ligatures w14:val="none"/>
                        </w:rPr>
                        <w:t>‑</w:t>
                      </w:r>
                      <w:r w:rsidRPr="000A72B3">
                        <w:rPr>
                          <w:rFonts w:eastAsia="Times New Roman" w:cs="Segoe UI"/>
                          <w:kern w:val="0"/>
                          <w:sz w:val="20"/>
                          <w:szCs w:val="20"/>
                          <w14:ligatures w14:val="none"/>
                        </w:rPr>
                        <w:t>quantifying column:</w:t>
                      </w:r>
                    </w:p>
                    <w:p w14:paraId="182A0B85" w14:textId="77777777" w:rsidR="00BF5DC4" w:rsidRPr="000A72B3" w:rsidRDefault="00BF5DC4">
                      <w:pPr>
                        <w:pStyle w:val="ListParagraph"/>
                        <w:numPr>
                          <w:ilvl w:val="0"/>
                          <w:numId w:val="16"/>
                        </w:numPr>
                        <w:spacing w:beforeLines="60" w:before="144" w:afterLines="60" w:after="144" w:line="240" w:lineRule="auto"/>
                        <w:ind w:left="900" w:right="288" w:hanging="252"/>
                        <w:rPr>
                          <w:rFonts w:eastAsia="Times New Roman" w:cs="Segoe UI"/>
                          <w:kern w:val="0"/>
                          <w:sz w:val="20"/>
                          <w:szCs w:val="20"/>
                          <w14:ligatures w14:val="none"/>
                        </w:rPr>
                      </w:pPr>
                      <w:r w:rsidRPr="000A72B3">
                        <w:rPr>
                          <w:rFonts w:eastAsia="Times New Roman" w:cs="Segoe UI"/>
                          <w:kern w:val="0"/>
                          <w:sz w:val="20"/>
                          <w:szCs w:val="20"/>
                          <w14:ligatures w14:val="none"/>
                        </w:rPr>
                        <w:t>Axioms (</w:t>
                      </w:r>
                      <w:r w:rsidRPr="000A72B3">
                        <w:rPr>
                          <w:rFonts w:eastAsia="Times New Roman" w:cs="Segoe UI"/>
                          <w:b/>
                          <w:bCs/>
                          <w:kern w:val="0"/>
                          <w:sz w:val="20"/>
                          <w:szCs w:val="20"/>
                          <w14:ligatures w14:val="none"/>
                        </w:rPr>
                        <w:t>A</w:t>
                      </w:r>
                      <w:r w:rsidRPr="000A72B3">
                        <w:rPr>
                          <w:rFonts w:eastAsia="Times New Roman" w:cs="Segoe UI"/>
                          <w:kern w:val="0"/>
                          <w:sz w:val="20"/>
                          <w:szCs w:val="20"/>
                          <w14:ligatures w14:val="none"/>
                        </w:rPr>
                        <w:t>): A1–A2 satisfied implicitly (dual causation present but not formalized)</w:t>
                      </w:r>
                    </w:p>
                    <w:p w14:paraId="2008A97C" w14:textId="77777777" w:rsidR="00BF5DC4" w:rsidRPr="000A72B3" w:rsidRDefault="00BF5DC4">
                      <w:pPr>
                        <w:pStyle w:val="ListParagraph"/>
                        <w:numPr>
                          <w:ilvl w:val="0"/>
                          <w:numId w:val="16"/>
                        </w:numPr>
                        <w:spacing w:beforeLines="60" w:before="144" w:afterLines="60" w:after="144" w:line="240" w:lineRule="auto"/>
                        <w:ind w:left="900" w:right="288" w:hanging="252"/>
                        <w:rPr>
                          <w:rFonts w:eastAsia="Times New Roman" w:cs="Segoe UI"/>
                          <w:kern w:val="0"/>
                          <w:sz w:val="20"/>
                          <w:szCs w:val="20"/>
                          <w14:ligatures w14:val="none"/>
                        </w:rPr>
                      </w:pPr>
                      <w:r w:rsidRPr="000A72B3">
                        <w:rPr>
                          <w:rFonts w:eastAsia="Times New Roman" w:cs="Segoe UI"/>
                          <w:kern w:val="0"/>
                          <w:sz w:val="20"/>
                          <w:szCs w:val="20"/>
                          <w14:ligatures w14:val="none"/>
                        </w:rPr>
                        <w:t>Rules (</w:t>
                      </w:r>
                      <w:r w:rsidRPr="000A72B3">
                        <w:rPr>
                          <w:rFonts w:eastAsia="Times New Roman" w:cs="Segoe UI"/>
                          <w:b/>
                          <w:bCs/>
                          <w:kern w:val="0"/>
                          <w:sz w:val="20"/>
                          <w:szCs w:val="20"/>
                          <w14:ligatures w14:val="none"/>
                        </w:rPr>
                        <w:t>R</w:t>
                      </w:r>
                      <w:r w:rsidRPr="000A72B3">
                        <w:rPr>
                          <w:rFonts w:eastAsia="Times New Roman" w:cs="Segoe UI"/>
                          <w:kern w:val="0"/>
                          <w:sz w:val="20"/>
                          <w:szCs w:val="20"/>
                          <w14:ligatures w14:val="none"/>
                        </w:rPr>
                        <w:t>): R1 applied retrospectively; R2–R5 not prespecified</w:t>
                      </w:r>
                    </w:p>
                    <w:p w14:paraId="075ACE6B" w14:textId="77777777" w:rsidR="00BF5DC4" w:rsidRPr="000A72B3" w:rsidRDefault="00BF5DC4">
                      <w:pPr>
                        <w:pStyle w:val="ListParagraph"/>
                        <w:numPr>
                          <w:ilvl w:val="0"/>
                          <w:numId w:val="16"/>
                        </w:numPr>
                        <w:spacing w:beforeLines="60" w:before="144" w:afterLines="60" w:after="144" w:line="240" w:lineRule="auto"/>
                        <w:ind w:left="900" w:right="288" w:hanging="252"/>
                        <w:rPr>
                          <w:rFonts w:eastAsia="Times New Roman" w:cs="Segoe UI"/>
                          <w:kern w:val="0"/>
                          <w:sz w:val="20"/>
                          <w:szCs w:val="20"/>
                          <w14:ligatures w14:val="none"/>
                        </w:rPr>
                      </w:pPr>
                      <w:r w:rsidRPr="000A72B3">
                        <w:rPr>
                          <w:rFonts w:eastAsia="Times New Roman" w:cs="Segoe UI"/>
                          <w:kern w:val="0"/>
                          <w:sz w:val="20"/>
                          <w:szCs w:val="20"/>
                          <w14:ligatures w14:val="none"/>
                        </w:rPr>
                        <w:t>Methods (</w:t>
                      </w:r>
                      <w:r w:rsidRPr="000A72B3">
                        <w:rPr>
                          <w:rFonts w:eastAsia="Times New Roman" w:cs="Segoe UI"/>
                          <w:b/>
                          <w:bCs/>
                          <w:kern w:val="0"/>
                          <w:sz w:val="20"/>
                          <w:szCs w:val="20"/>
                          <w14:ligatures w14:val="none"/>
                        </w:rPr>
                        <w:t>M</w:t>
                      </w:r>
                      <w:r w:rsidRPr="000A72B3">
                        <w:rPr>
                          <w:rFonts w:eastAsia="Times New Roman" w:cs="Segoe UI"/>
                          <w:kern w:val="0"/>
                          <w:sz w:val="20"/>
                          <w:szCs w:val="20"/>
                          <w14:ligatures w14:val="none"/>
                        </w:rPr>
                        <w:t>): M1 present; M2 implicit in secondary analyses; M3–M6 absent</w:t>
                      </w:r>
                    </w:p>
                    <w:p w14:paraId="41ADA694" w14:textId="77777777" w:rsidR="00BF5DC4" w:rsidRPr="000A72B3" w:rsidRDefault="00BF5DC4" w:rsidP="00BF5DC4">
                      <w:pPr>
                        <w:spacing w:before="60" w:after="60" w:line="240" w:lineRule="auto"/>
                        <w:ind w:left="288" w:right="288"/>
                        <w:rPr>
                          <w:rFonts w:eastAsia="Times New Roman" w:cs="Segoe UI"/>
                          <w:kern w:val="0"/>
                          <w:sz w:val="20"/>
                          <w:szCs w:val="20"/>
                          <w14:ligatures w14:val="none"/>
                        </w:rPr>
                      </w:pPr>
                      <w:r w:rsidRPr="000A72B3">
                        <w:rPr>
                          <w:rFonts w:eastAsia="Times New Roman" w:cs="Segoe UI"/>
                          <w:kern w:val="0"/>
                          <w:sz w:val="20"/>
                          <w:szCs w:val="20"/>
                          <w14:ligatures w14:val="none"/>
                        </w:rPr>
                        <w:t>Thus, β is recoverable, but not prospectively identified or interpreted.</w:t>
                      </w:r>
                    </w:p>
                    <w:p w14:paraId="3DDC4F16" w14:textId="77777777" w:rsidR="00BF5DC4" w:rsidRDefault="00BF5DC4" w:rsidP="00BF5DC4">
                      <w:pPr>
                        <w:spacing w:before="120" w:after="60" w:line="240" w:lineRule="auto"/>
                        <w:ind w:left="288" w:right="288"/>
                        <w:rPr>
                          <w:rFonts w:eastAsia="Times New Roman" w:cs="Segoe UI"/>
                          <w:kern w:val="0"/>
                          <w:sz w:val="19"/>
                          <w:szCs w:val="19"/>
                          <w14:ligatures w14:val="none"/>
                        </w:rPr>
                      </w:pPr>
                      <w:r w:rsidRPr="00CF4C9C">
                        <w:rPr>
                          <w:rFonts w:eastAsia="Times New Roman" w:cs="Segoe UI"/>
                          <w:b/>
                          <w:bCs/>
                          <w:kern w:val="0"/>
                          <w:sz w:val="20"/>
                          <w:szCs w:val="20"/>
                          <w14:ligatures w14:val="none"/>
                        </w:rPr>
                        <w:t>What was not prespecified</w:t>
                      </w:r>
                      <w:r w:rsidRPr="0087275A">
                        <w:rPr>
                          <w:rFonts w:eastAsia="Times New Roman" w:cs="Segoe UI"/>
                          <w:kern w:val="0"/>
                          <w:sz w:val="19"/>
                          <w:szCs w:val="19"/>
                          <w14:ligatures w14:val="none"/>
                        </w:rPr>
                        <w:t>.</w:t>
                      </w:r>
                      <w:r>
                        <w:rPr>
                          <w:rFonts w:eastAsia="Times New Roman" w:cs="Segoe UI"/>
                          <w:kern w:val="0"/>
                          <w:sz w:val="19"/>
                          <w:szCs w:val="19"/>
                          <w14:ligatures w14:val="none"/>
                        </w:rPr>
                        <w:t xml:space="preserve"> </w:t>
                      </w:r>
                      <w:r w:rsidRPr="000A72B3">
                        <w:rPr>
                          <w:rFonts w:eastAsia="Times New Roman" w:cs="Segoe UI"/>
                          <w:kern w:val="0"/>
                          <w:sz w:val="20"/>
                          <w:szCs w:val="20"/>
                          <w14:ligatures w14:val="none"/>
                        </w:rPr>
                        <w:t>SPORT did not define β as a primary estimand, did not prespecify regime-based interpretation (R1), and did not route design to preserve identification across regimes (R2). Trials were not powered for β (R3), and neutrality/non-interference constraints on preference measurement were not formalized (A6, R4). Identification diagnostics and joint (Δα, β) inference were not built into the design prospectively (M3–M6). A minimal prespecified core—β on a common scale (A2; M2), regime rules (R1–R2), and identification/measurement safeguards (M3; A6/R4)—captures most of the framework’s leverage; the remaining elements chiefly increase precision and prospective rigor (R3; M4–M6).</w:t>
                      </w:r>
                    </w:p>
                    <w:p w14:paraId="47D2D83B" w14:textId="77777777" w:rsidR="00BF5DC4" w:rsidRPr="000A72B3" w:rsidRDefault="00BF5DC4" w:rsidP="00BF5DC4">
                      <w:pPr>
                        <w:spacing w:before="120" w:after="60" w:line="240" w:lineRule="auto"/>
                        <w:ind w:left="288" w:right="288"/>
                        <w:rPr>
                          <w:rFonts w:eastAsia="Times New Roman" w:cs="Segoe UI"/>
                          <w:kern w:val="0"/>
                          <w:sz w:val="20"/>
                          <w:szCs w:val="20"/>
                          <w14:ligatures w14:val="none"/>
                        </w:rPr>
                      </w:pPr>
                      <w:r w:rsidRPr="00CF4C9C">
                        <w:rPr>
                          <w:rFonts w:eastAsia="Times New Roman" w:cs="Segoe UI"/>
                          <w:b/>
                          <w:bCs/>
                          <w:kern w:val="0"/>
                          <w:sz w:val="20"/>
                          <w:szCs w:val="20"/>
                          <w14:ligatures w14:val="none"/>
                        </w:rPr>
                        <w:t xml:space="preserve">How a </w:t>
                      </w:r>
                      <w:r>
                        <w:rPr>
                          <w:rFonts w:eastAsia="Times New Roman" w:cs="Segoe UI"/>
                          <w:b/>
                          <w:bCs/>
                          <w:kern w:val="0"/>
                          <w:sz w:val="20"/>
                          <w:szCs w:val="20"/>
                          <w14:ligatures w14:val="none"/>
                        </w:rPr>
                        <w:t xml:space="preserve">full </w:t>
                      </w:r>
                      <w:r w:rsidRPr="00CF4C9C">
                        <w:rPr>
                          <w:rFonts w:eastAsia="Times New Roman" w:cs="Segoe UI"/>
                          <w:b/>
                          <w:bCs/>
                          <w:kern w:val="0"/>
                          <w:sz w:val="20"/>
                          <w:szCs w:val="20"/>
                          <w14:ligatures w14:val="none"/>
                        </w:rPr>
                        <w:t>β</w:t>
                      </w:r>
                      <w:r w:rsidRPr="00CF4C9C">
                        <w:rPr>
                          <w:rFonts w:ascii="Cambria Math" w:eastAsia="Times New Roman" w:hAnsi="Cambria Math" w:cs="Cambria Math"/>
                          <w:b/>
                          <w:bCs/>
                          <w:kern w:val="0"/>
                          <w:sz w:val="20"/>
                          <w:szCs w:val="20"/>
                          <w14:ligatures w14:val="none"/>
                        </w:rPr>
                        <w:t>‑</w:t>
                      </w:r>
                      <w:r w:rsidRPr="00CF4C9C">
                        <w:rPr>
                          <w:rFonts w:eastAsia="Times New Roman" w:cs="Segoe UI"/>
                          <w:b/>
                          <w:bCs/>
                          <w:kern w:val="0"/>
                          <w:sz w:val="20"/>
                          <w:szCs w:val="20"/>
                          <w14:ligatures w14:val="none"/>
                        </w:rPr>
                        <w:t>identifying trial would differ</w:t>
                      </w:r>
                      <w:r w:rsidRPr="00CF4C9C">
                        <w:rPr>
                          <w:rFonts w:eastAsia="Times New Roman" w:cs="Segoe UI"/>
                          <w:kern w:val="0"/>
                          <w:sz w:val="19"/>
                          <w:szCs w:val="19"/>
                          <w14:ligatures w14:val="none"/>
                        </w:rPr>
                        <w:t>.</w:t>
                      </w:r>
                      <w:r>
                        <w:rPr>
                          <w:rFonts w:eastAsia="Times New Roman" w:cs="Segoe UI"/>
                          <w:kern w:val="0"/>
                          <w:sz w:val="19"/>
                          <w:szCs w:val="19"/>
                          <w14:ligatures w14:val="none"/>
                        </w:rPr>
                        <w:t xml:space="preserve"> </w:t>
                      </w:r>
                      <w:r w:rsidRPr="000A72B3">
                        <w:rPr>
                          <w:rFonts w:eastAsia="Times New Roman" w:cs="Segoe UI"/>
                          <w:kern w:val="0"/>
                          <w:sz w:val="20"/>
                          <w:szCs w:val="20"/>
                          <w14:ligatures w14:val="none"/>
                        </w:rPr>
                        <w:t>A β</w:t>
                      </w:r>
                      <w:r w:rsidRPr="000A72B3">
                        <w:rPr>
                          <w:rFonts w:ascii="Cambria Math" w:eastAsia="Times New Roman" w:hAnsi="Cambria Math" w:cs="Cambria Math"/>
                          <w:kern w:val="0"/>
                          <w:sz w:val="20"/>
                          <w:szCs w:val="20"/>
                          <w14:ligatures w14:val="none"/>
                        </w:rPr>
                        <w:t>‑</w:t>
                      </w:r>
                      <w:r w:rsidRPr="000A72B3">
                        <w:rPr>
                          <w:rFonts w:eastAsia="Times New Roman" w:cs="Segoe UI"/>
                          <w:kern w:val="0"/>
                          <w:sz w:val="20"/>
                          <w:szCs w:val="20"/>
                          <w14:ligatures w14:val="none"/>
                        </w:rPr>
                        <w:t xml:space="preserve">identifying trial under </w:t>
                      </w:r>
                      <w:r>
                        <w:rPr>
                          <w:rFonts w:eastAsia="Times New Roman" w:cs="Segoe UI"/>
                          <w:kern w:val="0"/>
                          <w:sz w:val="20"/>
                          <w:szCs w:val="20"/>
                          <w14:ligatures w14:val="none"/>
                        </w:rPr>
                        <w:t>the</w:t>
                      </w:r>
                      <w:r w:rsidRPr="000A72B3">
                        <w:rPr>
                          <w:rFonts w:eastAsia="Times New Roman" w:cs="Segoe UI"/>
                          <w:kern w:val="0"/>
                          <w:sz w:val="20"/>
                          <w:szCs w:val="20"/>
                          <w14:ligatures w14:val="none"/>
                        </w:rPr>
                        <w:t xml:space="preserve"> </w:t>
                      </w:r>
                      <w:r>
                        <w:rPr>
                          <w:rFonts w:eastAsia="Times New Roman" w:cs="Segoe UI"/>
                          <w:kern w:val="0"/>
                          <w:sz w:val="20"/>
                          <w:szCs w:val="20"/>
                          <w14:ligatures w14:val="none"/>
                        </w:rPr>
                        <w:t xml:space="preserve">full </w:t>
                      </w:r>
                      <w:r w:rsidRPr="000A72B3">
                        <w:rPr>
                          <w:rFonts w:eastAsia="Times New Roman" w:cs="Segoe UI"/>
                          <w:kern w:val="0"/>
                          <w:sz w:val="20"/>
                          <w:szCs w:val="20"/>
                          <w14:ligatures w14:val="none"/>
                        </w:rPr>
                        <w:t xml:space="preserve">framework </w:t>
                      </w:r>
                      <w:r>
                        <w:rPr>
                          <w:rFonts w:eastAsia="Times New Roman" w:cs="Segoe UI"/>
                          <w:kern w:val="0"/>
                          <w:sz w:val="20"/>
                          <w:szCs w:val="20"/>
                          <w14:ligatures w14:val="none"/>
                        </w:rPr>
                        <w:t xml:space="preserve">developed in this paper </w:t>
                      </w:r>
                      <w:r w:rsidRPr="000A72B3">
                        <w:rPr>
                          <w:rFonts w:eastAsia="Times New Roman" w:cs="Segoe UI"/>
                          <w:kern w:val="0"/>
                          <w:sz w:val="20"/>
                          <w:szCs w:val="20"/>
                          <w14:ligatures w14:val="none"/>
                        </w:rPr>
                        <w:t>would:</w:t>
                      </w:r>
                    </w:p>
                    <w:p w14:paraId="7EBE3615" w14:textId="77777777" w:rsidR="00BF5DC4" w:rsidRPr="000A72B3" w:rsidRDefault="00BF5DC4">
                      <w:pPr>
                        <w:pStyle w:val="ListParagraph"/>
                        <w:numPr>
                          <w:ilvl w:val="0"/>
                          <w:numId w:val="17"/>
                        </w:numPr>
                        <w:spacing w:beforeLines="60" w:before="144" w:afterLines="60" w:after="144" w:line="240" w:lineRule="auto"/>
                        <w:ind w:left="900" w:right="288" w:hanging="252"/>
                        <w:rPr>
                          <w:rFonts w:eastAsia="Times New Roman" w:cs="Segoe UI"/>
                          <w:kern w:val="0"/>
                          <w:sz w:val="20"/>
                          <w:szCs w:val="20"/>
                          <w14:ligatures w14:val="none"/>
                        </w:rPr>
                      </w:pPr>
                      <w:r w:rsidRPr="000A72B3">
                        <w:rPr>
                          <w:rFonts w:eastAsia="Times New Roman" w:cs="Segoe UI"/>
                          <w:kern w:val="0"/>
                          <w:sz w:val="20"/>
                          <w:szCs w:val="20"/>
                          <w14:ligatures w14:val="none"/>
                        </w:rPr>
                        <w:t>prespecify co</w:t>
                      </w:r>
                      <w:r w:rsidRPr="000A72B3">
                        <w:rPr>
                          <w:rFonts w:ascii="Cambria Math" w:eastAsia="Times New Roman" w:hAnsi="Cambria Math" w:cs="Cambria Math"/>
                          <w:kern w:val="0"/>
                          <w:sz w:val="20"/>
                          <w:szCs w:val="20"/>
                          <w14:ligatures w14:val="none"/>
                        </w:rPr>
                        <w:t>‑</w:t>
                      </w:r>
                      <w:r w:rsidRPr="000A72B3">
                        <w:rPr>
                          <w:rFonts w:eastAsia="Times New Roman" w:cs="Segoe UI"/>
                          <w:kern w:val="0"/>
                          <w:sz w:val="20"/>
                          <w:szCs w:val="20"/>
                          <w14:ligatures w14:val="none"/>
                        </w:rPr>
                        <w:t>estimands (</w:t>
                      </w:r>
                      <w:r w:rsidRPr="000A72B3">
                        <w:rPr>
                          <w:rFonts w:ascii="Aptos" w:eastAsia="Times New Roman" w:hAnsi="Aptos" w:cs="Aptos"/>
                          <w:kern w:val="0"/>
                          <w:sz w:val="20"/>
                          <w:szCs w:val="20"/>
                          <w14:ligatures w14:val="none"/>
                        </w:rPr>
                        <w:t>α</w:t>
                      </w:r>
                      <w:r w:rsidRPr="000A72B3">
                        <w:rPr>
                          <w:rFonts w:eastAsia="Times New Roman" w:cs="Segoe UI"/>
                          <w:kern w:val="0"/>
                          <w:sz w:val="20"/>
                          <w:szCs w:val="20"/>
                          <w14:ligatures w14:val="none"/>
                        </w:rPr>
                        <w:t xml:space="preserve">, </w:t>
                      </w:r>
                      <w:r w:rsidRPr="000A72B3">
                        <w:rPr>
                          <w:rFonts w:ascii="Aptos" w:eastAsia="Times New Roman" w:hAnsi="Aptos" w:cs="Aptos"/>
                          <w:kern w:val="0"/>
                          <w:sz w:val="20"/>
                          <w:szCs w:val="20"/>
                          <w14:ligatures w14:val="none"/>
                        </w:rPr>
                        <w:t>Δα</w:t>
                      </w:r>
                      <w:r w:rsidRPr="000A72B3">
                        <w:rPr>
                          <w:rFonts w:eastAsia="Times New Roman" w:cs="Segoe UI"/>
                          <w:kern w:val="0"/>
                          <w:sz w:val="20"/>
                          <w:szCs w:val="20"/>
                          <w14:ligatures w14:val="none"/>
                        </w:rPr>
                        <w:t xml:space="preserve">, </w:t>
                      </w:r>
                      <w:r w:rsidRPr="000A72B3">
                        <w:rPr>
                          <w:rFonts w:ascii="Aptos" w:eastAsia="Times New Roman" w:hAnsi="Aptos" w:cs="Aptos"/>
                          <w:kern w:val="0"/>
                          <w:sz w:val="20"/>
                          <w:szCs w:val="20"/>
                          <w14:ligatures w14:val="none"/>
                        </w:rPr>
                        <w:t>β</w:t>
                      </w:r>
                      <w:r w:rsidRPr="000A72B3">
                        <w:rPr>
                          <w:rFonts w:eastAsia="Times New Roman" w:cs="Segoe UI"/>
                          <w:kern w:val="0"/>
                          <w:sz w:val="20"/>
                          <w:szCs w:val="20"/>
                          <w14:ligatures w14:val="none"/>
                        </w:rPr>
                        <w:t>) on a common scale (A2; M1</w:t>
                      </w:r>
                      <w:r w:rsidRPr="000A72B3">
                        <w:rPr>
                          <w:rFonts w:ascii="Aptos" w:eastAsia="Times New Roman" w:hAnsi="Aptos" w:cs="Aptos"/>
                          <w:kern w:val="0"/>
                          <w:sz w:val="20"/>
                          <w:szCs w:val="20"/>
                          <w14:ligatures w14:val="none"/>
                        </w:rPr>
                        <w:t>–</w:t>
                      </w:r>
                      <w:r w:rsidRPr="000A72B3">
                        <w:rPr>
                          <w:rFonts w:eastAsia="Times New Roman" w:cs="Segoe UI"/>
                          <w:kern w:val="0"/>
                          <w:sz w:val="20"/>
                          <w:szCs w:val="20"/>
                          <w14:ligatures w14:val="none"/>
                        </w:rPr>
                        <w:t>M2);</w:t>
                      </w:r>
                    </w:p>
                    <w:p w14:paraId="622DBDFC" w14:textId="77777777" w:rsidR="00BF5DC4" w:rsidRPr="000A72B3" w:rsidRDefault="00BF5DC4">
                      <w:pPr>
                        <w:pStyle w:val="ListParagraph"/>
                        <w:numPr>
                          <w:ilvl w:val="0"/>
                          <w:numId w:val="17"/>
                        </w:numPr>
                        <w:spacing w:beforeLines="60" w:before="144" w:afterLines="60" w:after="144" w:line="240" w:lineRule="auto"/>
                        <w:ind w:left="900" w:right="288" w:hanging="252"/>
                        <w:rPr>
                          <w:rFonts w:eastAsia="Times New Roman" w:cs="Segoe UI"/>
                          <w:kern w:val="0"/>
                          <w:sz w:val="20"/>
                          <w:szCs w:val="20"/>
                          <w14:ligatures w14:val="none"/>
                        </w:rPr>
                      </w:pPr>
                      <w:r w:rsidRPr="000A72B3">
                        <w:rPr>
                          <w:rFonts w:eastAsia="Times New Roman" w:cs="Segoe UI"/>
                          <w:kern w:val="0"/>
                          <w:sz w:val="20"/>
                          <w:szCs w:val="20"/>
                          <w14:ligatures w14:val="none"/>
                        </w:rPr>
                        <w:t>route design to preserve identifiability across regimes (R2);</w:t>
                      </w:r>
                    </w:p>
                    <w:p w14:paraId="0FDE5E37" w14:textId="77777777" w:rsidR="00BF5DC4" w:rsidRPr="000A72B3" w:rsidRDefault="00BF5DC4">
                      <w:pPr>
                        <w:pStyle w:val="ListParagraph"/>
                        <w:numPr>
                          <w:ilvl w:val="0"/>
                          <w:numId w:val="17"/>
                        </w:numPr>
                        <w:spacing w:beforeLines="60" w:before="144" w:afterLines="60" w:after="144" w:line="240" w:lineRule="auto"/>
                        <w:ind w:left="900" w:right="288" w:hanging="252"/>
                        <w:rPr>
                          <w:rFonts w:eastAsia="Times New Roman" w:cs="Segoe UI"/>
                          <w:kern w:val="0"/>
                          <w:sz w:val="20"/>
                          <w:szCs w:val="20"/>
                          <w14:ligatures w14:val="none"/>
                        </w:rPr>
                      </w:pPr>
                      <w:r w:rsidRPr="000A72B3">
                        <w:rPr>
                          <w:rFonts w:eastAsia="Times New Roman" w:cs="Segoe UI"/>
                          <w:kern w:val="0"/>
                          <w:sz w:val="20"/>
                          <w:szCs w:val="20"/>
                          <w14:ligatures w14:val="none"/>
                        </w:rPr>
                        <w:t>power jointly for α and β and monitor instrument strength (R3; M6);</w:t>
                      </w:r>
                    </w:p>
                    <w:p w14:paraId="60D12C82" w14:textId="77777777" w:rsidR="00BF5DC4" w:rsidRPr="000A72B3" w:rsidRDefault="00BF5DC4">
                      <w:pPr>
                        <w:pStyle w:val="ListParagraph"/>
                        <w:numPr>
                          <w:ilvl w:val="0"/>
                          <w:numId w:val="17"/>
                        </w:numPr>
                        <w:spacing w:beforeLines="60" w:before="144" w:afterLines="60" w:after="144" w:line="240" w:lineRule="auto"/>
                        <w:ind w:left="900" w:right="288" w:hanging="252"/>
                        <w:rPr>
                          <w:rFonts w:eastAsia="Times New Roman" w:cs="Segoe UI"/>
                          <w:kern w:val="0"/>
                          <w:sz w:val="20"/>
                          <w:szCs w:val="20"/>
                          <w14:ligatures w14:val="none"/>
                        </w:rPr>
                      </w:pPr>
                      <w:r w:rsidRPr="000A72B3">
                        <w:rPr>
                          <w:rFonts w:eastAsia="Times New Roman" w:cs="Segoe UI"/>
                          <w:kern w:val="0"/>
                          <w:sz w:val="20"/>
                          <w:szCs w:val="20"/>
                          <w14:ligatures w14:val="none"/>
                        </w:rPr>
                        <w:t>enforce neutral, symmetric preference measurement (A6; R4; M5);</w:t>
                      </w:r>
                    </w:p>
                    <w:p w14:paraId="53A570D6" w14:textId="77777777" w:rsidR="00BF5DC4" w:rsidRPr="000A72B3" w:rsidRDefault="00BF5DC4">
                      <w:pPr>
                        <w:pStyle w:val="ListParagraph"/>
                        <w:numPr>
                          <w:ilvl w:val="0"/>
                          <w:numId w:val="17"/>
                        </w:numPr>
                        <w:spacing w:beforeLines="60" w:before="144" w:afterLines="60" w:after="144" w:line="240" w:lineRule="auto"/>
                        <w:ind w:left="900" w:right="288" w:hanging="252"/>
                        <w:rPr>
                          <w:rFonts w:eastAsia="Times New Roman" w:cs="Segoe UI"/>
                          <w:kern w:val="0"/>
                          <w:sz w:val="20"/>
                          <w:szCs w:val="20"/>
                          <w14:ligatures w14:val="none"/>
                        </w:rPr>
                      </w:pPr>
                      <w:r w:rsidRPr="000A72B3">
                        <w:rPr>
                          <w:rFonts w:eastAsia="Times New Roman" w:cs="Segoe UI"/>
                          <w:kern w:val="0"/>
                          <w:sz w:val="20"/>
                          <w:szCs w:val="20"/>
                          <w14:ligatures w14:val="none"/>
                        </w:rPr>
                        <w:t>apply identification diagnostics and regime classification prospectively (M3; R1).</w:t>
                      </w:r>
                    </w:p>
                    <w:p w14:paraId="0CE69404" w14:textId="77777777" w:rsidR="00BF5DC4" w:rsidRPr="000A72B3" w:rsidRDefault="00BF5DC4" w:rsidP="00BF5DC4">
                      <w:pPr>
                        <w:spacing w:before="60" w:after="60" w:line="240" w:lineRule="auto"/>
                        <w:ind w:left="288" w:right="288"/>
                        <w:rPr>
                          <w:rFonts w:eastAsia="Times New Roman" w:cs="Segoe UI"/>
                          <w:kern w:val="0"/>
                          <w:sz w:val="20"/>
                          <w:szCs w:val="20"/>
                          <w14:ligatures w14:val="none"/>
                        </w:rPr>
                      </w:pPr>
                      <w:r w:rsidRPr="000A72B3">
                        <w:rPr>
                          <w:rFonts w:eastAsia="Times New Roman" w:cs="Segoe UI"/>
                          <w:kern w:val="0"/>
                          <w:sz w:val="20"/>
                          <w:szCs w:val="20"/>
                          <w14:ligatures w14:val="none"/>
                        </w:rPr>
                        <w:t xml:space="preserve">These elements transform </w:t>
                      </w:r>
                      <w:r w:rsidRPr="000A72B3">
                        <w:rPr>
                          <w:rFonts w:eastAsia="Times New Roman" w:cs="Segoe UI"/>
                          <w:i/>
                          <w:iCs/>
                          <w:kern w:val="0"/>
                          <w:sz w:val="20"/>
                          <w:szCs w:val="20"/>
                          <w14:ligatures w14:val="none"/>
                        </w:rPr>
                        <w:t>post hoc</w:t>
                      </w:r>
                      <w:r w:rsidRPr="000A72B3">
                        <w:rPr>
                          <w:rFonts w:eastAsia="Times New Roman" w:cs="Segoe UI"/>
                          <w:kern w:val="0"/>
                          <w:sz w:val="20"/>
                          <w:szCs w:val="20"/>
                          <w14:ligatures w14:val="none"/>
                        </w:rPr>
                        <w:t xml:space="preserve"> decomposition into prospective, rule</w:t>
                      </w:r>
                      <w:r w:rsidRPr="000A72B3">
                        <w:rPr>
                          <w:rFonts w:ascii="Cambria Math" w:eastAsia="Times New Roman" w:hAnsi="Cambria Math" w:cs="Cambria Math"/>
                          <w:kern w:val="0"/>
                          <w:sz w:val="20"/>
                          <w:szCs w:val="20"/>
                          <w14:ligatures w14:val="none"/>
                        </w:rPr>
                        <w:t>‑</w:t>
                      </w:r>
                      <w:r w:rsidRPr="000A72B3">
                        <w:rPr>
                          <w:rFonts w:eastAsia="Times New Roman" w:cs="Segoe UI"/>
                          <w:kern w:val="0"/>
                          <w:sz w:val="20"/>
                          <w:szCs w:val="20"/>
                          <w14:ligatures w14:val="none"/>
                        </w:rPr>
                        <w:t>governed inference.</w:t>
                      </w:r>
                    </w:p>
                    <w:p w14:paraId="04C921DE" w14:textId="77777777" w:rsidR="00BF5DC4" w:rsidRPr="000A72B3" w:rsidRDefault="00BF5DC4" w:rsidP="00BF5DC4">
                      <w:pPr>
                        <w:spacing w:before="120" w:after="60" w:line="240" w:lineRule="auto"/>
                        <w:ind w:left="288" w:right="288"/>
                        <w:rPr>
                          <w:sz w:val="20"/>
                          <w:szCs w:val="20"/>
                        </w:rPr>
                      </w:pPr>
                      <w:r w:rsidRPr="00CF4C9C">
                        <w:rPr>
                          <w:rFonts w:eastAsia="Times New Roman" w:cs="Segoe UI"/>
                          <w:b/>
                          <w:bCs/>
                          <w:kern w:val="0"/>
                          <w:sz w:val="20"/>
                          <w:szCs w:val="20"/>
                          <w14:ligatures w14:val="none"/>
                        </w:rPr>
                        <w:t>Interpretation within the present framework</w:t>
                      </w:r>
                      <w:r w:rsidRPr="0087275A">
                        <w:rPr>
                          <w:rFonts w:eastAsia="Times New Roman" w:cs="Segoe UI"/>
                          <w:kern w:val="0"/>
                          <w:sz w:val="19"/>
                          <w:szCs w:val="19"/>
                          <w14:ligatures w14:val="none"/>
                        </w:rPr>
                        <w:t>.</w:t>
                      </w:r>
                      <w:r>
                        <w:rPr>
                          <w:rFonts w:eastAsia="Times New Roman" w:cs="Segoe UI"/>
                          <w:kern w:val="0"/>
                          <w:sz w:val="19"/>
                          <w:szCs w:val="19"/>
                          <w14:ligatures w14:val="none"/>
                        </w:rPr>
                        <w:t xml:space="preserve"> </w:t>
                      </w:r>
                      <w:r w:rsidRPr="000A72B3">
                        <w:rPr>
                          <w:rFonts w:eastAsia="Times New Roman" w:cs="Segoe UI"/>
                          <w:kern w:val="0"/>
                          <w:sz w:val="20"/>
                          <w:szCs w:val="20"/>
                          <w14:ligatures w14:val="none"/>
                        </w:rPr>
                        <w:t>SPORT is transitional: β is identifiable and clinically consequential when Δα is small, but the prospective A–R–M integration required for β</w:t>
                      </w:r>
                      <w:r w:rsidRPr="000A72B3">
                        <w:rPr>
                          <w:rFonts w:ascii="Cambria Math" w:eastAsia="Times New Roman" w:hAnsi="Cambria Math" w:cs="Cambria Math"/>
                          <w:kern w:val="0"/>
                          <w:sz w:val="20"/>
                          <w:szCs w:val="20"/>
                          <w14:ligatures w14:val="none"/>
                        </w:rPr>
                        <w:t>‑</w:t>
                      </w:r>
                      <w:r w:rsidRPr="000A72B3">
                        <w:rPr>
                          <w:rFonts w:eastAsia="Times New Roman" w:cs="Segoe UI"/>
                          <w:kern w:val="0"/>
                          <w:sz w:val="20"/>
                          <w:szCs w:val="20"/>
                          <w14:ligatures w14:val="none"/>
                        </w:rPr>
                        <w:t>identifying inference was absent. In Table</w:t>
                      </w:r>
                      <w:r w:rsidRPr="000A72B3">
                        <w:rPr>
                          <w:rFonts w:ascii="Arial" w:eastAsia="Times New Roman" w:hAnsi="Arial" w:cs="Arial"/>
                          <w:kern w:val="0"/>
                          <w:sz w:val="20"/>
                          <w:szCs w:val="20"/>
                          <w14:ligatures w14:val="none"/>
                        </w:rPr>
                        <w:t> </w:t>
                      </w:r>
                      <w:r w:rsidRPr="000A72B3">
                        <w:rPr>
                          <w:rFonts w:eastAsia="Times New Roman" w:cs="Segoe UI"/>
                          <w:kern w:val="0"/>
                          <w:sz w:val="20"/>
                          <w:szCs w:val="20"/>
                          <w14:ligatures w14:val="none"/>
                        </w:rPr>
                        <w:t xml:space="preserve">5b it falls in the </w:t>
                      </w:r>
                      <w:r w:rsidRPr="000A72B3">
                        <w:rPr>
                          <w:rFonts w:ascii="Aptos" w:eastAsia="Times New Roman" w:hAnsi="Aptos" w:cs="Aptos"/>
                          <w:kern w:val="0"/>
                          <w:sz w:val="20"/>
                          <w:szCs w:val="20"/>
                          <w14:ligatures w14:val="none"/>
                        </w:rPr>
                        <w:t>β</w:t>
                      </w:r>
                      <w:r w:rsidRPr="000A72B3">
                        <w:rPr>
                          <w:rFonts w:ascii="Cambria Math" w:eastAsia="Times New Roman" w:hAnsi="Cambria Math" w:cs="Cambria Math"/>
                          <w:kern w:val="0"/>
                          <w:sz w:val="20"/>
                          <w:szCs w:val="20"/>
                          <w14:ligatures w14:val="none"/>
                        </w:rPr>
                        <w:t>‑</w:t>
                      </w:r>
                      <w:r w:rsidRPr="000A72B3">
                        <w:rPr>
                          <w:rFonts w:eastAsia="Times New Roman" w:cs="Segoe UI"/>
                          <w:kern w:val="0"/>
                          <w:sz w:val="20"/>
                          <w:szCs w:val="20"/>
                          <w14:ligatures w14:val="none"/>
                        </w:rPr>
                        <w:t>quantifying column</w:t>
                      </w:r>
                      <w:r w:rsidRPr="000A72B3">
                        <w:rPr>
                          <w:rFonts w:ascii="Aptos" w:eastAsia="Times New Roman" w:hAnsi="Aptos" w:cs="Aptos"/>
                          <w:kern w:val="0"/>
                          <w:sz w:val="20"/>
                          <w:szCs w:val="20"/>
                          <w14:ligatures w14:val="none"/>
                        </w:rPr>
                        <w:t>—</w:t>
                      </w:r>
                      <w:r w:rsidRPr="000A72B3">
                        <w:rPr>
                          <w:rFonts w:eastAsia="Times New Roman" w:cs="Segoe UI"/>
                          <w:kern w:val="0"/>
                          <w:sz w:val="20"/>
                          <w:szCs w:val="20"/>
                          <w14:ligatures w14:val="none"/>
                        </w:rPr>
                        <w:t xml:space="preserve">decomposable, but read through </w:t>
                      </w:r>
                      <w:r w:rsidRPr="000A72B3">
                        <w:rPr>
                          <w:rFonts w:ascii="Aptos" w:eastAsia="Times New Roman" w:hAnsi="Aptos" w:cs="Aptos"/>
                          <w:kern w:val="0"/>
                          <w:sz w:val="20"/>
                          <w:szCs w:val="20"/>
                          <w14:ligatures w14:val="none"/>
                        </w:rPr>
                        <w:t>α</w:t>
                      </w:r>
                      <w:r w:rsidRPr="000A72B3">
                        <w:rPr>
                          <w:rFonts w:ascii="Cambria Math" w:eastAsia="Times New Roman" w:hAnsi="Cambria Math" w:cs="Cambria Math"/>
                          <w:kern w:val="0"/>
                          <w:sz w:val="20"/>
                          <w:szCs w:val="20"/>
                          <w14:ligatures w14:val="none"/>
                        </w:rPr>
                        <w:t>‑</w:t>
                      </w:r>
                      <w:r w:rsidRPr="000A72B3">
                        <w:rPr>
                          <w:rFonts w:eastAsia="Times New Roman" w:cs="Segoe UI"/>
                          <w:kern w:val="0"/>
                          <w:sz w:val="20"/>
                          <w:szCs w:val="20"/>
                          <w14:ligatures w14:val="none"/>
                        </w:rPr>
                        <w:t>centric, retrospective conventions.</w:t>
                      </w:r>
                    </w:p>
                  </w:txbxContent>
                </v:textbox>
                <w10:anchorlock/>
              </v:shape>
            </w:pict>
          </mc:Fallback>
        </mc:AlternateContent>
      </w:r>
    </w:p>
    <w:p w14:paraId="22FA9874" w14:textId="5DFA4B08" w:rsidR="00BF5DC4" w:rsidRDefault="00BF5DC4" w:rsidP="00BF5DC4">
      <w:pPr>
        <w:pStyle w:val="Heading1"/>
        <w:jc w:val="left"/>
      </w:pPr>
      <w:bookmarkStart w:id="60" w:name="_Toc230299625"/>
      <w:r w:rsidRPr="0055344F">
        <w:rPr>
          <w:b/>
          <w:bCs/>
        </w:rPr>
        <w:lastRenderedPageBreak/>
        <w:t>S</w:t>
      </w:r>
      <w:r>
        <w:rPr>
          <w:b/>
          <w:bCs/>
        </w:rPr>
        <w:t>10</w:t>
      </w:r>
      <w:r w:rsidRPr="0055344F">
        <w:rPr>
          <w:b/>
          <w:bCs/>
        </w:rPr>
        <w:t xml:space="preserve"> </w:t>
      </w:r>
      <w:r w:rsidRPr="0054135B">
        <w:t>Structural Features of β</w:t>
      </w:r>
      <w:r w:rsidR="00AB5CE1">
        <w:t>-</w:t>
      </w:r>
      <w:r w:rsidRPr="0054135B">
        <w:t>Identification</w:t>
      </w:r>
      <w:r w:rsidR="00AB5CE1">
        <w:t>-</w:t>
      </w:r>
      <w:r w:rsidRPr="0054135B">
        <w:t>Ready Clinical Settings</w:t>
      </w:r>
      <w:bookmarkEnd w:id="60"/>
    </w:p>
    <w:p w14:paraId="02B75171" w14:textId="3FE0A112" w:rsidR="00BF5DC4" w:rsidRDefault="00BF5DC4" w:rsidP="00BF5DC4">
      <w:r w:rsidRPr="0054135B">
        <w:t>A clinical setting is β</w:t>
      </w:r>
      <w:r w:rsidR="00AB5CE1">
        <w:t>-</w:t>
      </w:r>
      <w:r w:rsidRPr="0054135B">
        <w:t>identification</w:t>
      </w:r>
      <w:r w:rsidR="00AB5CE1">
        <w:t>-</w:t>
      </w:r>
      <w:r w:rsidRPr="0054135B">
        <w:t>ready when it plausibly lies outside a clearly α</w:t>
      </w:r>
      <w:r w:rsidR="00AB5CE1">
        <w:t>-</w:t>
      </w:r>
      <w:r w:rsidRPr="0054135B">
        <w:t>dominant regime and retains the information needed to separate biological and preference</w:t>
      </w:r>
      <w:r w:rsidR="00AB5CE1">
        <w:t>-</w:t>
      </w:r>
      <w:r w:rsidRPr="0054135B">
        <w:t>mediated effects on a common outcome scale.</w:t>
      </w:r>
      <w:r>
        <w:t xml:space="preserve"> In practice, this means that clinically credible options already exist, net biological contrasts are plausibly small relative to clinical materiality, treatment uptake is observable, and outcomes can be aligned on a common clinical scale. In such settings, crossover and nonadherence are not merely threats to validity, but potential identifying variation—provided instrument validity, outcome</w:t>
      </w:r>
      <w:r w:rsidR="00AB5CE1">
        <w:t>-</w:t>
      </w:r>
      <w:r>
        <w:t>scale concordance, and non</w:t>
      </w:r>
      <w:r w:rsidR="00AB5CE1">
        <w:t>-</w:t>
      </w:r>
      <w:r>
        <w:t>interference of preference measurement are preserved.</w:t>
      </w:r>
    </w:p>
    <w:p w14:paraId="4DBC1179" w14:textId="7FF3C2DB" w:rsidR="00BF5DC4" w:rsidRDefault="00BF5DC4" w:rsidP="00BF5DC4">
      <w:r>
        <w:t>Viewed compactly, β</w:t>
      </w:r>
      <w:r w:rsidR="00AB5CE1">
        <w:t>-</w:t>
      </w:r>
      <w:r>
        <w:t>identification</w:t>
      </w:r>
      <w:r w:rsidR="00AB5CE1">
        <w:t>-</w:t>
      </w:r>
      <w:r>
        <w:t>ready settings share three features: genuine clinical choice, behaviorally informative uptake, and outcome</w:t>
      </w:r>
      <w:r w:rsidR="00AB5CE1">
        <w:t>-</w:t>
      </w:r>
      <w:r>
        <w:t>scale interpretability. Table S6 summarizes the conditions that typically accompany each.</w:t>
      </w:r>
    </w:p>
    <w:p w14:paraId="42F73C5B" w14:textId="6BD8C968" w:rsidR="00BF5DC4" w:rsidRDefault="00BF5DC4" w:rsidP="00BF5DC4">
      <w:pPr>
        <w:pStyle w:val="FigureTitle"/>
      </w:pPr>
      <w:r w:rsidRPr="001F55FF">
        <w:rPr>
          <w:b/>
          <w:bCs/>
        </w:rPr>
        <w:t>Table</w:t>
      </w:r>
      <w:r w:rsidRPr="001F55FF">
        <w:rPr>
          <w:rFonts w:ascii="Arial" w:hAnsi="Arial" w:cs="Arial"/>
          <w:b/>
          <w:bCs/>
        </w:rPr>
        <w:t> </w:t>
      </w:r>
      <w:r>
        <w:rPr>
          <w:rFonts w:ascii="Arial" w:hAnsi="Arial" w:cs="Arial"/>
          <w:b/>
          <w:bCs/>
        </w:rPr>
        <w:t>S6</w:t>
      </w:r>
      <w:r w:rsidRPr="001F55FF">
        <w:t xml:space="preserve">. </w:t>
      </w:r>
      <w:r w:rsidRPr="00695C80">
        <w:t>Core Features of a β</w:t>
      </w:r>
      <w:r w:rsidR="00AB5CE1">
        <w:t>-</w:t>
      </w:r>
      <w:r w:rsidRPr="00695C80">
        <w:t>Identification</w:t>
      </w:r>
      <w:r w:rsidR="00AB5CE1">
        <w:t>-</w:t>
      </w:r>
      <w:r w:rsidRPr="00695C80">
        <w:t>Ready Clinical Setting</w:t>
      </w:r>
    </w:p>
    <w:tbl>
      <w:tblPr>
        <w:tblStyle w:val="TableGrid"/>
        <w:tblW w:w="9175" w:type="dxa"/>
        <w:jc w:val="center"/>
        <w:tblLook w:val="04A0" w:firstRow="1" w:lastRow="0" w:firstColumn="1" w:lastColumn="0" w:noHBand="0" w:noVBand="1"/>
      </w:tblPr>
      <w:tblGrid>
        <w:gridCol w:w="535"/>
        <w:gridCol w:w="2160"/>
        <w:gridCol w:w="6480"/>
      </w:tblGrid>
      <w:tr w:rsidR="00BF5DC4" w:rsidRPr="00F5617E" w14:paraId="084328F2" w14:textId="77777777" w:rsidTr="00430B63">
        <w:trPr>
          <w:jc w:val="center"/>
        </w:trPr>
        <w:tc>
          <w:tcPr>
            <w:tcW w:w="2695" w:type="dxa"/>
            <w:gridSpan w:val="2"/>
            <w:tcBorders>
              <w:top w:val="single" w:sz="4" w:space="0" w:color="BFBFBF" w:themeColor="background1" w:themeShade="BF"/>
              <w:left w:val="single" w:sz="4" w:space="0" w:color="BFBFBF" w:themeColor="background1" w:themeShade="BF"/>
              <w:bottom w:val="single" w:sz="4" w:space="0" w:color="D9D9D9" w:themeColor="background1" w:themeShade="D9"/>
              <w:right w:val="single" w:sz="4" w:space="0" w:color="BFBFBF" w:themeColor="background1" w:themeShade="BF"/>
            </w:tcBorders>
            <w:shd w:val="clear" w:color="auto" w:fill="000000" w:themeFill="text1"/>
          </w:tcPr>
          <w:p w14:paraId="21D34108" w14:textId="77777777" w:rsidR="00BF5DC4" w:rsidRPr="00BA2530" w:rsidRDefault="00BF5DC4" w:rsidP="00430B63">
            <w:pPr>
              <w:spacing w:before="120" w:after="120"/>
              <w:ind w:left="72" w:right="72"/>
              <w:jc w:val="center"/>
              <w:rPr>
                <w:b/>
                <w:bCs/>
                <w:color w:val="FFFFFF" w:themeColor="background1"/>
                <w:sz w:val="32"/>
                <w:szCs w:val="32"/>
              </w:rPr>
            </w:pPr>
            <w:r w:rsidRPr="00BA2530">
              <w:rPr>
                <w:b/>
                <w:bCs/>
                <w:color w:val="FFFFFF" w:themeColor="background1"/>
                <w:sz w:val="32"/>
                <w:szCs w:val="32"/>
              </w:rPr>
              <w:t>Feature</w:t>
            </w:r>
          </w:p>
        </w:tc>
        <w:tc>
          <w:tcPr>
            <w:tcW w:w="6480" w:type="dxa"/>
            <w:tcBorders>
              <w:top w:val="single" w:sz="4" w:space="0" w:color="BFBFBF" w:themeColor="background1" w:themeShade="BF"/>
              <w:left w:val="single" w:sz="4" w:space="0" w:color="BFBFBF" w:themeColor="background1" w:themeShade="BF"/>
              <w:bottom w:val="single" w:sz="4" w:space="0" w:color="D9D9D9" w:themeColor="background1" w:themeShade="D9"/>
              <w:right w:val="single" w:sz="4" w:space="0" w:color="BFBFBF" w:themeColor="background1" w:themeShade="BF"/>
            </w:tcBorders>
            <w:shd w:val="clear" w:color="auto" w:fill="F2F2F2" w:themeFill="background1" w:themeFillShade="F2"/>
            <w:vAlign w:val="center"/>
          </w:tcPr>
          <w:p w14:paraId="40729ECE" w14:textId="77777777" w:rsidR="00BF5DC4" w:rsidRPr="002C0A68" w:rsidRDefault="00BF5DC4" w:rsidP="00430B63">
            <w:pPr>
              <w:spacing w:before="120" w:after="120"/>
              <w:ind w:left="72" w:right="72"/>
              <w:jc w:val="center"/>
              <w:rPr>
                <w:b/>
                <w:bCs/>
                <w:sz w:val="32"/>
                <w:szCs w:val="32"/>
              </w:rPr>
            </w:pPr>
            <w:r w:rsidRPr="002C0A68">
              <w:rPr>
                <w:b/>
                <w:bCs/>
                <w:sz w:val="32"/>
                <w:szCs w:val="32"/>
              </w:rPr>
              <w:t>What it requires</w:t>
            </w:r>
          </w:p>
        </w:tc>
      </w:tr>
      <w:tr w:rsidR="00BF5DC4" w:rsidRPr="00F5617E" w14:paraId="2D496C4D" w14:textId="77777777" w:rsidTr="00430B63">
        <w:trPr>
          <w:trHeight w:val="1763"/>
          <w:jc w:val="center"/>
        </w:trPr>
        <w:tc>
          <w:tcPr>
            <w:tcW w:w="535" w:type="dxa"/>
            <w:tcBorders>
              <w:top w:val="single" w:sz="4" w:space="0" w:color="D9D9D9" w:themeColor="background1" w:themeShade="D9"/>
              <w:left w:val="single" w:sz="4" w:space="0" w:color="BFBFBF" w:themeColor="background1" w:themeShade="BF"/>
              <w:bottom w:val="single" w:sz="4" w:space="0" w:color="BFBFBF" w:themeColor="background1" w:themeShade="BF"/>
              <w:right w:val="nil"/>
            </w:tcBorders>
            <w:shd w:val="clear" w:color="auto" w:fill="000000" w:themeFill="text1"/>
            <w:vAlign w:val="center"/>
          </w:tcPr>
          <w:p w14:paraId="138672CE" w14:textId="77777777" w:rsidR="00BF5DC4" w:rsidRPr="00BA2530" w:rsidRDefault="00BF5DC4" w:rsidP="00430B63">
            <w:pPr>
              <w:spacing w:before="120" w:after="120"/>
              <w:ind w:left="72" w:right="72"/>
              <w:jc w:val="center"/>
              <w:rPr>
                <w:b/>
                <w:bCs/>
                <w:color w:val="FFFFFF" w:themeColor="background1"/>
                <w:sz w:val="32"/>
                <w:szCs w:val="32"/>
              </w:rPr>
            </w:pPr>
            <w:r w:rsidRPr="00BA2530">
              <w:rPr>
                <w:b/>
                <w:bCs/>
                <w:color w:val="FFFFFF" w:themeColor="background1"/>
                <w:sz w:val="32"/>
                <w:szCs w:val="32"/>
              </w:rPr>
              <w:t>1</w:t>
            </w:r>
          </w:p>
        </w:tc>
        <w:tc>
          <w:tcPr>
            <w:tcW w:w="2160" w:type="dxa"/>
            <w:tcBorders>
              <w:top w:val="single" w:sz="4" w:space="0" w:color="D9D9D9" w:themeColor="background1" w:themeShade="D9"/>
              <w:left w:val="nil"/>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7EF06BA" w14:textId="77777777" w:rsidR="00BF5DC4" w:rsidRPr="003B60A6" w:rsidRDefault="00BF5DC4" w:rsidP="00430B63">
            <w:pPr>
              <w:spacing w:before="120" w:after="120"/>
              <w:ind w:left="72" w:right="72"/>
              <w:jc w:val="center"/>
              <w:rPr>
                <w:b/>
                <w:bCs/>
              </w:rPr>
            </w:pPr>
            <w:r>
              <w:rPr>
                <w:b/>
                <w:bCs/>
              </w:rPr>
              <w:t>Real</w:t>
            </w:r>
            <w:r w:rsidRPr="003B60A6">
              <w:rPr>
                <w:b/>
                <w:bCs/>
              </w:rPr>
              <w:t xml:space="preserve"> </w:t>
            </w:r>
            <w:r>
              <w:rPr>
                <w:b/>
                <w:bCs/>
              </w:rPr>
              <w:br/>
              <w:t xml:space="preserve">clinical </w:t>
            </w:r>
            <w:r w:rsidRPr="003B60A6">
              <w:rPr>
                <w:b/>
                <w:bCs/>
              </w:rPr>
              <w:t>choice</w:t>
            </w:r>
          </w:p>
        </w:tc>
        <w:tc>
          <w:tcPr>
            <w:tcW w:w="6480" w:type="dxa"/>
            <w:tcBorders>
              <w:top w:val="single" w:sz="4" w:space="0" w:color="D9D9D9" w:themeColor="background1" w:themeShade="D9"/>
              <w:left w:val="single" w:sz="4" w:space="0" w:color="BFBFBF" w:themeColor="background1" w:themeShade="BF"/>
              <w:bottom w:val="single" w:sz="4" w:space="0" w:color="D9D9D9" w:themeColor="background1" w:themeShade="D9"/>
              <w:right w:val="single" w:sz="4" w:space="0" w:color="BFBFBF" w:themeColor="background1" w:themeShade="BF"/>
            </w:tcBorders>
            <w:vAlign w:val="center"/>
          </w:tcPr>
          <w:p w14:paraId="17E1E8C3" w14:textId="77777777" w:rsidR="00BF5DC4" w:rsidRPr="003B60A6" w:rsidRDefault="00BF5DC4">
            <w:pPr>
              <w:pStyle w:val="ListParagraph"/>
              <w:numPr>
                <w:ilvl w:val="0"/>
                <w:numId w:val="19"/>
              </w:numPr>
              <w:spacing w:before="60" w:after="60"/>
              <w:ind w:left="345" w:right="72" w:hanging="187"/>
              <w:contextualSpacing w:val="0"/>
              <w:jc w:val="left"/>
              <w:rPr>
                <w:rFonts w:ascii="Aptos Narrow" w:hAnsi="Aptos Narrow"/>
                <w:sz w:val="23"/>
                <w:szCs w:val="23"/>
              </w:rPr>
            </w:pPr>
            <w:r w:rsidRPr="003B60A6">
              <w:rPr>
                <w:rFonts w:ascii="Aptos Narrow" w:hAnsi="Aptos Narrow"/>
                <w:sz w:val="23"/>
                <w:szCs w:val="23"/>
              </w:rPr>
              <w:t>Multiple clinically credible options already exist</w:t>
            </w:r>
          </w:p>
          <w:p w14:paraId="50AB367D" w14:textId="5F4B5589" w:rsidR="00BF5DC4" w:rsidRPr="003B60A6" w:rsidRDefault="00BF5DC4">
            <w:pPr>
              <w:pStyle w:val="ListParagraph"/>
              <w:numPr>
                <w:ilvl w:val="0"/>
                <w:numId w:val="19"/>
              </w:numPr>
              <w:spacing w:before="60" w:after="60"/>
              <w:ind w:left="345" w:right="72" w:hanging="187"/>
              <w:contextualSpacing w:val="0"/>
              <w:jc w:val="left"/>
              <w:rPr>
                <w:rFonts w:ascii="Aptos Narrow" w:hAnsi="Aptos Narrow"/>
                <w:sz w:val="23"/>
                <w:szCs w:val="23"/>
              </w:rPr>
            </w:pPr>
            <w:r w:rsidRPr="003B60A6">
              <w:rPr>
                <w:rFonts w:ascii="Cambria Math" w:hAnsi="Cambria Math" w:cs="Cambria Math"/>
                <w:sz w:val="23"/>
                <w:szCs w:val="23"/>
              </w:rPr>
              <w:t>∣</w:t>
            </w:r>
            <w:r w:rsidRPr="003B60A6">
              <w:rPr>
                <w:rFonts w:ascii="Aptos Narrow" w:hAnsi="Aptos Narrow" w:cs="Aptos Narrow"/>
                <w:sz w:val="23"/>
                <w:szCs w:val="23"/>
              </w:rPr>
              <w:t>Δα</w:t>
            </w:r>
            <w:r w:rsidRPr="003B60A6">
              <w:rPr>
                <w:rFonts w:ascii="Cambria Math" w:hAnsi="Cambria Math" w:cs="Cambria Math"/>
                <w:sz w:val="23"/>
                <w:szCs w:val="23"/>
              </w:rPr>
              <w:t>∣</w:t>
            </w:r>
            <w:r w:rsidRPr="003B60A6">
              <w:rPr>
                <w:rFonts w:ascii="Aptos Narrow" w:hAnsi="Aptos Narrow"/>
                <w:sz w:val="23"/>
                <w:szCs w:val="23"/>
              </w:rPr>
              <w:t xml:space="preserve"> is plausibly near or below MCID on the decision</w:t>
            </w:r>
            <w:r w:rsidR="00AB5CE1">
              <w:rPr>
                <w:rFonts w:ascii="Aptos Narrow" w:hAnsi="Aptos Narrow"/>
                <w:sz w:val="23"/>
                <w:szCs w:val="23"/>
              </w:rPr>
              <w:t>-</w:t>
            </w:r>
            <w:r w:rsidRPr="003B60A6">
              <w:rPr>
                <w:rFonts w:ascii="Aptos Narrow" w:hAnsi="Aptos Narrow"/>
                <w:sz w:val="23"/>
                <w:szCs w:val="23"/>
              </w:rPr>
              <w:t>relevant scale</w:t>
            </w:r>
          </w:p>
          <w:p w14:paraId="53563559" w14:textId="14AE31A5" w:rsidR="00BF5DC4" w:rsidRPr="003B60A6" w:rsidRDefault="00BF5DC4">
            <w:pPr>
              <w:pStyle w:val="ListParagraph"/>
              <w:numPr>
                <w:ilvl w:val="0"/>
                <w:numId w:val="19"/>
              </w:numPr>
              <w:spacing w:before="60" w:after="60"/>
              <w:ind w:left="345" w:right="72" w:hanging="187"/>
              <w:contextualSpacing w:val="0"/>
              <w:jc w:val="left"/>
              <w:rPr>
                <w:rFonts w:ascii="Aptos Narrow" w:hAnsi="Aptos Narrow"/>
                <w:sz w:val="23"/>
                <w:szCs w:val="23"/>
              </w:rPr>
            </w:pPr>
            <w:r w:rsidRPr="003B60A6">
              <w:rPr>
                <w:rFonts w:ascii="Aptos Narrow" w:hAnsi="Aptos Narrow"/>
                <w:sz w:val="23"/>
                <w:szCs w:val="23"/>
              </w:rPr>
              <w:t>Trade</w:t>
            </w:r>
            <w:r w:rsidR="00AB5CE1">
              <w:rPr>
                <w:rFonts w:ascii="Aptos Narrow" w:hAnsi="Aptos Narrow"/>
                <w:sz w:val="23"/>
                <w:szCs w:val="23"/>
              </w:rPr>
              <w:t>-</w:t>
            </w:r>
            <w:r w:rsidRPr="003B60A6">
              <w:rPr>
                <w:rFonts w:ascii="Aptos Narrow" w:hAnsi="Aptos Narrow"/>
                <w:sz w:val="23"/>
                <w:szCs w:val="23"/>
              </w:rPr>
              <w:t>offs are patient</w:t>
            </w:r>
            <w:r w:rsidR="00AB5CE1">
              <w:rPr>
                <w:rFonts w:ascii="Aptos Narrow" w:hAnsi="Aptos Narrow"/>
                <w:sz w:val="23"/>
                <w:szCs w:val="23"/>
              </w:rPr>
              <w:t>-</w:t>
            </w:r>
            <w:r w:rsidRPr="003B60A6">
              <w:rPr>
                <w:rFonts w:ascii="Aptos Narrow" w:hAnsi="Aptos Narrow"/>
                <w:sz w:val="23"/>
                <w:szCs w:val="23"/>
              </w:rPr>
              <w:t>salient and likely to affect realized outcomes</w:t>
            </w:r>
          </w:p>
        </w:tc>
      </w:tr>
      <w:tr w:rsidR="00BF5DC4" w:rsidRPr="00F5617E" w14:paraId="6F670DD1" w14:textId="77777777" w:rsidTr="00430B63">
        <w:trPr>
          <w:trHeight w:val="1421"/>
          <w:jc w:val="center"/>
        </w:trPr>
        <w:tc>
          <w:tcPr>
            <w:tcW w:w="535" w:type="dxa"/>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shd w:val="clear" w:color="auto" w:fill="000000" w:themeFill="text1"/>
            <w:vAlign w:val="center"/>
          </w:tcPr>
          <w:p w14:paraId="74CC9F0F" w14:textId="77777777" w:rsidR="00BF5DC4" w:rsidRPr="00BA2530" w:rsidRDefault="00BF5DC4" w:rsidP="00430B63">
            <w:pPr>
              <w:spacing w:before="120" w:after="120"/>
              <w:ind w:left="72" w:right="72"/>
              <w:jc w:val="center"/>
              <w:rPr>
                <w:b/>
                <w:bCs/>
                <w:color w:val="FFFFFF" w:themeColor="background1"/>
                <w:sz w:val="32"/>
                <w:szCs w:val="32"/>
              </w:rPr>
            </w:pPr>
            <w:r w:rsidRPr="00BA2530">
              <w:rPr>
                <w:b/>
                <w:bCs/>
                <w:color w:val="FFFFFF" w:themeColor="background1"/>
                <w:sz w:val="32"/>
                <w:szCs w:val="32"/>
              </w:rPr>
              <w:t>2</w:t>
            </w:r>
          </w:p>
        </w:tc>
        <w:tc>
          <w:tcPr>
            <w:tcW w:w="2160" w:type="dxa"/>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8FF0187" w14:textId="77777777" w:rsidR="00BF5DC4" w:rsidRPr="003B60A6" w:rsidRDefault="00BF5DC4" w:rsidP="00430B63">
            <w:pPr>
              <w:spacing w:before="120" w:after="120"/>
              <w:ind w:left="72" w:right="72"/>
              <w:jc w:val="center"/>
              <w:rPr>
                <w:b/>
                <w:bCs/>
              </w:rPr>
            </w:pPr>
            <w:r w:rsidRPr="003B60A6">
              <w:rPr>
                <w:b/>
                <w:bCs/>
              </w:rPr>
              <w:t>Behaviorally informative uptake</w:t>
            </w:r>
          </w:p>
        </w:tc>
        <w:tc>
          <w:tcPr>
            <w:tcW w:w="6480" w:type="dxa"/>
            <w:tcBorders>
              <w:top w:val="single" w:sz="4" w:space="0" w:color="D9D9D9" w:themeColor="background1" w:themeShade="D9"/>
              <w:left w:val="single" w:sz="4" w:space="0" w:color="BFBFBF" w:themeColor="background1" w:themeShade="BF"/>
              <w:bottom w:val="single" w:sz="4" w:space="0" w:color="D9D9D9" w:themeColor="background1" w:themeShade="D9"/>
              <w:right w:val="single" w:sz="4" w:space="0" w:color="BFBFBF" w:themeColor="background1" w:themeShade="BF"/>
            </w:tcBorders>
            <w:vAlign w:val="center"/>
          </w:tcPr>
          <w:p w14:paraId="19EA7448" w14:textId="77777777" w:rsidR="00BF5DC4" w:rsidRPr="003B60A6" w:rsidRDefault="00BF5DC4">
            <w:pPr>
              <w:pStyle w:val="ListParagraph"/>
              <w:numPr>
                <w:ilvl w:val="0"/>
                <w:numId w:val="19"/>
              </w:numPr>
              <w:spacing w:before="60" w:after="60"/>
              <w:ind w:left="345" w:right="72" w:hanging="187"/>
              <w:contextualSpacing w:val="0"/>
              <w:jc w:val="left"/>
              <w:rPr>
                <w:rFonts w:ascii="Aptos Narrow" w:hAnsi="Aptos Narrow"/>
                <w:sz w:val="23"/>
                <w:szCs w:val="23"/>
              </w:rPr>
            </w:pPr>
            <w:r w:rsidRPr="003B60A6">
              <w:rPr>
                <w:rFonts w:ascii="Aptos Narrow" w:hAnsi="Aptos Narrow"/>
                <w:sz w:val="23"/>
                <w:szCs w:val="23"/>
              </w:rPr>
              <w:t>Treatment uptake, switching, or persistence are observable rather than suppressed</w:t>
            </w:r>
          </w:p>
          <w:p w14:paraId="527BB8A2" w14:textId="45753ABC" w:rsidR="00BF5DC4" w:rsidRPr="003B60A6" w:rsidRDefault="00BF5DC4">
            <w:pPr>
              <w:pStyle w:val="ListParagraph"/>
              <w:numPr>
                <w:ilvl w:val="0"/>
                <w:numId w:val="19"/>
              </w:numPr>
              <w:spacing w:before="60" w:after="60"/>
              <w:ind w:left="345" w:right="72" w:hanging="187"/>
              <w:contextualSpacing w:val="0"/>
              <w:jc w:val="left"/>
              <w:rPr>
                <w:rFonts w:ascii="Aptos Narrow" w:hAnsi="Aptos Narrow"/>
                <w:sz w:val="23"/>
                <w:szCs w:val="23"/>
              </w:rPr>
            </w:pPr>
            <w:r w:rsidRPr="003B60A6">
              <w:rPr>
                <w:rFonts w:ascii="Aptos Narrow" w:hAnsi="Aptos Narrow"/>
                <w:sz w:val="23"/>
                <w:szCs w:val="23"/>
              </w:rPr>
              <w:t>Preference can plausibly affect physical outcomes</w:t>
            </w:r>
            <w:r>
              <w:rPr>
                <w:rFonts w:ascii="Aptos Narrow" w:hAnsi="Aptos Narrow"/>
                <w:sz w:val="23"/>
                <w:szCs w:val="23"/>
              </w:rPr>
              <w:t xml:space="preserve"> (will</w:t>
            </w:r>
            <w:r w:rsidR="00AB5CE1">
              <w:rPr>
                <w:rFonts w:ascii="Aptos Narrow" w:hAnsi="Aptos Narrow"/>
                <w:sz w:val="23"/>
                <w:szCs w:val="23"/>
              </w:rPr>
              <w:t>-</w:t>
            </w:r>
            <w:r>
              <w:rPr>
                <w:rFonts w:ascii="Aptos Narrow" w:hAnsi="Aptos Narrow"/>
                <w:sz w:val="23"/>
                <w:szCs w:val="23"/>
              </w:rPr>
              <w:t>to</w:t>
            </w:r>
            <w:r w:rsidR="00AB5CE1">
              <w:rPr>
                <w:rFonts w:ascii="Aptos Narrow" w:hAnsi="Aptos Narrow"/>
                <w:sz w:val="23"/>
                <w:szCs w:val="23"/>
              </w:rPr>
              <w:t>-</w:t>
            </w:r>
            <w:r>
              <w:rPr>
                <w:rFonts w:ascii="Aptos Narrow" w:hAnsi="Aptos Narrow"/>
                <w:sz w:val="23"/>
                <w:szCs w:val="23"/>
              </w:rPr>
              <w:t>adhere, ability</w:t>
            </w:r>
            <w:r w:rsidR="00AB5CE1">
              <w:rPr>
                <w:rFonts w:ascii="Aptos Narrow" w:hAnsi="Aptos Narrow"/>
                <w:sz w:val="23"/>
                <w:szCs w:val="23"/>
              </w:rPr>
              <w:t>-</w:t>
            </w:r>
            <w:r>
              <w:rPr>
                <w:rFonts w:ascii="Aptos Narrow" w:hAnsi="Aptos Narrow"/>
                <w:sz w:val="23"/>
                <w:szCs w:val="23"/>
              </w:rPr>
              <w:t>to</w:t>
            </w:r>
            <w:r w:rsidR="00AB5CE1">
              <w:rPr>
                <w:rFonts w:ascii="Aptos Narrow" w:hAnsi="Aptos Narrow"/>
                <w:sz w:val="23"/>
                <w:szCs w:val="23"/>
              </w:rPr>
              <w:t>-</w:t>
            </w:r>
            <w:r>
              <w:rPr>
                <w:rFonts w:ascii="Aptos Narrow" w:hAnsi="Aptos Narrow"/>
                <w:sz w:val="23"/>
                <w:szCs w:val="23"/>
              </w:rPr>
              <w:t>adhere)</w:t>
            </w:r>
            <w:r w:rsidRPr="003B60A6">
              <w:rPr>
                <w:rFonts w:ascii="Aptos Narrow" w:hAnsi="Aptos Narrow"/>
                <w:sz w:val="23"/>
                <w:szCs w:val="23"/>
              </w:rPr>
              <w:t>, not merely satisfaction</w:t>
            </w:r>
          </w:p>
        </w:tc>
      </w:tr>
      <w:tr w:rsidR="00BF5DC4" w:rsidRPr="00F5617E" w14:paraId="5845E07C" w14:textId="77777777" w:rsidTr="00430B63">
        <w:trPr>
          <w:trHeight w:val="1241"/>
          <w:jc w:val="center"/>
        </w:trPr>
        <w:tc>
          <w:tcPr>
            <w:tcW w:w="535" w:type="dxa"/>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shd w:val="clear" w:color="auto" w:fill="000000" w:themeFill="text1"/>
            <w:vAlign w:val="center"/>
          </w:tcPr>
          <w:p w14:paraId="5F8A0B80" w14:textId="77777777" w:rsidR="00BF5DC4" w:rsidRPr="00BA2530" w:rsidRDefault="00BF5DC4" w:rsidP="00430B63">
            <w:pPr>
              <w:spacing w:before="120" w:after="120"/>
              <w:ind w:left="72" w:right="72"/>
              <w:jc w:val="center"/>
              <w:rPr>
                <w:b/>
                <w:bCs/>
                <w:color w:val="FFFFFF" w:themeColor="background1"/>
                <w:sz w:val="32"/>
                <w:szCs w:val="32"/>
              </w:rPr>
            </w:pPr>
            <w:r w:rsidRPr="00BA2530">
              <w:rPr>
                <w:b/>
                <w:bCs/>
                <w:color w:val="FFFFFF" w:themeColor="background1"/>
                <w:sz w:val="32"/>
                <w:szCs w:val="32"/>
              </w:rPr>
              <w:t>3</w:t>
            </w:r>
          </w:p>
        </w:tc>
        <w:tc>
          <w:tcPr>
            <w:tcW w:w="2160" w:type="dxa"/>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DE82203" w14:textId="693B7996" w:rsidR="00BF5DC4" w:rsidRPr="003B60A6" w:rsidRDefault="00BF5DC4" w:rsidP="00430B63">
            <w:pPr>
              <w:spacing w:before="120" w:after="120"/>
              <w:ind w:left="72" w:right="72"/>
              <w:jc w:val="center"/>
              <w:rPr>
                <w:b/>
                <w:bCs/>
              </w:rPr>
            </w:pPr>
            <w:r w:rsidRPr="003B60A6">
              <w:rPr>
                <w:b/>
                <w:bCs/>
              </w:rPr>
              <w:t>Outcome</w:t>
            </w:r>
            <w:r w:rsidR="00AB5CE1">
              <w:rPr>
                <w:b/>
                <w:bCs/>
              </w:rPr>
              <w:t>-</w:t>
            </w:r>
            <w:r w:rsidRPr="003B60A6">
              <w:rPr>
                <w:b/>
                <w:bCs/>
              </w:rPr>
              <w:t>scale interpretability</w:t>
            </w:r>
          </w:p>
        </w:tc>
        <w:tc>
          <w:tcPr>
            <w:tcW w:w="6480" w:type="dxa"/>
            <w:tcBorders>
              <w:top w:val="single" w:sz="4" w:space="0" w:color="D9D9D9" w:themeColor="background1" w:themeShade="D9"/>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5D6DB83C" w14:textId="77777777" w:rsidR="00BF5DC4" w:rsidRPr="003B60A6" w:rsidRDefault="00BF5DC4">
            <w:pPr>
              <w:pStyle w:val="ListParagraph"/>
              <w:numPr>
                <w:ilvl w:val="0"/>
                <w:numId w:val="19"/>
              </w:numPr>
              <w:spacing w:before="60" w:after="60"/>
              <w:ind w:left="345" w:right="72" w:hanging="187"/>
              <w:contextualSpacing w:val="0"/>
              <w:jc w:val="left"/>
              <w:rPr>
                <w:rFonts w:ascii="Aptos Narrow" w:hAnsi="Aptos Narrow"/>
                <w:sz w:val="23"/>
                <w:szCs w:val="23"/>
              </w:rPr>
            </w:pPr>
            <w:r w:rsidRPr="003B60A6">
              <w:rPr>
                <w:rFonts w:ascii="Aptos Narrow" w:hAnsi="Aptos Narrow"/>
                <w:sz w:val="23"/>
                <w:szCs w:val="23"/>
              </w:rPr>
              <w:t xml:space="preserve">A common clinical outcome scale can align ΔOBS and </w:t>
            </w:r>
            <w:r w:rsidRPr="003B60A6">
              <w:rPr>
                <w:rFonts w:ascii="Aptos Narrow" w:hAnsi="Aptos Narrow" w:cs="Aptos Narrow"/>
                <w:sz w:val="23"/>
                <w:szCs w:val="23"/>
              </w:rPr>
              <w:t>Δα</w:t>
            </w:r>
          </w:p>
          <w:p w14:paraId="5541CC42" w14:textId="06036152" w:rsidR="00BF5DC4" w:rsidRPr="003B60A6" w:rsidRDefault="00BF5DC4">
            <w:pPr>
              <w:pStyle w:val="ListParagraph"/>
              <w:numPr>
                <w:ilvl w:val="0"/>
                <w:numId w:val="19"/>
              </w:numPr>
              <w:spacing w:before="60" w:after="60"/>
              <w:ind w:left="345" w:right="72" w:hanging="187"/>
              <w:contextualSpacing w:val="0"/>
              <w:jc w:val="left"/>
              <w:rPr>
                <w:rFonts w:ascii="Aptos Narrow" w:hAnsi="Aptos Narrow"/>
                <w:sz w:val="23"/>
                <w:szCs w:val="23"/>
              </w:rPr>
            </w:pPr>
            <w:r w:rsidRPr="003B60A6">
              <w:rPr>
                <w:rFonts w:ascii="Aptos Narrow" w:hAnsi="Aptos Narrow"/>
                <w:sz w:val="23"/>
                <w:szCs w:val="23"/>
              </w:rPr>
              <w:t>The setting either already lies in, or is likely to drift toward, mixed or β</w:t>
            </w:r>
            <w:r w:rsidR="00AB5CE1">
              <w:rPr>
                <w:rFonts w:ascii="Aptos Narrow" w:hAnsi="Aptos Narrow"/>
                <w:sz w:val="23"/>
                <w:szCs w:val="23"/>
              </w:rPr>
              <w:t>-</w:t>
            </w:r>
            <w:r w:rsidRPr="003B60A6">
              <w:rPr>
                <w:rFonts w:ascii="Aptos Narrow" w:hAnsi="Aptos Narrow"/>
                <w:sz w:val="23"/>
                <w:szCs w:val="23"/>
              </w:rPr>
              <w:t>dominant regimes as complexity increases</w:t>
            </w:r>
          </w:p>
        </w:tc>
      </w:tr>
    </w:tbl>
    <w:p w14:paraId="0BC1CD17" w14:textId="2C371E81" w:rsidR="00BF5DC4" w:rsidRPr="0054135B" w:rsidRDefault="00BF5DC4" w:rsidP="00BF5DC4">
      <w:pPr>
        <w:pStyle w:val="FigureCaption"/>
      </w:pPr>
      <w:r w:rsidRPr="0054135B">
        <w:t>The table organizes the structural conditions that make β</w:t>
      </w:r>
      <w:r w:rsidR="00AB5CE1">
        <w:t>-</w:t>
      </w:r>
      <w:r w:rsidRPr="0054135B">
        <w:t>identifying designs methodologically appropriate. These features do not define a new trial type; rather, they identify settings in which the information needed to separate biological and preference</w:t>
      </w:r>
      <w:r w:rsidR="00AB5CE1">
        <w:t>-</w:t>
      </w:r>
      <w:r w:rsidRPr="0054135B">
        <w:t>mediated effects is likely to be present and interpretable prospectively.</w:t>
      </w:r>
    </w:p>
    <w:p w14:paraId="24E5AF3E" w14:textId="6A273A36" w:rsidR="00BF5DC4" w:rsidRDefault="00BF5DC4" w:rsidP="00BF5DC4">
      <w:r w:rsidRPr="0054135B">
        <w:t>Settings with these features are the strongest candidates for prospective β</w:t>
      </w:r>
      <w:r w:rsidR="00AB5CE1">
        <w:t>-</w:t>
      </w:r>
      <w:r w:rsidRPr="0054135B">
        <w:t>identifying designs.</w:t>
      </w:r>
      <w:r>
        <w:t xml:space="preserve"> Supplement </w:t>
      </w:r>
      <w:r w:rsidRPr="00E065A5">
        <w:t>S11 applies this profile to a broad set of candidate indications and likely β</w:t>
      </w:r>
      <w:r w:rsidR="00AB5CE1">
        <w:t>-</w:t>
      </w:r>
      <w:r w:rsidRPr="00E065A5">
        <w:t>identifying design matches.</w:t>
      </w:r>
    </w:p>
    <w:p w14:paraId="1A80A6BB" w14:textId="248B553E" w:rsidR="00BF5DC4" w:rsidRDefault="00BF5DC4" w:rsidP="00BF5DC4">
      <w:pPr>
        <w:pStyle w:val="Heading1"/>
        <w:jc w:val="left"/>
      </w:pPr>
      <w:bookmarkStart w:id="61" w:name="_Toc230299626"/>
      <w:r w:rsidRPr="002F5C70">
        <w:rPr>
          <w:b/>
          <w:bCs/>
        </w:rPr>
        <w:lastRenderedPageBreak/>
        <w:t>S1</w:t>
      </w:r>
      <w:r>
        <w:rPr>
          <w:b/>
          <w:bCs/>
        </w:rPr>
        <w:t>1</w:t>
      </w:r>
      <w:r w:rsidRPr="002F5C70">
        <w:rPr>
          <w:b/>
          <w:bCs/>
        </w:rPr>
        <w:t xml:space="preserve"> </w:t>
      </w:r>
      <w:r w:rsidRPr="002F5C70">
        <w:t xml:space="preserve">Candidate </w:t>
      </w:r>
      <w:r>
        <w:t>I</w:t>
      </w:r>
      <w:r w:rsidRPr="002F5C70">
        <w:t>ndications for β</w:t>
      </w:r>
      <w:r w:rsidR="00AB5CE1">
        <w:t>-</w:t>
      </w:r>
      <w:r>
        <w:t>I</w:t>
      </w:r>
      <w:r w:rsidRPr="002F5C70">
        <w:t xml:space="preserve">dentifying </w:t>
      </w:r>
      <w:r>
        <w:t>T</w:t>
      </w:r>
      <w:r w:rsidRPr="002F5C70">
        <w:t>rials</w:t>
      </w:r>
      <w:bookmarkEnd w:id="61"/>
    </w:p>
    <w:p w14:paraId="5489192B" w14:textId="35EEE3F3" w:rsidR="00BF5DC4" w:rsidRDefault="00BF5DC4" w:rsidP="00BF5DC4">
      <w:r>
        <w:t>The following candidate indications illustrate clinical settings in which β</w:t>
      </w:r>
      <w:r w:rsidR="00AB5CE1">
        <w:t>-</w:t>
      </w:r>
      <w:r>
        <w:t>identifying trials may be especially informative. The list is not ranked and should be read as a screening aid rather than a prescriptive agenda. Some entries are already mentioned in the main text (e.g., lumbar disc herniation, atrial fibrillation, stable coronary disease, localized prostate cancer, appendicitis), whereas others extend the same logic to adjacent settings in which biological contrasts are often modest, trade</w:t>
      </w:r>
      <w:r w:rsidR="00AB5CE1">
        <w:t>-</w:t>
      </w:r>
      <w:r>
        <w:t>offs are salient, and treatment uptake is likely to vary in outcome</w:t>
      </w:r>
      <w:r w:rsidR="00AB5CE1">
        <w:t>-</w:t>
      </w:r>
      <w:r>
        <w:t>relevant ways. In several of these indications, the relevant evidence base includes randomized trials, pragmatic comparisons, or prospective observational studies that make explicit comparison of biology, uptake, and patient</w:t>
      </w:r>
      <w:r w:rsidR="00AB5CE1">
        <w:t>-</w:t>
      </w:r>
      <w:r>
        <w:t>reported outcomes possible. Illustrative candidate indications include:</w:t>
      </w:r>
    </w:p>
    <w:p w14:paraId="2A975A2B" w14:textId="089F4562" w:rsidR="00BF5DC4" w:rsidRPr="00ED4D0D" w:rsidRDefault="00BF5DC4">
      <w:pPr>
        <w:numPr>
          <w:ilvl w:val="0"/>
          <w:numId w:val="20"/>
        </w:numPr>
        <w:tabs>
          <w:tab w:val="clear" w:pos="720"/>
        </w:tabs>
        <w:spacing w:before="60" w:after="60"/>
        <w:ind w:left="548" w:right="360" w:hanging="274"/>
        <w:rPr>
          <w:rFonts w:cs="Segoe UI"/>
        </w:rPr>
      </w:pPr>
      <w:r w:rsidRPr="00ED4D0D">
        <w:rPr>
          <w:rStyle w:val="Strong"/>
          <w:rFonts w:cs="Segoe UI"/>
        </w:rPr>
        <w:t>Lumbar disc herniation: surgery vs nonoperative care.</w:t>
      </w:r>
      <w:r w:rsidRPr="00ED4D0D">
        <w:rPr>
          <w:rFonts w:cs="Segoe UI"/>
        </w:rPr>
        <w:t xml:space="preserve"> </w:t>
      </w:r>
      <w:r w:rsidRPr="000C30B3">
        <w:rPr>
          <w:rFonts w:cs="Segoe UI"/>
        </w:rPr>
        <w:t>This is the canonical transitional case, discussed in detail in Supplement S9, because randomized assignment, substantial switching, and common</w:t>
      </w:r>
      <w:r w:rsidR="00AB5CE1">
        <w:rPr>
          <w:rFonts w:cs="Segoe UI"/>
        </w:rPr>
        <w:t>-</w:t>
      </w:r>
      <w:r w:rsidRPr="000C30B3">
        <w:rPr>
          <w:rFonts w:cs="Segoe UI"/>
        </w:rPr>
        <w:t xml:space="preserve">scale functional outcomes already made α and β separable in principle. In regime terms, lumbar disc herniation is best understood as a </w:t>
      </w:r>
      <w:r w:rsidRPr="000C30B3">
        <w:rPr>
          <w:rFonts w:cs="Segoe UI"/>
          <w:b/>
          <w:bCs/>
        </w:rPr>
        <w:t xml:space="preserve">B2/B4 </w:t>
      </w:r>
      <w:r w:rsidRPr="000C30B3">
        <w:rPr>
          <w:rFonts w:cs="Segoe UI"/>
        </w:rPr>
        <w:t>setting, with SPORT</w:t>
      </w:r>
      <w:r w:rsidR="00AB5CE1">
        <w:rPr>
          <w:rFonts w:cs="Segoe UI"/>
        </w:rPr>
        <w:t>-</w:t>
      </w:r>
      <w:r w:rsidRPr="000C30B3">
        <w:rPr>
          <w:rFonts w:cs="Segoe UI"/>
        </w:rPr>
        <w:t xml:space="preserve">class presentations tending toward </w:t>
      </w:r>
      <w:r w:rsidRPr="000C30B3">
        <w:rPr>
          <w:rFonts w:cs="Segoe UI"/>
          <w:b/>
          <w:bCs/>
        </w:rPr>
        <w:t>B4</w:t>
      </w:r>
      <w:r w:rsidRPr="000C30B3">
        <w:rPr>
          <w:rFonts w:cs="Segoe UI"/>
        </w:rPr>
        <w:t xml:space="preserve"> when </w:t>
      </w:r>
      <w:r w:rsidRPr="000C30B3">
        <w:rPr>
          <w:rFonts w:ascii="Cambria Math" w:hAnsi="Cambria Math" w:cs="Cambria Math"/>
        </w:rPr>
        <w:t>∣</w:t>
      </w:r>
      <w:r w:rsidRPr="000C30B3">
        <w:rPr>
          <w:rFonts w:ascii="Aptos" w:hAnsi="Aptos" w:cs="Aptos"/>
        </w:rPr>
        <w:t>Δα</w:t>
      </w:r>
      <w:r w:rsidRPr="000C30B3">
        <w:rPr>
          <w:rFonts w:ascii="Cambria Math" w:hAnsi="Cambria Math" w:cs="Cambria Math"/>
        </w:rPr>
        <w:t>∣</w:t>
      </w:r>
      <w:r>
        <w:rPr>
          <w:rFonts w:cs="Segoe UI"/>
        </w:rPr>
        <w:t xml:space="preserve"> </w:t>
      </w:r>
      <w:r w:rsidRPr="000C30B3">
        <w:rPr>
          <w:rFonts w:cs="Segoe UI"/>
        </w:rPr>
        <w:t>is small and treatment choice materially shapes realized outcomes.</w:t>
      </w:r>
      <w:r w:rsidRPr="000C30B3">
        <w:rPr>
          <w:rFonts w:cs="Segoe UI"/>
          <w:vertAlign w:val="superscript"/>
        </w:rPr>
        <w:t>S4,S5,S11,S12</w:t>
      </w:r>
    </w:p>
    <w:p w14:paraId="0B6AEB68" w14:textId="780BB582" w:rsidR="00BF5DC4" w:rsidRPr="00ED4D0D" w:rsidRDefault="00BF5DC4">
      <w:pPr>
        <w:numPr>
          <w:ilvl w:val="0"/>
          <w:numId w:val="20"/>
        </w:numPr>
        <w:tabs>
          <w:tab w:val="clear" w:pos="720"/>
        </w:tabs>
        <w:spacing w:before="60" w:after="60"/>
        <w:ind w:left="548" w:right="360" w:hanging="274"/>
        <w:rPr>
          <w:rFonts w:cs="Segoe UI"/>
        </w:rPr>
      </w:pPr>
      <w:r w:rsidRPr="00ED4D0D">
        <w:rPr>
          <w:rStyle w:val="Strong"/>
          <w:rFonts w:cs="Segoe UI"/>
        </w:rPr>
        <w:t>Localized prostate cancer: surveillance vs surgery vs radiotherapy.</w:t>
      </w:r>
      <w:r w:rsidRPr="00ED4D0D">
        <w:rPr>
          <w:rFonts w:cs="Segoe UI"/>
        </w:rPr>
        <w:t xml:space="preserve"> </w:t>
      </w:r>
      <w:r w:rsidRPr="000C30B3">
        <w:rPr>
          <w:rFonts w:cs="Segoe UI"/>
        </w:rPr>
        <w:t>Localized prostate cancer is a strong candidate for β</w:t>
      </w:r>
      <w:r w:rsidR="00AB5CE1">
        <w:rPr>
          <w:rFonts w:cs="Segoe UI"/>
        </w:rPr>
        <w:t>-</w:t>
      </w:r>
      <w:r w:rsidRPr="000C30B3">
        <w:rPr>
          <w:rFonts w:cs="Segoe UI"/>
        </w:rPr>
        <w:t>identifying trials because multiple clinically credible options coexist, each carrying distinct long</w:t>
      </w:r>
      <w:r w:rsidR="00AB5CE1">
        <w:rPr>
          <w:rFonts w:cs="Segoe UI"/>
        </w:rPr>
        <w:t>-</w:t>
      </w:r>
      <w:r w:rsidRPr="000C30B3">
        <w:rPr>
          <w:rFonts w:cs="Segoe UI"/>
        </w:rPr>
        <w:t>horizon trade</w:t>
      </w:r>
      <w:r w:rsidR="00AB5CE1">
        <w:rPr>
          <w:rFonts w:cs="Segoe UI"/>
        </w:rPr>
        <w:t>-</w:t>
      </w:r>
      <w:r w:rsidRPr="000C30B3">
        <w:rPr>
          <w:rFonts w:cs="Segoe UI"/>
        </w:rPr>
        <w:t>offs in urinary, sexual, bowel, and quality</w:t>
      </w:r>
      <w:r w:rsidR="00AB5CE1">
        <w:rPr>
          <w:rFonts w:cs="Segoe UI"/>
        </w:rPr>
        <w:t>-</w:t>
      </w:r>
      <w:r w:rsidRPr="000C30B3">
        <w:rPr>
          <w:rFonts w:cs="Segoe UI"/>
        </w:rPr>
        <w:t>of</w:t>
      </w:r>
      <w:r w:rsidR="00AB5CE1">
        <w:rPr>
          <w:rFonts w:cs="Segoe UI"/>
        </w:rPr>
        <w:t>-</w:t>
      </w:r>
      <w:r w:rsidRPr="000C30B3">
        <w:rPr>
          <w:rFonts w:cs="Segoe UI"/>
        </w:rPr>
        <w:t>life outcomes. In ProtecT, overall survival differences were limited across monitoring, surgery, and radiotherapy, while patient</w:t>
      </w:r>
      <w:r w:rsidR="00AB5CE1">
        <w:rPr>
          <w:rFonts w:cs="Segoe UI"/>
        </w:rPr>
        <w:t>-</w:t>
      </w:r>
      <w:r w:rsidRPr="000C30B3">
        <w:rPr>
          <w:rFonts w:cs="Segoe UI"/>
        </w:rPr>
        <w:t>reported outcomes diverged meaningfully by treatment pathway, making harms, burden, and patient goals central to interpretation. As discussed in Supplement S8, ProtecT represents an important preference</w:t>
      </w:r>
      <w:r w:rsidR="00AB5CE1">
        <w:rPr>
          <w:rFonts w:cs="Segoe UI"/>
        </w:rPr>
        <w:t>-</w:t>
      </w:r>
      <w:r w:rsidRPr="000C30B3">
        <w:rPr>
          <w:rFonts w:cs="Segoe UI"/>
        </w:rPr>
        <w:t>aware stage in which choice was acknowledged but β was not yet prospectively identified as an outcome</w:t>
      </w:r>
      <w:r w:rsidR="00AB5CE1">
        <w:rPr>
          <w:rFonts w:cs="Segoe UI"/>
        </w:rPr>
        <w:t>-</w:t>
      </w:r>
      <w:r w:rsidRPr="000C30B3">
        <w:rPr>
          <w:rFonts w:cs="Segoe UI"/>
        </w:rPr>
        <w:t xml:space="preserve">scale estimand. This makes localized prostate cancer a plausible </w:t>
      </w:r>
      <w:r w:rsidRPr="000C30B3">
        <w:rPr>
          <w:rFonts w:cs="Segoe UI"/>
          <w:b/>
          <w:bCs/>
        </w:rPr>
        <w:t>B2 (mixed)</w:t>
      </w:r>
      <w:r w:rsidRPr="000C30B3">
        <w:rPr>
          <w:rFonts w:cs="Segoe UI"/>
        </w:rPr>
        <w:t xml:space="preserve"> setting.</w:t>
      </w:r>
      <w:r w:rsidRPr="00ED4D0D">
        <w:rPr>
          <w:rFonts w:cs="Segoe UI"/>
          <w:vertAlign w:val="superscript"/>
        </w:rPr>
        <w:t>S17,S18</w:t>
      </w:r>
      <w:r w:rsidRPr="00ED4D0D">
        <w:rPr>
          <w:rFonts w:cs="Segoe UI"/>
        </w:rPr>
        <w:t xml:space="preserve"> </w:t>
      </w:r>
    </w:p>
    <w:p w14:paraId="1FD5A8B5" w14:textId="1089906E" w:rsidR="00BF5DC4" w:rsidRPr="00ED4D0D" w:rsidRDefault="00BF5DC4">
      <w:pPr>
        <w:numPr>
          <w:ilvl w:val="0"/>
          <w:numId w:val="20"/>
        </w:numPr>
        <w:tabs>
          <w:tab w:val="clear" w:pos="720"/>
        </w:tabs>
        <w:spacing w:before="60" w:after="60"/>
        <w:ind w:left="548" w:right="360" w:hanging="274"/>
        <w:rPr>
          <w:rFonts w:cs="Segoe UI"/>
        </w:rPr>
      </w:pPr>
      <w:r w:rsidRPr="00ED4D0D">
        <w:rPr>
          <w:rStyle w:val="Strong"/>
          <w:rFonts w:cs="Segoe UI"/>
        </w:rPr>
        <w:t>Atrial fibrillation: rhythm vs rate / pathway decisions.</w:t>
      </w:r>
      <w:r w:rsidRPr="00ED4D0D">
        <w:rPr>
          <w:rFonts w:cs="Segoe UI"/>
        </w:rPr>
        <w:t xml:space="preserve"> </w:t>
      </w:r>
      <w:r w:rsidRPr="005E4E64">
        <w:rPr>
          <w:rFonts w:cs="Segoe UI"/>
        </w:rPr>
        <w:t>Atrial fibrillation is a strong candidate for β</w:t>
      </w:r>
      <w:r w:rsidR="00AB5CE1">
        <w:rPr>
          <w:rFonts w:cs="Segoe UI"/>
        </w:rPr>
        <w:t>-</w:t>
      </w:r>
      <w:r w:rsidRPr="005E4E64">
        <w:rPr>
          <w:rFonts w:cs="Segoe UI"/>
        </w:rPr>
        <w:t>identifying trials because clinically important outcomes often extend beyond mortality to include symptoms, bleeding risk, frailty, hospitalization burden, adherence, and treatment goals.  In AFFIRM, hard</w:t>
      </w:r>
      <w:r w:rsidR="00AB5CE1">
        <w:rPr>
          <w:rFonts w:cs="Segoe UI"/>
        </w:rPr>
        <w:t>-</w:t>
      </w:r>
      <w:r w:rsidRPr="005E4E64">
        <w:rPr>
          <w:rFonts w:cs="Segoe UI"/>
        </w:rPr>
        <w:t>outcome separation between rate and rhythm control was limited, while contemporary guidelines continue to emphasize shared pathway decisions shaped by symptom burden, anticoagulation trade</w:t>
      </w:r>
      <w:r w:rsidR="00AB5CE1">
        <w:rPr>
          <w:rFonts w:cs="Segoe UI"/>
        </w:rPr>
        <w:t>-</w:t>
      </w:r>
      <w:r w:rsidRPr="005E4E64">
        <w:rPr>
          <w:rFonts w:cs="Segoe UI"/>
        </w:rPr>
        <w:t xml:space="preserve">offs, comorbidity, and patient preference.  This makes atrial </w:t>
      </w:r>
      <w:r w:rsidRPr="005E4E64">
        <w:rPr>
          <w:rFonts w:cs="Segoe UI"/>
        </w:rPr>
        <w:lastRenderedPageBreak/>
        <w:t>fibrillation a plausible</w:t>
      </w:r>
      <w:r>
        <w:rPr>
          <w:rFonts w:cs="Segoe UI"/>
        </w:rPr>
        <w:t xml:space="preserve"> </w:t>
      </w:r>
      <w:r w:rsidRPr="000C30B3">
        <w:rPr>
          <w:rFonts w:cs="Segoe UI"/>
          <w:b/>
          <w:bCs/>
        </w:rPr>
        <w:t>B2/B4</w:t>
      </w:r>
      <w:r>
        <w:rPr>
          <w:rFonts w:cs="Segoe UI"/>
          <w:b/>
          <w:bCs/>
        </w:rPr>
        <w:t xml:space="preserve"> </w:t>
      </w:r>
      <w:r w:rsidRPr="000C30B3">
        <w:rPr>
          <w:rFonts w:cs="Segoe UI"/>
        </w:rPr>
        <w:t>setting</w:t>
      </w:r>
      <w:r w:rsidRPr="005E4E64">
        <w:rPr>
          <w:rFonts w:cs="Segoe UI"/>
        </w:rPr>
        <w:t>, especially in older and more complex patients, where realized outcomes may depend not only on biological efficacy but also on persistence, risk tolerance, and how patients weigh symptom relief against treatment burden.</w:t>
      </w:r>
      <w:r w:rsidRPr="00ED4D0D">
        <w:rPr>
          <w:rFonts w:cs="Segoe UI"/>
          <w:vertAlign w:val="superscript"/>
        </w:rPr>
        <w:t>S19,S20</w:t>
      </w:r>
      <w:r w:rsidRPr="00ED4D0D">
        <w:rPr>
          <w:rFonts w:cs="Segoe UI"/>
        </w:rPr>
        <w:t xml:space="preserve"> </w:t>
      </w:r>
    </w:p>
    <w:p w14:paraId="62B5FCDF" w14:textId="65435309" w:rsidR="00BF5DC4" w:rsidRPr="00ED4D0D" w:rsidRDefault="00BF5DC4">
      <w:pPr>
        <w:numPr>
          <w:ilvl w:val="0"/>
          <w:numId w:val="20"/>
        </w:numPr>
        <w:tabs>
          <w:tab w:val="clear" w:pos="720"/>
        </w:tabs>
        <w:spacing w:before="60" w:after="60"/>
        <w:ind w:left="548" w:right="360" w:hanging="274"/>
        <w:rPr>
          <w:rFonts w:cs="Segoe UI"/>
        </w:rPr>
      </w:pPr>
      <w:r w:rsidRPr="00ED4D0D">
        <w:rPr>
          <w:rStyle w:val="Strong"/>
          <w:rFonts w:cs="Segoe UI"/>
        </w:rPr>
        <w:t>Stable coronary disease: invasive vs conservative care.</w:t>
      </w:r>
      <w:r w:rsidRPr="00ED4D0D">
        <w:rPr>
          <w:rFonts w:cs="Segoe UI"/>
        </w:rPr>
        <w:t xml:space="preserve"> </w:t>
      </w:r>
      <w:r w:rsidRPr="005E4E64">
        <w:rPr>
          <w:rFonts w:cs="Segoe UI"/>
        </w:rPr>
        <w:t>Stable coronary disease is a strong candidate for β</w:t>
      </w:r>
      <w:r w:rsidR="00AB5CE1">
        <w:rPr>
          <w:rFonts w:cs="Segoe UI"/>
        </w:rPr>
        <w:t>-</w:t>
      </w:r>
      <w:r w:rsidRPr="005E4E64">
        <w:rPr>
          <w:rFonts w:cs="Segoe UI"/>
        </w:rPr>
        <w:t>identifying trials because clinically important outcomes often extend beyond hard events to include angina relief, functional status, procedural burden, and patient goals.  In ISCHEMIA, an initial invasive strategy did not produce a clear overall reduction in major clinical events compared with a conservative strategy, but it did yield greater angina</w:t>
      </w:r>
      <w:r w:rsidR="00AB5CE1">
        <w:rPr>
          <w:rFonts w:cs="Segoe UI"/>
        </w:rPr>
        <w:t>-</w:t>
      </w:r>
      <w:r w:rsidRPr="005E4E64">
        <w:rPr>
          <w:rFonts w:cs="Segoe UI"/>
        </w:rPr>
        <w:t>related health</w:t>
      </w:r>
      <w:r w:rsidR="00AB5CE1">
        <w:rPr>
          <w:rFonts w:cs="Segoe UI"/>
        </w:rPr>
        <w:t>-</w:t>
      </w:r>
      <w:r w:rsidRPr="005E4E64">
        <w:rPr>
          <w:rFonts w:cs="Segoe UI"/>
        </w:rPr>
        <w:t>status gains, especially among patients with more frequent baseline angina.  This pattern makes stable coronary disease a plausible</w:t>
      </w:r>
      <w:r>
        <w:rPr>
          <w:rFonts w:cs="Segoe UI"/>
        </w:rPr>
        <w:t xml:space="preserve"> </w:t>
      </w:r>
      <w:r w:rsidRPr="000C30B3">
        <w:rPr>
          <w:rFonts w:cs="Segoe UI"/>
          <w:b/>
          <w:bCs/>
        </w:rPr>
        <w:t>B2/B4</w:t>
      </w:r>
      <w:r>
        <w:rPr>
          <w:rFonts w:cs="Segoe UI"/>
          <w:b/>
          <w:bCs/>
        </w:rPr>
        <w:t xml:space="preserve"> </w:t>
      </w:r>
      <w:r w:rsidRPr="000C30B3">
        <w:rPr>
          <w:rFonts w:cs="Segoe UI"/>
        </w:rPr>
        <w:t>setting</w:t>
      </w:r>
      <w:r w:rsidRPr="005E4E64">
        <w:rPr>
          <w:rFonts w:cs="Segoe UI"/>
        </w:rPr>
        <w:t>: when hard biological contrasts are modest, realized outcomes may depend materially on symptom burden, willingness to undergo invasive treatment, and the weight patients place on relief versus procedural burden.</w:t>
      </w:r>
      <w:r w:rsidRPr="00ED4D0D">
        <w:rPr>
          <w:rFonts w:cs="Segoe UI"/>
          <w:vertAlign w:val="superscript"/>
        </w:rPr>
        <w:t>S21,S22</w:t>
      </w:r>
      <w:r w:rsidRPr="00ED4D0D">
        <w:rPr>
          <w:rFonts w:cs="Segoe UI"/>
        </w:rPr>
        <w:t xml:space="preserve"> </w:t>
      </w:r>
    </w:p>
    <w:p w14:paraId="7AB2DE09" w14:textId="00B0BD19" w:rsidR="00BF5DC4" w:rsidRPr="00ED4D0D" w:rsidRDefault="00BF5DC4">
      <w:pPr>
        <w:numPr>
          <w:ilvl w:val="0"/>
          <w:numId w:val="20"/>
        </w:numPr>
        <w:tabs>
          <w:tab w:val="clear" w:pos="720"/>
        </w:tabs>
        <w:spacing w:before="60" w:after="60"/>
        <w:ind w:left="548" w:right="360" w:hanging="274"/>
        <w:rPr>
          <w:rFonts w:cs="Segoe UI"/>
        </w:rPr>
      </w:pPr>
      <w:r w:rsidRPr="00ED4D0D">
        <w:rPr>
          <w:rStyle w:val="Strong"/>
          <w:rFonts w:cs="Segoe UI"/>
        </w:rPr>
        <w:t>Acute appendicitis: antibiotics vs appendectomy.</w:t>
      </w:r>
      <w:r w:rsidRPr="00ED4D0D">
        <w:rPr>
          <w:rFonts w:cs="Segoe UI"/>
        </w:rPr>
        <w:t xml:space="preserve"> </w:t>
      </w:r>
      <w:r w:rsidRPr="005E4E64">
        <w:rPr>
          <w:rFonts w:cs="Segoe UI"/>
        </w:rPr>
        <w:t>In the pragmatic CODA noninferiority trial, antibiotics were noninferior to appendectomy for 30</w:t>
      </w:r>
      <w:r w:rsidR="00AB5CE1">
        <w:rPr>
          <w:rFonts w:cs="Segoe UI"/>
        </w:rPr>
        <w:t>-</w:t>
      </w:r>
      <w:r w:rsidRPr="005E4E64">
        <w:rPr>
          <w:rFonts w:cs="Segoe UI"/>
        </w:rPr>
        <w:t>day health status, but downstream burdens diverged: by 90 days, 29% of patients assigned to antibiotics had undergone appendectomy, with higher rates among those with an appendicolith. Longer</w:t>
      </w:r>
      <w:r w:rsidR="00AB5CE1">
        <w:rPr>
          <w:rFonts w:cs="Segoe UI"/>
        </w:rPr>
        <w:t>-</w:t>
      </w:r>
      <w:r w:rsidRPr="005E4E64">
        <w:rPr>
          <w:rFonts w:cs="Segoe UI"/>
        </w:rPr>
        <w:t>term follow</w:t>
      </w:r>
      <w:r w:rsidR="00AB5CE1">
        <w:rPr>
          <w:rFonts w:cs="Segoe UI"/>
        </w:rPr>
        <w:t>-</w:t>
      </w:r>
      <w:r w:rsidRPr="005E4E64">
        <w:rPr>
          <w:rFonts w:cs="Segoe UI"/>
        </w:rPr>
        <w:t>up showed appendectomy rates of 40% at 1 year and 46% at 2 years. Appendicitis therefore illustrates a setting in which short</w:t>
      </w:r>
      <w:r w:rsidR="00AB5CE1">
        <w:rPr>
          <w:rFonts w:cs="Segoe UI"/>
        </w:rPr>
        <w:t>-</w:t>
      </w:r>
      <w:r w:rsidRPr="005E4E64">
        <w:rPr>
          <w:rFonts w:cs="Segoe UI"/>
        </w:rPr>
        <w:t xml:space="preserve">term biological separation is modest, but downstream risk, burden, and patient priorities can materially shape realized outcomes, making it a strong </w:t>
      </w:r>
      <w:r w:rsidRPr="000C30B3">
        <w:rPr>
          <w:rFonts w:cs="Segoe UI"/>
          <w:b/>
          <w:bCs/>
        </w:rPr>
        <w:t>B4 (β</w:t>
      </w:r>
      <w:r w:rsidR="00AB5CE1">
        <w:rPr>
          <w:rFonts w:cs="Segoe UI"/>
          <w:b/>
          <w:bCs/>
        </w:rPr>
        <w:t>-</w:t>
      </w:r>
      <w:r w:rsidRPr="000C30B3">
        <w:rPr>
          <w:rFonts w:cs="Segoe UI"/>
          <w:b/>
          <w:bCs/>
        </w:rPr>
        <w:t xml:space="preserve">dominant) </w:t>
      </w:r>
      <w:r w:rsidRPr="000C30B3">
        <w:rPr>
          <w:rFonts w:cs="Segoe UI"/>
        </w:rPr>
        <w:t>candidate</w:t>
      </w:r>
      <w:r w:rsidRPr="005E4E64">
        <w:rPr>
          <w:rFonts w:cs="Segoe UI"/>
        </w:rPr>
        <w:t>.</w:t>
      </w:r>
      <w:r w:rsidRPr="005E4E64">
        <w:rPr>
          <w:rFonts w:cs="Segoe UI"/>
          <w:vertAlign w:val="superscript"/>
        </w:rPr>
        <w:t>S23,S24</w:t>
      </w:r>
      <w:r w:rsidRPr="00ED4D0D">
        <w:rPr>
          <w:rFonts w:cs="Segoe UI"/>
        </w:rPr>
        <w:t xml:space="preserve"> </w:t>
      </w:r>
    </w:p>
    <w:p w14:paraId="3AFCF61B" w14:textId="6B40C404" w:rsidR="00BF5DC4" w:rsidRPr="00ED4D0D" w:rsidRDefault="00BF5DC4">
      <w:pPr>
        <w:numPr>
          <w:ilvl w:val="0"/>
          <w:numId w:val="20"/>
        </w:numPr>
        <w:tabs>
          <w:tab w:val="clear" w:pos="720"/>
        </w:tabs>
        <w:spacing w:before="60" w:after="60"/>
        <w:ind w:left="548" w:right="360" w:hanging="274"/>
        <w:rPr>
          <w:rFonts w:cs="Segoe UI"/>
        </w:rPr>
      </w:pPr>
      <w:r w:rsidRPr="00ED4D0D">
        <w:rPr>
          <w:rStyle w:val="Strong"/>
          <w:rFonts w:cs="Segoe UI"/>
        </w:rPr>
        <w:t>Benign prostatic hyperplasia: surgery vs medical/watchful management.</w:t>
      </w:r>
      <w:r w:rsidRPr="00ED4D0D">
        <w:rPr>
          <w:rFonts w:cs="Segoe UI"/>
        </w:rPr>
        <w:t xml:space="preserve"> </w:t>
      </w:r>
      <w:r w:rsidRPr="000C30B3">
        <w:rPr>
          <w:rFonts w:cs="Segoe UI"/>
        </w:rPr>
        <w:t>Historically important because early randomized–nonrandomized divergence was visible but not decomposed in the Chalmers comparison. Later trials showed that transurethral surgery reduced treatment failure versus watchful waiting, while MTOPS demonstrated that long</w:t>
      </w:r>
      <w:r w:rsidR="00AB5CE1">
        <w:rPr>
          <w:rFonts w:cs="Segoe UI"/>
        </w:rPr>
        <w:t>-</w:t>
      </w:r>
      <w:r w:rsidRPr="000C30B3">
        <w:rPr>
          <w:rFonts w:cs="Segoe UI"/>
        </w:rPr>
        <w:t xml:space="preserve">term medical therapy could also modify progression. Taken together, these features make BPH best understood as a </w:t>
      </w:r>
      <w:r w:rsidRPr="000C30B3">
        <w:rPr>
          <w:rFonts w:cs="Segoe UI"/>
          <w:b/>
          <w:bCs/>
        </w:rPr>
        <w:t>B2 (mixed)</w:t>
      </w:r>
      <w:r w:rsidRPr="000C30B3">
        <w:rPr>
          <w:rFonts w:cs="Segoe UI"/>
        </w:rPr>
        <w:t xml:space="preserve"> setting: biological differences are real, but symptom burden, treatment tolerance, and willingness to proceed with surgery materially shape realized outcomes.</w:t>
      </w:r>
      <w:r w:rsidRPr="00EC537D">
        <w:rPr>
          <w:rFonts w:cs="Segoe UI"/>
          <w:vertAlign w:val="superscript"/>
        </w:rPr>
        <w:t>S16,S25</w:t>
      </w:r>
      <w:r>
        <w:rPr>
          <w:rFonts w:cs="Segoe UI"/>
          <w:vertAlign w:val="superscript"/>
        </w:rPr>
        <w:t>,S26</w:t>
      </w:r>
      <w:r w:rsidRPr="00ED4D0D">
        <w:rPr>
          <w:rFonts w:cs="Segoe UI"/>
        </w:rPr>
        <w:t xml:space="preserve"> </w:t>
      </w:r>
    </w:p>
    <w:p w14:paraId="157A46F3" w14:textId="160D35E5" w:rsidR="00BF5DC4" w:rsidRPr="00ED4D0D" w:rsidRDefault="00BF5DC4">
      <w:pPr>
        <w:numPr>
          <w:ilvl w:val="0"/>
          <w:numId w:val="20"/>
        </w:numPr>
        <w:tabs>
          <w:tab w:val="clear" w:pos="720"/>
        </w:tabs>
        <w:spacing w:before="60" w:after="60"/>
        <w:ind w:left="548" w:right="360" w:hanging="274"/>
        <w:rPr>
          <w:rFonts w:cs="Segoe UI"/>
        </w:rPr>
      </w:pPr>
      <w:r w:rsidRPr="00ED4D0D">
        <w:rPr>
          <w:rStyle w:val="Strong"/>
          <w:rFonts w:cs="Segoe UI"/>
        </w:rPr>
        <w:t>Knee osteoarthritis: total knee replacement vs intensive non</w:t>
      </w:r>
      <w:r w:rsidR="00AB5CE1">
        <w:rPr>
          <w:rStyle w:val="Strong"/>
          <w:rFonts w:cs="Segoe UI"/>
        </w:rPr>
        <w:t>-</w:t>
      </w:r>
      <w:r w:rsidRPr="00ED4D0D">
        <w:rPr>
          <w:rStyle w:val="Strong"/>
          <w:rFonts w:cs="Segoe UI"/>
        </w:rPr>
        <w:t>surgical care.</w:t>
      </w:r>
      <w:r w:rsidRPr="00ED4D0D">
        <w:rPr>
          <w:rFonts w:cs="Segoe UI"/>
        </w:rPr>
        <w:t xml:space="preserve"> </w:t>
      </w:r>
      <w:r w:rsidRPr="005E4E64">
        <w:rPr>
          <w:rFonts w:cs="Segoe UI"/>
        </w:rPr>
        <w:t>Randomized trials suggest that total knee replacement generally yields greater average improvement in pain, function, and quality of life than intensive non</w:t>
      </w:r>
      <w:r w:rsidR="00AB5CE1">
        <w:rPr>
          <w:rFonts w:cs="Segoe UI"/>
        </w:rPr>
        <w:t>-</w:t>
      </w:r>
      <w:r w:rsidRPr="005E4E64">
        <w:rPr>
          <w:rFonts w:cs="Segoe UI"/>
        </w:rPr>
        <w:t xml:space="preserve">surgical treatment alone, but the comparison is not purely biological. A substantial </w:t>
      </w:r>
      <w:r w:rsidRPr="005E4E64">
        <w:rPr>
          <w:rFonts w:cs="Segoe UI"/>
        </w:rPr>
        <w:lastRenderedPageBreak/>
        <w:t>minority of patients initially assigned to non</w:t>
      </w:r>
      <w:r w:rsidR="00AB5CE1">
        <w:rPr>
          <w:rFonts w:cs="Segoe UI"/>
        </w:rPr>
        <w:t>-</w:t>
      </w:r>
      <w:r w:rsidRPr="005E4E64">
        <w:rPr>
          <w:rFonts w:cs="Segoe UI"/>
        </w:rPr>
        <w:t xml:space="preserve">surgical care later cross over to surgery, while many others delay surgery for years, indicating that burden tolerance, expectations, and willingness to proceed with an operation shape realized outcomes. This makes knee osteoarthritis a plausible </w:t>
      </w:r>
      <w:r w:rsidRPr="000C30B3">
        <w:rPr>
          <w:rFonts w:cs="Segoe UI"/>
          <w:b/>
          <w:bCs/>
        </w:rPr>
        <w:t>B2 (mixed)</w:t>
      </w:r>
      <w:r w:rsidRPr="005E4E64">
        <w:rPr>
          <w:rFonts w:cs="Segoe UI"/>
        </w:rPr>
        <w:t xml:space="preserve"> setting, where biological benefit matters, but treatment uptake and patient priorities may materially influence what outcomes are ultimately achieved.</w:t>
      </w:r>
      <w:r w:rsidRPr="00EC537D">
        <w:rPr>
          <w:rFonts w:cs="Segoe UI"/>
          <w:vertAlign w:val="superscript"/>
        </w:rPr>
        <w:t>S27,S28</w:t>
      </w:r>
    </w:p>
    <w:p w14:paraId="0F00834A" w14:textId="0B4DC9A2" w:rsidR="00BF5DC4" w:rsidRPr="00ED4D0D" w:rsidRDefault="00BF5DC4">
      <w:pPr>
        <w:numPr>
          <w:ilvl w:val="0"/>
          <w:numId w:val="20"/>
        </w:numPr>
        <w:tabs>
          <w:tab w:val="clear" w:pos="720"/>
        </w:tabs>
        <w:spacing w:before="60" w:after="60"/>
        <w:ind w:left="548" w:right="360" w:hanging="274"/>
        <w:rPr>
          <w:rFonts w:cs="Segoe UI"/>
        </w:rPr>
      </w:pPr>
      <w:r w:rsidRPr="00ED4D0D">
        <w:rPr>
          <w:rStyle w:val="Strong"/>
          <w:rFonts w:cs="Segoe UI"/>
        </w:rPr>
        <w:t>Peripheral artery disease / claudication: revascularization vs supervised exercise / medical therapy.</w:t>
      </w:r>
      <w:r w:rsidRPr="00ED4D0D">
        <w:rPr>
          <w:rFonts w:cs="Segoe UI"/>
        </w:rPr>
        <w:t xml:space="preserve"> </w:t>
      </w:r>
      <w:r w:rsidRPr="009902B8">
        <w:rPr>
          <w:rFonts w:cs="Segoe UI"/>
        </w:rPr>
        <w:t>Randomized comparisons in intermittent claudication show that supervised exercise can produce larger gains in treadmill walking performance, whereas revascularization may yield greater improvement on some disease</w:t>
      </w:r>
      <w:r w:rsidR="00AB5CE1">
        <w:rPr>
          <w:rFonts w:cs="Segoe UI"/>
        </w:rPr>
        <w:t>-</w:t>
      </w:r>
      <w:r w:rsidRPr="009902B8">
        <w:rPr>
          <w:rFonts w:cs="Segoe UI"/>
        </w:rPr>
        <w:t>specific quality</w:t>
      </w:r>
      <w:r w:rsidR="00AB5CE1">
        <w:rPr>
          <w:rFonts w:cs="Segoe UI"/>
        </w:rPr>
        <w:t>-</w:t>
      </w:r>
      <w:r w:rsidRPr="009902B8">
        <w:rPr>
          <w:rFonts w:cs="Segoe UI"/>
        </w:rPr>
        <w:t>of</w:t>
      </w:r>
      <w:r w:rsidR="00AB5CE1">
        <w:rPr>
          <w:rFonts w:cs="Segoe UI"/>
        </w:rPr>
        <w:t>-</w:t>
      </w:r>
      <w:r w:rsidRPr="009902B8">
        <w:rPr>
          <w:rFonts w:cs="Segoe UI"/>
        </w:rPr>
        <w:t xml:space="preserve">life measures, highlighting a setting in which functional benefit, treatment burden, adherence, and patient goals may diverge. This makes symptomatic peripheral artery disease a plausible </w:t>
      </w:r>
      <w:r w:rsidRPr="000C30B3">
        <w:rPr>
          <w:rFonts w:cs="Segoe UI"/>
          <w:b/>
          <w:bCs/>
        </w:rPr>
        <w:t>B2 (mixed)</w:t>
      </w:r>
      <w:r w:rsidRPr="009902B8">
        <w:rPr>
          <w:rFonts w:cs="Segoe UI"/>
        </w:rPr>
        <w:t xml:space="preserve"> setting for β</w:t>
      </w:r>
      <w:r w:rsidR="00AB5CE1">
        <w:rPr>
          <w:rFonts w:cs="Segoe UI"/>
        </w:rPr>
        <w:t>-</w:t>
      </w:r>
      <w:r w:rsidRPr="009902B8">
        <w:rPr>
          <w:rFonts w:cs="Segoe UI"/>
        </w:rPr>
        <w:t>identifying designs, particularly when walking capacity and patient</w:t>
      </w:r>
      <w:r w:rsidR="00AB5CE1">
        <w:rPr>
          <w:rFonts w:cs="Segoe UI"/>
        </w:rPr>
        <w:t>-</w:t>
      </w:r>
      <w:r w:rsidRPr="009902B8">
        <w:rPr>
          <w:rFonts w:cs="Segoe UI"/>
        </w:rPr>
        <w:t>reported outcomes are both clinically central.</w:t>
      </w:r>
      <w:r w:rsidRPr="009902B8">
        <w:rPr>
          <w:rFonts w:cs="Segoe UI"/>
          <w:vertAlign w:val="superscript"/>
        </w:rPr>
        <w:t>S29,S30</w:t>
      </w:r>
      <w:r w:rsidRPr="00ED4D0D">
        <w:rPr>
          <w:rFonts w:cs="Segoe UI"/>
        </w:rPr>
        <w:t xml:space="preserve"> </w:t>
      </w:r>
    </w:p>
    <w:p w14:paraId="21B96B67" w14:textId="5C030C94" w:rsidR="00BF5DC4" w:rsidRPr="00ED4D0D" w:rsidRDefault="00BF5DC4">
      <w:pPr>
        <w:numPr>
          <w:ilvl w:val="0"/>
          <w:numId w:val="20"/>
        </w:numPr>
        <w:tabs>
          <w:tab w:val="clear" w:pos="720"/>
        </w:tabs>
        <w:spacing w:before="60" w:after="60"/>
        <w:ind w:left="548" w:right="360" w:hanging="274"/>
        <w:rPr>
          <w:rFonts w:cs="Segoe UI"/>
        </w:rPr>
      </w:pPr>
      <w:r w:rsidRPr="00ED4D0D">
        <w:rPr>
          <w:rStyle w:val="Strong"/>
          <w:rFonts w:cs="Segoe UI"/>
        </w:rPr>
        <w:t>Heavy menstrual bleeding / symptomatic fibroids: uterine</w:t>
      </w:r>
      <w:r w:rsidR="00AB5CE1">
        <w:rPr>
          <w:rStyle w:val="Strong"/>
          <w:rFonts w:cs="Segoe UI"/>
        </w:rPr>
        <w:t>-</w:t>
      </w:r>
      <w:r w:rsidRPr="00ED4D0D">
        <w:rPr>
          <w:rStyle w:val="Strong"/>
          <w:rFonts w:cs="Segoe UI"/>
        </w:rPr>
        <w:t>artery embolization vs myomectomy.</w:t>
      </w:r>
      <w:r w:rsidRPr="00ED4D0D">
        <w:rPr>
          <w:rFonts w:cs="Segoe UI"/>
        </w:rPr>
        <w:t xml:space="preserve"> </w:t>
      </w:r>
      <w:r w:rsidRPr="005E4E64">
        <w:rPr>
          <w:rFonts w:cs="Segoe UI"/>
        </w:rPr>
        <w:t>In the randomized FEMME trial, both uterus</w:t>
      </w:r>
      <w:r w:rsidR="00AB5CE1">
        <w:rPr>
          <w:rFonts w:cs="Segoe UI"/>
        </w:rPr>
        <w:t>-</w:t>
      </w:r>
      <w:r w:rsidRPr="005E4E64">
        <w:rPr>
          <w:rFonts w:cs="Segoe UI"/>
        </w:rPr>
        <w:t>preserving options improved fibroid</w:t>
      </w:r>
      <w:r w:rsidR="00AB5CE1">
        <w:rPr>
          <w:rFonts w:cs="Segoe UI"/>
        </w:rPr>
        <w:t>-</w:t>
      </w:r>
      <w:r w:rsidRPr="005E4E64">
        <w:rPr>
          <w:rFonts w:cs="Segoe UI"/>
        </w:rPr>
        <w:t xml:space="preserve">related quality of life, but myomectomy showed a modest advantage at 2 years, while each strategy carried different procedural burdens and reproductive implications. This makes symptomatic fibroids a strong </w:t>
      </w:r>
      <w:r w:rsidRPr="000C30B3">
        <w:rPr>
          <w:rFonts w:cs="Segoe UI"/>
          <w:b/>
          <w:bCs/>
        </w:rPr>
        <w:t>B2 (mixed)</w:t>
      </w:r>
      <w:r w:rsidRPr="005E4E64">
        <w:rPr>
          <w:rFonts w:cs="Segoe UI"/>
        </w:rPr>
        <w:t xml:space="preserve"> candidate, because clinically credible options coexist, symptom/function trade</w:t>
      </w:r>
      <w:r w:rsidR="00AB5CE1">
        <w:rPr>
          <w:rFonts w:cs="Segoe UI"/>
        </w:rPr>
        <w:t>-</w:t>
      </w:r>
      <w:r w:rsidRPr="005E4E64">
        <w:rPr>
          <w:rFonts w:cs="Segoe UI"/>
        </w:rPr>
        <w:t>offs are central, and patient priorities can plausibly shape realized outcomes.</w:t>
      </w:r>
      <w:r w:rsidRPr="005E4E64">
        <w:rPr>
          <w:rFonts w:cs="Segoe UI"/>
          <w:vertAlign w:val="superscript"/>
        </w:rPr>
        <w:t>S31,S32</w:t>
      </w:r>
      <w:r w:rsidRPr="00ED4D0D">
        <w:rPr>
          <w:rFonts w:cs="Segoe UI"/>
        </w:rPr>
        <w:t xml:space="preserve"> </w:t>
      </w:r>
    </w:p>
    <w:p w14:paraId="615A06C3" w14:textId="11931809" w:rsidR="00BF5DC4" w:rsidRPr="00ED4D0D" w:rsidRDefault="00BF5DC4">
      <w:pPr>
        <w:numPr>
          <w:ilvl w:val="0"/>
          <w:numId w:val="20"/>
        </w:numPr>
        <w:tabs>
          <w:tab w:val="clear" w:pos="720"/>
        </w:tabs>
        <w:spacing w:before="60" w:after="60"/>
        <w:ind w:left="548" w:right="360" w:hanging="274"/>
        <w:rPr>
          <w:rFonts w:cs="Segoe UI"/>
        </w:rPr>
      </w:pPr>
      <w:r w:rsidRPr="00ED4D0D">
        <w:rPr>
          <w:rStyle w:val="Strong"/>
          <w:rFonts w:cs="Segoe UI"/>
        </w:rPr>
        <w:t>Obstructive sleep apnea: CPAP vs oral appliance therapy.</w:t>
      </w:r>
      <w:r w:rsidRPr="00ED4D0D">
        <w:rPr>
          <w:rFonts w:cs="Segoe UI"/>
        </w:rPr>
        <w:t xml:space="preserve"> </w:t>
      </w:r>
      <w:r w:rsidRPr="005E4E64">
        <w:rPr>
          <w:rFonts w:cs="Segoe UI"/>
        </w:rPr>
        <w:t>Randomized trials show that CPAP is more efficacious physiologically (greater reduction in apnea–hypopnea burden), but oral appliance therapy is often better tolerated and used longer, yielding similar or near</w:t>
      </w:r>
      <w:r w:rsidR="00AB5CE1">
        <w:rPr>
          <w:rFonts w:cs="Segoe UI"/>
        </w:rPr>
        <w:t>-</w:t>
      </w:r>
      <w:r w:rsidRPr="005E4E64">
        <w:rPr>
          <w:rFonts w:cs="Segoe UI"/>
        </w:rPr>
        <w:t>similar effects on several health, sleepiness, and quality</w:t>
      </w:r>
      <w:r w:rsidR="00AB5CE1">
        <w:rPr>
          <w:rFonts w:cs="Segoe UI"/>
        </w:rPr>
        <w:t>-</w:t>
      </w:r>
      <w:r w:rsidRPr="005E4E64">
        <w:rPr>
          <w:rFonts w:cs="Segoe UI"/>
        </w:rPr>
        <w:t>of</w:t>
      </w:r>
      <w:r w:rsidR="00AB5CE1">
        <w:rPr>
          <w:rFonts w:cs="Segoe UI"/>
        </w:rPr>
        <w:t>-</w:t>
      </w:r>
      <w:r w:rsidRPr="005E4E64">
        <w:rPr>
          <w:rFonts w:cs="Segoe UI"/>
        </w:rPr>
        <w:t xml:space="preserve">life outcomes in some patients. This makes obstructive sleep apnea a plausible </w:t>
      </w:r>
      <w:r w:rsidRPr="000C30B3">
        <w:rPr>
          <w:rFonts w:cs="Segoe UI"/>
          <w:b/>
          <w:bCs/>
        </w:rPr>
        <w:t>B2/B4</w:t>
      </w:r>
      <w:r w:rsidRPr="005E4E64">
        <w:rPr>
          <w:rFonts w:cs="Segoe UI"/>
        </w:rPr>
        <w:t xml:space="preserve"> setting, because realized physical benefit depends not only on device efficacy, but also on persistence, adherence, and patient willingness to continue treatment.</w:t>
      </w:r>
      <w:r w:rsidRPr="005E4E64">
        <w:rPr>
          <w:rFonts w:cs="Segoe UI"/>
          <w:vertAlign w:val="superscript"/>
        </w:rPr>
        <w:t>S33,S34</w:t>
      </w:r>
      <w:r w:rsidRPr="00ED4D0D">
        <w:rPr>
          <w:rFonts w:cs="Segoe UI"/>
        </w:rPr>
        <w:t xml:space="preserve"> </w:t>
      </w:r>
    </w:p>
    <w:p w14:paraId="55C25775" w14:textId="4A42D051" w:rsidR="00BF5DC4" w:rsidRPr="00ED4D0D" w:rsidRDefault="00BF5DC4">
      <w:pPr>
        <w:numPr>
          <w:ilvl w:val="0"/>
          <w:numId w:val="20"/>
        </w:numPr>
        <w:tabs>
          <w:tab w:val="clear" w:pos="720"/>
        </w:tabs>
        <w:spacing w:before="60" w:after="60"/>
        <w:ind w:left="548" w:right="360" w:hanging="274"/>
        <w:rPr>
          <w:rFonts w:cs="Segoe UI"/>
        </w:rPr>
      </w:pPr>
      <w:r w:rsidRPr="00ED4D0D">
        <w:rPr>
          <w:rStyle w:val="Strong"/>
          <w:rFonts w:cs="Segoe UI"/>
        </w:rPr>
        <w:t>Low</w:t>
      </w:r>
      <w:r w:rsidR="00AB5CE1">
        <w:rPr>
          <w:rStyle w:val="Strong"/>
          <w:rFonts w:cs="Segoe UI"/>
        </w:rPr>
        <w:t>-</w:t>
      </w:r>
      <w:r w:rsidRPr="00ED4D0D">
        <w:rPr>
          <w:rStyle w:val="Strong"/>
          <w:rFonts w:cs="Segoe UI"/>
        </w:rPr>
        <w:t>risk papillary thyroid cancer: active surveillance vs surgery.</w:t>
      </w:r>
      <w:r w:rsidRPr="00ED4D0D">
        <w:rPr>
          <w:rFonts w:cs="Segoe UI"/>
        </w:rPr>
        <w:t xml:space="preserve"> </w:t>
      </w:r>
      <w:r w:rsidRPr="005E4E64">
        <w:rPr>
          <w:rFonts w:cs="Segoe UI"/>
        </w:rPr>
        <w:t>Prospective data show that carefully selected patients can be safely managed with active surveillance, with very low rates of clinically meaningful progression over time, while avoiding the immediate burden of surgery. In a prospective nonrandomized trial, most patients choosing surveillance remained on surveillance without regional or distant progression, and long</w:t>
      </w:r>
      <w:r w:rsidR="00AB5CE1">
        <w:rPr>
          <w:rFonts w:cs="Segoe UI"/>
        </w:rPr>
        <w:t>-</w:t>
      </w:r>
      <w:r w:rsidRPr="005E4E64">
        <w:rPr>
          <w:rFonts w:cs="Segoe UI"/>
        </w:rPr>
        <w:t>term observational experience likewise showed very low rates of enlargement or nodal metastasis, with no disease</w:t>
      </w:r>
      <w:r w:rsidR="00AB5CE1">
        <w:rPr>
          <w:rFonts w:cs="Segoe UI"/>
        </w:rPr>
        <w:t>-</w:t>
      </w:r>
      <w:r w:rsidRPr="005E4E64">
        <w:rPr>
          <w:rFonts w:cs="Segoe UI"/>
        </w:rPr>
        <w:t xml:space="preserve">specific </w:t>
      </w:r>
      <w:r w:rsidRPr="005E4E64">
        <w:rPr>
          <w:rFonts w:cs="Segoe UI"/>
        </w:rPr>
        <w:lastRenderedPageBreak/>
        <w:t xml:space="preserve">mortality—making this a plausible </w:t>
      </w:r>
      <w:r w:rsidRPr="000C30B3">
        <w:rPr>
          <w:rFonts w:cs="Segoe UI"/>
          <w:b/>
          <w:bCs/>
        </w:rPr>
        <w:t>B2/B4</w:t>
      </w:r>
      <w:r w:rsidRPr="005E4E64">
        <w:rPr>
          <w:rFonts w:cs="Segoe UI"/>
        </w:rPr>
        <w:t xml:space="preserve"> setting where monitoring tolerance, intervention burden, and patient priorities may materially shape realized outcomes when near</w:t>
      </w:r>
      <w:r w:rsidR="00AB5CE1">
        <w:rPr>
          <w:rFonts w:cs="Segoe UI"/>
        </w:rPr>
        <w:t>-</w:t>
      </w:r>
      <w:r w:rsidRPr="005E4E64">
        <w:rPr>
          <w:rFonts w:cs="Segoe UI"/>
        </w:rPr>
        <w:t>term biological separation is limited.</w:t>
      </w:r>
      <w:r w:rsidRPr="005E4E64">
        <w:rPr>
          <w:rFonts w:cs="Segoe UI"/>
          <w:vertAlign w:val="superscript"/>
        </w:rPr>
        <w:t>S35,S36</w:t>
      </w:r>
      <w:r w:rsidRPr="00ED4D0D">
        <w:rPr>
          <w:rFonts w:cs="Segoe UI"/>
        </w:rPr>
        <w:t xml:space="preserve"> </w:t>
      </w:r>
    </w:p>
    <w:p w14:paraId="1BA1FD92" w14:textId="651517A6" w:rsidR="00BF5DC4" w:rsidRPr="00ED4D0D" w:rsidRDefault="00BF5DC4">
      <w:pPr>
        <w:numPr>
          <w:ilvl w:val="0"/>
          <w:numId w:val="20"/>
        </w:numPr>
        <w:tabs>
          <w:tab w:val="clear" w:pos="720"/>
        </w:tabs>
        <w:spacing w:before="60" w:after="60"/>
        <w:ind w:left="548" w:right="360" w:hanging="274"/>
        <w:rPr>
          <w:rFonts w:cs="Segoe UI"/>
        </w:rPr>
      </w:pPr>
      <w:r w:rsidRPr="00ED4D0D">
        <w:rPr>
          <w:rStyle w:val="Strong"/>
          <w:rFonts w:cs="Segoe UI"/>
        </w:rPr>
        <w:t>Multimorbidity deprescribing vs continuation pathways.</w:t>
      </w:r>
      <w:r w:rsidRPr="00ED4D0D">
        <w:rPr>
          <w:rFonts w:cs="Segoe UI"/>
        </w:rPr>
        <w:t xml:space="preserve"> </w:t>
      </w:r>
      <w:r w:rsidRPr="005E4E64">
        <w:rPr>
          <w:rFonts w:cs="Segoe UI"/>
        </w:rPr>
        <w:t>In randomized trials of older adults with polypharmacy, patient</w:t>
      </w:r>
      <w:r w:rsidR="00AB5CE1">
        <w:rPr>
          <w:rFonts w:cs="Segoe UI"/>
        </w:rPr>
        <w:t>-</w:t>
      </w:r>
      <w:r w:rsidRPr="005E4E64">
        <w:rPr>
          <w:rFonts w:cs="Segoe UI"/>
        </w:rPr>
        <w:t xml:space="preserve">centered deprescribing interventions have reduced medication burden in some settings and have done so through structured clinician–patient review, shared </w:t>
      </w:r>
      <w:r w:rsidR="005C0F49">
        <w:rPr>
          <w:rFonts w:cs="Segoe UI"/>
        </w:rPr>
        <w:t>decision making</w:t>
      </w:r>
      <w:r w:rsidRPr="005E4E64">
        <w:rPr>
          <w:rFonts w:cs="Segoe UI"/>
        </w:rPr>
        <w:t>, and longitudinal follow</w:t>
      </w:r>
      <w:r w:rsidR="00AB5CE1">
        <w:rPr>
          <w:rFonts w:cs="Segoe UI"/>
        </w:rPr>
        <w:t>-</w:t>
      </w:r>
      <w:r w:rsidRPr="005E4E64">
        <w:rPr>
          <w:rFonts w:cs="Segoe UI"/>
        </w:rPr>
        <w:t>up. Effects on broader clinical outcomes are mixed, which is exactly what makes this a compelling β</w:t>
      </w:r>
      <w:r w:rsidR="00AB5CE1">
        <w:rPr>
          <w:rFonts w:cs="Segoe UI"/>
        </w:rPr>
        <w:t>-</w:t>
      </w:r>
      <w:r w:rsidRPr="005E4E64">
        <w:rPr>
          <w:rFonts w:cs="Segoe UI"/>
        </w:rPr>
        <w:t>identifying context: average biological contrasts may be modest, while realized outcomes depend heavily on patient priorities, treatment burden, adherence, and tolerance for medication reduction. In that sense, multimorbidity deprescribing pathways align closely with complexity</w:t>
      </w:r>
      <w:r w:rsidR="00AB5CE1">
        <w:rPr>
          <w:rFonts w:cs="Segoe UI"/>
        </w:rPr>
        <w:t>-</w:t>
      </w:r>
      <w:r w:rsidRPr="005E4E64">
        <w:rPr>
          <w:rFonts w:cs="Segoe UI"/>
        </w:rPr>
        <w:t xml:space="preserve">drift logic and are plausible </w:t>
      </w:r>
      <w:r w:rsidRPr="000C30B3">
        <w:rPr>
          <w:rFonts w:cs="Segoe UI"/>
          <w:b/>
          <w:bCs/>
        </w:rPr>
        <w:t>B2/B4</w:t>
      </w:r>
      <w:r w:rsidRPr="005E4E64">
        <w:rPr>
          <w:rFonts w:cs="Segoe UI"/>
        </w:rPr>
        <w:t xml:space="preserve"> candidates, especially in </w:t>
      </w:r>
      <w:r w:rsidRPr="003B60A6">
        <w:rPr>
          <w:rFonts w:cs="Segoe UI"/>
        </w:rPr>
        <w:t>older, multimorbid, or multiply treated populations</w:t>
      </w:r>
      <w:r w:rsidRPr="005E4E64">
        <w:rPr>
          <w:rFonts w:cs="Segoe UI"/>
        </w:rPr>
        <w:t>.</w:t>
      </w:r>
      <w:r w:rsidRPr="005E4E64">
        <w:rPr>
          <w:rFonts w:cs="Segoe UI"/>
          <w:vertAlign w:val="superscript"/>
        </w:rPr>
        <w:t>S37,S38</w:t>
      </w:r>
      <w:r w:rsidRPr="005E4E64">
        <w:rPr>
          <w:rFonts w:cs="Segoe UI"/>
        </w:rPr>
        <w:t xml:space="preserve"> </w:t>
      </w:r>
    </w:p>
    <w:p w14:paraId="30898A41" w14:textId="2D9D0938" w:rsidR="00BF5DC4" w:rsidRPr="00ED4D0D" w:rsidRDefault="00BF5DC4" w:rsidP="00BF5DC4">
      <w:pPr>
        <w:pStyle w:val="NormalWeb"/>
        <w:spacing w:line="278" w:lineRule="auto"/>
        <w:rPr>
          <w:rFonts w:asciiTheme="minorHAnsi" w:hAnsiTheme="minorHAnsi" w:cs="Segoe UI"/>
        </w:rPr>
      </w:pPr>
      <w:r w:rsidRPr="00CF3D37">
        <w:rPr>
          <w:rFonts w:asciiTheme="minorHAnsi" w:hAnsiTheme="minorHAnsi" w:cs="Segoe UI"/>
        </w:rPr>
        <w:t>Taken together, these indications suggest that β</w:t>
      </w:r>
      <w:r w:rsidR="00AB5CE1">
        <w:rPr>
          <w:rFonts w:asciiTheme="minorHAnsi" w:hAnsiTheme="minorHAnsi" w:cs="Segoe UI"/>
        </w:rPr>
        <w:t>-</w:t>
      </w:r>
      <w:r w:rsidRPr="00CF3D37">
        <w:rPr>
          <w:rFonts w:asciiTheme="minorHAnsi" w:hAnsiTheme="minorHAnsi" w:cs="Segoe UI"/>
        </w:rPr>
        <w:t>identifying trials are most likely to be informative where choice is clinically real, uptake is behaviorally informative, and outcomes can be aligned on a common clinical scale. Some of these candidates already contain the structural elements needed for β</w:t>
      </w:r>
      <w:r w:rsidR="00AB5CE1">
        <w:rPr>
          <w:rFonts w:asciiTheme="minorHAnsi" w:hAnsiTheme="minorHAnsi" w:cs="Segoe UI"/>
        </w:rPr>
        <w:t>-</w:t>
      </w:r>
      <w:r w:rsidRPr="00CF3D37">
        <w:rPr>
          <w:rFonts w:asciiTheme="minorHAnsi" w:hAnsiTheme="minorHAnsi" w:cs="Segoe UI"/>
        </w:rPr>
        <w:t>identification; others remain priority settings for future β</w:t>
      </w:r>
      <w:r w:rsidR="00AB5CE1">
        <w:rPr>
          <w:rFonts w:asciiTheme="minorHAnsi" w:hAnsiTheme="minorHAnsi" w:cs="Segoe UI"/>
        </w:rPr>
        <w:t>-</w:t>
      </w:r>
      <w:r w:rsidRPr="00CF3D37">
        <w:rPr>
          <w:rFonts w:asciiTheme="minorHAnsi" w:hAnsiTheme="minorHAnsi" w:cs="Segoe UI"/>
        </w:rPr>
        <w:t>identifying design. Table S7 translates these structural features into practice by mapping representative indications to likely regimes, expected sources of β, and candidate β</w:t>
      </w:r>
      <w:r w:rsidR="00AB5CE1">
        <w:rPr>
          <w:rFonts w:asciiTheme="minorHAnsi" w:hAnsiTheme="minorHAnsi" w:cs="Segoe UI"/>
        </w:rPr>
        <w:t>-</w:t>
      </w:r>
      <w:r w:rsidRPr="00CF3D37">
        <w:rPr>
          <w:rFonts w:asciiTheme="minorHAnsi" w:hAnsiTheme="minorHAnsi" w:cs="Segoe UI"/>
        </w:rPr>
        <w:t>identifying designs. As this Supplement emphasizes an operational perspective, it is hoped that the methods outlined in the paper and elaborated here will begin to find practical application across these important areas of clinical medicine, and more broadly in other domains where preference</w:t>
      </w:r>
      <w:r w:rsidR="00AB5CE1">
        <w:rPr>
          <w:rFonts w:asciiTheme="minorHAnsi" w:hAnsiTheme="minorHAnsi" w:cs="Segoe UI"/>
        </w:rPr>
        <w:t>-</w:t>
      </w:r>
      <w:r w:rsidRPr="00CF3D37">
        <w:rPr>
          <w:rFonts w:asciiTheme="minorHAnsi" w:hAnsiTheme="minorHAnsi" w:cs="Segoe UI"/>
        </w:rPr>
        <w:t>sensitive decisions shape observed outcomes.</w:t>
      </w:r>
    </w:p>
    <w:p w14:paraId="2789ACA4" w14:textId="77777777" w:rsidR="00BF5DC4" w:rsidRDefault="00BF5DC4" w:rsidP="00BF5DC4"/>
    <w:p w14:paraId="67B0DEED" w14:textId="77777777" w:rsidR="00BF5DC4" w:rsidRDefault="00BF5DC4" w:rsidP="00BF5DC4"/>
    <w:p w14:paraId="076511A7" w14:textId="5DCB6A1D" w:rsidR="00BF5DC4" w:rsidRDefault="00BF5DC4" w:rsidP="00BF5DC4">
      <w:pPr>
        <w:pStyle w:val="FigureTitle"/>
      </w:pPr>
      <w:r w:rsidRPr="001F55FF">
        <w:rPr>
          <w:b/>
          <w:bCs/>
        </w:rPr>
        <w:lastRenderedPageBreak/>
        <w:t>Table</w:t>
      </w:r>
      <w:r w:rsidRPr="001F55FF">
        <w:rPr>
          <w:rFonts w:ascii="Arial" w:hAnsi="Arial" w:cs="Arial"/>
          <w:b/>
          <w:bCs/>
        </w:rPr>
        <w:t> </w:t>
      </w:r>
      <w:r>
        <w:rPr>
          <w:rFonts w:ascii="Arial" w:hAnsi="Arial" w:cs="Arial"/>
          <w:b/>
          <w:bCs/>
        </w:rPr>
        <w:t>S7</w:t>
      </w:r>
      <w:r w:rsidRPr="001F55FF">
        <w:t xml:space="preserve">. </w:t>
      </w:r>
      <w:r w:rsidRPr="00791E44">
        <w:t>Candidate β</w:t>
      </w:r>
      <w:r w:rsidR="00AB5CE1">
        <w:t>-</w:t>
      </w:r>
      <w:r>
        <w:t>I</w:t>
      </w:r>
      <w:r w:rsidRPr="00791E44">
        <w:t>dentification</w:t>
      </w:r>
      <w:r w:rsidR="00AB5CE1">
        <w:t>-</w:t>
      </w:r>
      <w:r>
        <w:t>R</w:t>
      </w:r>
      <w:r w:rsidRPr="00791E44">
        <w:t xml:space="preserve">eady </w:t>
      </w:r>
      <w:r>
        <w:t>I</w:t>
      </w:r>
      <w:r w:rsidRPr="00791E44">
        <w:t xml:space="preserve">ndications and </w:t>
      </w:r>
      <w:r>
        <w:t>L</w:t>
      </w:r>
      <w:r w:rsidRPr="00791E44">
        <w:t xml:space="preserve">ikely </w:t>
      </w:r>
      <w:r>
        <w:t>D</w:t>
      </w:r>
      <w:r w:rsidRPr="00791E44">
        <w:t xml:space="preserve">esign </w:t>
      </w:r>
      <w:r>
        <w:t>M</w:t>
      </w:r>
      <w:r w:rsidRPr="00791E44">
        <w:t>atch</w:t>
      </w:r>
    </w:p>
    <w:tbl>
      <w:tblPr>
        <w:tblStyle w:val="TableGrid"/>
        <w:tblW w:w="9350" w:type="dxa"/>
        <w:jc w:val="center"/>
        <w:tblLayout w:type="fixed"/>
        <w:tblCellMar>
          <w:left w:w="0" w:type="dxa"/>
          <w:right w:w="0" w:type="dxa"/>
        </w:tblCellMar>
        <w:tblLook w:val="04A0" w:firstRow="1" w:lastRow="0" w:firstColumn="1" w:lastColumn="0" w:noHBand="0" w:noVBand="1"/>
      </w:tblPr>
      <w:tblGrid>
        <w:gridCol w:w="2512"/>
        <w:gridCol w:w="2160"/>
        <w:gridCol w:w="1440"/>
        <w:gridCol w:w="1530"/>
        <w:gridCol w:w="1708"/>
      </w:tblGrid>
      <w:tr w:rsidR="00BF5DC4" w:rsidRPr="003D55D6" w14:paraId="3F68C6F3" w14:textId="77777777" w:rsidTr="00BF5DC4">
        <w:trPr>
          <w:jc w:val="center"/>
        </w:trPr>
        <w:tc>
          <w:tcPr>
            <w:tcW w:w="2512" w:type="dxa"/>
            <w:tcBorders>
              <w:top w:val="nil"/>
              <w:left w:val="nil"/>
              <w:bottom w:val="single" w:sz="36" w:space="0" w:color="A6A6A6" w:themeColor="background1" w:themeShade="A6"/>
              <w:right w:val="single" w:sz="4" w:space="0" w:color="BFBFBF" w:themeColor="background1" w:themeShade="BF"/>
            </w:tcBorders>
            <w:vAlign w:val="center"/>
          </w:tcPr>
          <w:p w14:paraId="4B62E831" w14:textId="77777777" w:rsidR="00BF5DC4" w:rsidRPr="003D55D6" w:rsidRDefault="00BF5DC4" w:rsidP="00430B63">
            <w:pPr>
              <w:keepNext/>
              <w:keepLines/>
              <w:spacing w:before="80" w:after="80"/>
              <w:ind w:left="72" w:rightChars="72" w:right="173"/>
              <w:rPr>
                <w:rFonts w:eastAsia="Times New Roman" w:cs="Segoe UI"/>
                <w:b/>
                <w:bCs/>
                <w:kern w:val="0"/>
                <w:sz w:val="20"/>
                <w:szCs w:val="20"/>
                <w14:ligatures w14:val="none"/>
              </w:rPr>
            </w:pPr>
          </w:p>
        </w:tc>
        <w:tc>
          <w:tcPr>
            <w:tcW w:w="2160" w:type="dxa"/>
            <w:tcBorders>
              <w:top w:val="single" w:sz="4" w:space="0" w:color="BFBFBF" w:themeColor="background1" w:themeShade="BF"/>
              <w:left w:val="single" w:sz="4" w:space="0" w:color="BFBFBF" w:themeColor="background1" w:themeShade="BF"/>
              <w:bottom w:val="single" w:sz="36" w:space="0" w:color="A6A6A6" w:themeColor="background1" w:themeShade="A6"/>
              <w:right w:val="single" w:sz="4" w:space="0" w:color="A6A6A6" w:themeColor="background1" w:themeShade="A6"/>
            </w:tcBorders>
            <w:shd w:val="clear" w:color="auto" w:fill="F2F2F2" w:themeFill="background1" w:themeFillShade="F2"/>
            <w:vAlign w:val="bottom"/>
          </w:tcPr>
          <w:p w14:paraId="2C72864E" w14:textId="77777777" w:rsidR="00BF5DC4" w:rsidRPr="003D55D6" w:rsidRDefault="00BF5DC4" w:rsidP="00430B63">
            <w:pPr>
              <w:keepNext/>
              <w:keepLines/>
              <w:spacing w:before="80" w:after="80"/>
              <w:ind w:left="72" w:rightChars="5" w:right="12"/>
              <w:jc w:val="center"/>
              <w:rPr>
                <w:rFonts w:eastAsia="Times New Roman" w:cs="Segoe UI"/>
                <w:b/>
                <w:bCs/>
                <w:kern w:val="0"/>
                <w:sz w:val="22"/>
                <w:szCs w:val="22"/>
                <w14:ligatures w14:val="none"/>
              </w:rPr>
            </w:pPr>
            <w:r w:rsidRPr="003D55D6">
              <w:rPr>
                <w:rFonts w:eastAsia="Times New Roman" w:cs="Segoe UI"/>
                <w:b/>
                <w:bCs/>
                <w:kern w:val="0"/>
                <w:sz w:val="22"/>
                <w:szCs w:val="22"/>
                <w14:ligatures w14:val="none"/>
              </w:rPr>
              <w:t xml:space="preserve">Why β is </w:t>
            </w:r>
            <w:r>
              <w:rPr>
                <w:rFonts w:eastAsia="Times New Roman" w:cs="Segoe UI"/>
                <w:b/>
                <w:bCs/>
                <w:kern w:val="0"/>
                <w:sz w:val="22"/>
                <w:szCs w:val="22"/>
                <w14:ligatures w14:val="none"/>
              </w:rPr>
              <w:br/>
            </w:r>
            <w:r w:rsidRPr="003D55D6">
              <w:rPr>
                <w:rFonts w:eastAsia="Times New Roman" w:cs="Segoe UI"/>
                <w:b/>
                <w:bCs/>
                <w:kern w:val="0"/>
                <w:sz w:val="22"/>
                <w:szCs w:val="22"/>
                <w14:ligatures w14:val="none"/>
              </w:rPr>
              <w:t>likely material</w:t>
            </w:r>
          </w:p>
        </w:tc>
        <w:tc>
          <w:tcPr>
            <w:tcW w:w="1440" w:type="dxa"/>
            <w:tcBorders>
              <w:top w:val="single" w:sz="4" w:space="0" w:color="BFBFBF" w:themeColor="background1" w:themeShade="BF"/>
              <w:left w:val="single" w:sz="4" w:space="0" w:color="A6A6A6" w:themeColor="background1" w:themeShade="A6"/>
              <w:bottom w:val="single" w:sz="36" w:space="0" w:color="A6A6A6" w:themeColor="background1" w:themeShade="A6"/>
              <w:right w:val="single" w:sz="4" w:space="0" w:color="A6A6A6" w:themeColor="background1" w:themeShade="A6"/>
            </w:tcBorders>
            <w:shd w:val="clear" w:color="auto" w:fill="F2F2F2" w:themeFill="background1" w:themeFillShade="F2"/>
            <w:vAlign w:val="bottom"/>
          </w:tcPr>
          <w:p w14:paraId="40972465" w14:textId="77777777" w:rsidR="00BF5DC4" w:rsidRPr="003D55D6" w:rsidRDefault="00BF5DC4" w:rsidP="00430B63">
            <w:pPr>
              <w:keepNext/>
              <w:keepLines/>
              <w:spacing w:before="80" w:after="80"/>
              <w:ind w:left="72" w:rightChars="5" w:right="12"/>
              <w:jc w:val="center"/>
              <w:rPr>
                <w:rFonts w:eastAsia="Times New Roman" w:cs="Segoe UI"/>
                <w:b/>
                <w:bCs/>
                <w:kern w:val="0"/>
                <w:sz w:val="22"/>
                <w:szCs w:val="22"/>
                <w14:ligatures w14:val="none"/>
              </w:rPr>
            </w:pPr>
            <w:r w:rsidRPr="00E065A5">
              <w:rPr>
                <w:rFonts w:eastAsia="Times New Roman" w:cs="Segoe UI"/>
                <w:b/>
                <w:bCs/>
                <w:kern w:val="0"/>
                <w:sz w:val="22"/>
                <w:szCs w:val="22"/>
                <w14:ligatures w14:val="none"/>
              </w:rPr>
              <w:t xml:space="preserve">Likely </w:t>
            </w:r>
            <w:r>
              <w:rPr>
                <w:rFonts w:eastAsia="Times New Roman" w:cs="Segoe UI"/>
                <w:b/>
                <w:bCs/>
                <w:kern w:val="0"/>
                <w:sz w:val="22"/>
                <w:szCs w:val="22"/>
                <w14:ligatures w14:val="none"/>
              </w:rPr>
              <w:br/>
            </w:r>
            <w:r w:rsidRPr="00E065A5">
              <w:rPr>
                <w:rFonts w:eastAsia="Times New Roman" w:cs="Segoe UI"/>
                <w:b/>
                <w:bCs/>
                <w:kern w:val="0"/>
                <w:sz w:val="22"/>
                <w:szCs w:val="22"/>
                <w14:ligatures w14:val="none"/>
              </w:rPr>
              <w:t>regime (B)</w:t>
            </w:r>
          </w:p>
        </w:tc>
        <w:tc>
          <w:tcPr>
            <w:tcW w:w="1530" w:type="dxa"/>
            <w:tcBorders>
              <w:top w:val="single" w:sz="4" w:space="0" w:color="BFBFBF" w:themeColor="background1" w:themeShade="BF"/>
              <w:left w:val="single" w:sz="4" w:space="0" w:color="A6A6A6" w:themeColor="background1" w:themeShade="A6"/>
              <w:bottom w:val="single" w:sz="36" w:space="0" w:color="A6A6A6" w:themeColor="background1" w:themeShade="A6"/>
              <w:right w:val="single" w:sz="4" w:space="0" w:color="A6A6A6" w:themeColor="background1" w:themeShade="A6"/>
            </w:tcBorders>
            <w:shd w:val="clear" w:color="auto" w:fill="F2F2F2" w:themeFill="background1" w:themeFillShade="F2"/>
            <w:vAlign w:val="bottom"/>
          </w:tcPr>
          <w:p w14:paraId="015C0A2A" w14:textId="6A592385" w:rsidR="00BF5DC4" w:rsidRPr="003D55D6" w:rsidRDefault="00BF5DC4" w:rsidP="00430B63">
            <w:pPr>
              <w:keepNext/>
              <w:keepLines/>
              <w:spacing w:before="80" w:after="80"/>
              <w:ind w:left="72" w:rightChars="5" w:right="12"/>
              <w:jc w:val="center"/>
              <w:rPr>
                <w:rFonts w:eastAsia="Times New Roman" w:cs="Segoe UI"/>
                <w:b/>
                <w:bCs/>
                <w:kern w:val="0"/>
                <w:sz w:val="22"/>
                <w:szCs w:val="22"/>
                <w14:ligatures w14:val="none"/>
              </w:rPr>
            </w:pPr>
            <w:r w:rsidRPr="003D55D6">
              <w:rPr>
                <w:rFonts w:eastAsia="Times New Roman" w:cs="Segoe UI"/>
                <w:b/>
                <w:bCs/>
                <w:kern w:val="0"/>
                <w:sz w:val="22"/>
                <w:szCs w:val="22"/>
                <w14:ligatures w14:val="none"/>
              </w:rPr>
              <w:t xml:space="preserve">Ideal </w:t>
            </w:r>
            <w:r>
              <w:rPr>
                <w:rFonts w:eastAsia="Times New Roman" w:cs="Segoe UI"/>
                <w:b/>
                <w:bCs/>
                <w:kern w:val="0"/>
                <w:sz w:val="22"/>
                <w:szCs w:val="22"/>
                <w14:ligatures w14:val="none"/>
              </w:rPr>
              <w:br/>
            </w:r>
            <w:r w:rsidRPr="003D55D6">
              <w:rPr>
                <w:rFonts w:eastAsia="Times New Roman" w:cs="Segoe UI"/>
                <w:b/>
                <w:bCs/>
                <w:kern w:val="0"/>
                <w:sz w:val="22"/>
                <w:szCs w:val="22"/>
                <w14:ligatures w14:val="none"/>
              </w:rPr>
              <w:t>β</w:t>
            </w:r>
            <w:r w:rsidR="00AB5CE1">
              <w:rPr>
                <w:rFonts w:eastAsia="Times New Roman" w:cs="Segoe UI"/>
                <w:b/>
                <w:bCs/>
                <w:kern w:val="0"/>
                <w:sz w:val="22"/>
                <w:szCs w:val="22"/>
                <w14:ligatures w14:val="none"/>
              </w:rPr>
              <w:t>-</w:t>
            </w:r>
            <w:r w:rsidRPr="003D55D6">
              <w:rPr>
                <w:rFonts w:eastAsia="Times New Roman" w:cs="Segoe UI"/>
                <w:b/>
                <w:bCs/>
                <w:kern w:val="0"/>
                <w:sz w:val="22"/>
                <w:szCs w:val="22"/>
                <w14:ligatures w14:val="none"/>
              </w:rPr>
              <w:t>identifying design</w:t>
            </w:r>
          </w:p>
        </w:tc>
        <w:tc>
          <w:tcPr>
            <w:tcW w:w="1708" w:type="dxa"/>
            <w:tcBorders>
              <w:top w:val="single" w:sz="4" w:space="0" w:color="BFBFBF" w:themeColor="background1" w:themeShade="BF"/>
              <w:left w:val="single" w:sz="4" w:space="0" w:color="A6A6A6" w:themeColor="background1" w:themeShade="A6"/>
              <w:bottom w:val="single" w:sz="36" w:space="0" w:color="A6A6A6" w:themeColor="background1" w:themeShade="A6"/>
              <w:right w:val="single" w:sz="4" w:space="0" w:color="BFBFBF" w:themeColor="background1" w:themeShade="BF"/>
            </w:tcBorders>
            <w:shd w:val="clear" w:color="auto" w:fill="F2F2F2" w:themeFill="background1" w:themeFillShade="F2"/>
            <w:vAlign w:val="bottom"/>
          </w:tcPr>
          <w:p w14:paraId="42FEAE12" w14:textId="77777777" w:rsidR="00BF5DC4" w:rsidRPr="003D55D6" w:rsidRDefault="00BF5DC4" w:rsidP="00430B63">
            <w:pPr>
              <w:keepNext/>
              <w:keepLines/>
              <w:spacing w:before="80" w:after="80"/>
              <w:ind w:left="72" w:rightChars="5" w:right="12"/>
              <w:jc w:val="center"/>
              <w:rPr>
                <w:rFonts w:eastAsia="Times New Roman" w:cs="Segoe UI"/>
                <w:b/>
                <w:bCs/>
                <w:kern w:val="0"/>
                <w:sz w:val="22"/>
                <w:szCs w:val="22"/>
                <w14:ligatures w14:val="none"/>
              </w:rPr>
            </w:pPr>
            <w:r w:rsidRPr="003D55D6">
              <w:rPr>
                <w:rFonts w:eastAsia="Times New Roman" w:cs="Segoe UI"/>
                <w:b/>
                <w:bCs/>
                <w:kern w:val="0"/>
                <w:sz w:val="22"/>
                <w:szCs w:val="22"/>
                <w14:ligatures w14:val="none"/>
              </w:rPr>
              <w:t>Notes</w:t>
            </w:r>
          </w:p>
        </w:tc>
      </w:tr>
      <w:tr w:rsidR="00BF5DC4" w:rsidRPr="003D55D6" w14:paraId="5C7199D3" w14:textId="77777777" w:rsidTr="00BF5DC4">
        <w:trPr>
          <w:jc w:val="center"/>
        </w:trPr>
        <w:tc>
          <w:tcPr>
            <w:tcW w:w="2512" w:type="dxa"/>
            <w:tcBorders>
              <w:top w:val="single" w:sz="36" w:space="0" w:color="A6A6A6" w:themeColor="background1" w:themeShade="A6"/>
              <w:left w:val="single" w:sz="4" w:space="0" w:color="BFBFBF" w:themeColor="background1" w:themeShade="BF"/>
              <w:bottom w:val="single" w:sz="4" w:space="0" w:color="A6A6A6" w:themeColor="background1" w:themeShade="A6"/>
              <w:right w:val="single" w:sz="4" w:space="0" w:color="BFBFBF" w:themeColor="background1" w:themeShade="BF"/>
            </w:tcBorders>
            <w:shd w:val="clear" w:color="auto" w:fill="F2F2F2" w:themeFill="background1" w:themeFillShade="F2"/>
            <w:vAlign w:val="center"/>
          </w:tcPr>
          <w:p w14:paraId="31A5387D" w14:textId="77777777" w:rsidR="00BF5DC4" w:rsidRPr="003D55D6" w:rsidRDefault="00BF5DC4" w:rsidP="00430B63">
            <w:pPr>
              <w:keepNext/>
              <w:keepLines/>
              <w:spacing w:before="100" w:after="100"/>
              <w:ind w:left="72" w:rightChars="5" w:right="12"/>
              <w:jc w:val="center"/>
              <w:rPr>
                <w:rFonts w:eastAsia="Times New Roman" w:cs="Segoe UI"/>
                <w:b/>
                <w:bCs/>
                <w:kern w:val="0"/>
                <w:sz w:val="18"/>
                <w:szCs w:val="18"/>
                <w14:ligatures w14:val="none"/>
              </w:rPr>
            </w:pPr>
            <w:r w:rsidRPr="003D55D6">
              <w:rPr>
                <w:rFonts w:eastAsia="Times New Roman" w:cs="Segoe UI"/>
                <w:b/>
                <w:bCs/>
                <w:kern w:val="0"/>
                <w:sz w:val="18"/>
                <w:szCs w:val="18"/>
                <w14:ligatures w14:val="none"/>
              </w:rPr>
              <w:t xml:space="preserve">Lumbar disc herniation: </w:t>
            </w:r>
            <w:r w:rsidRPr="003D55D6">
              <w:rPr>
                <w:rFonts w:eastAsia="Times New Roman" w:cs="Segoe UI"/>
                <w:kern w:val="0"/>
                <w:sz w:val="16"/>
                <w:szCs w:val="16"/>
                <w14:ligatures w14:val="none"/>
              </w:rPr>
              <w:t>surgery vs nonoperative care</w:t>
            </w:r>
          </w:p>
        </w:tc>
        <w:tc>
          <w:tcPr>
            <w:tcW w:w="2160" w:type="dxa"/>
            <w:tcBorders>
              <w:top w:val="single" w:sz="36" w:space="0" w:color="A6A6A6" w:themeColor="background1" w:themeShade="A6"/>
              <w:left w:val="single" w:sz="4" w:space="0" w:color="BFBFBF" w:themeColor="background1" w:themeShade="BF"/>
              <w:bottom w:val="single" w:sz="4" w:space="0" w:color="D9D9D9" w:themeColor="background1" w:themeShade="D9"/>
              <w:right w:val="single" w:sz="4" w:space="0" w:color="D9D9D9" w:themeColor="background1" w:themeShade="D9"/>
            </w:tcBorders>
            <w:vAlign w:val="center"/>
          </w:tcPr>
          <w:p w14:paraId="2A74CF94" w14:textId="44EE349C" w:rsidR="00BF5DC4" w:rsidRPr="003D55D6" w:rsidRDefault="00BF5DC4" w:rsidP="00430B63">
            <w:pPr>
              <w:keepNext/>
              <w:keepLines/>
              <w:spacing w:before="80" w:after="80"/>
              <w:ind w:left="86" w:right="86"/>
              <w:jc w:val="center"/>
              <w:rPr>
                <w:rFonts w:ascii="Aptos Narrow" w:eastAsia="Times New Roman" w:hAnsi="Aptos Narrow" w:cs="Segoe UI"/>
                <w:kern w:val="0"/>
                <w:sz w:val="16"/>
                <w:szCs w:val="16"/>
                <w14:ligatures w14:val="none"/>
              </w:rPr>
            </w:pPr>
            <w:r w:rsidRPr="00ED2420">
              <w:rPr>
                <w:rFonts w:ascii="Aptos Narrow" w:hAnsi="Aptos Narrow"/>
                <w:sz w:val="16"/>
                <w:szCs w:val="16"/>
              </w:rPr>
              <w:t>Strong agency, substantial switching, common</w:t>
            </w:r>
            <w:r w:rsidR="00AB5CE1">
              <w:rPr>
                <w:rFonts w:ascii="Aptos Narrow" w:hAnsi="Aptos Narrow"/>
                <w:sz w:val="16"/>
                <w:szCs w:val="16"/>
              </w:rPr>
              <w:t>-</w:t>
            </w:r>
            <w:r w:rsidRPr="00ED2420">
              <w:rPr>
                <w:rFonts w:ascii="Aptos Narrow" w:hAnsi="Aptos Narrow"/>
                <w:sz w:val="16"/>
                <w:szCs w:val="16"/>
              </w:rPr>
              <w:t>scale function</w:t>
            </w:r>
          </w:p>
        </w:tc>
        <w:tc>
          <w:tcPr>
            <w:tcW w:w="1440" w:type="dxa"/>
            <w:tcBorders>
              <w:top w:val="single" w:sz="36" w:space="0" w:color="A6A6A6" w:themeColor="background1" w:themeShade="A6"/>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5E4C3522" w14:textId="1F505944" w:rsidR="00BF5DC4" w:rsidRPr="00B87611" w:rsidRDefault="00BF5DC4" w:rsidP="00430B63">
            <w:pPr>
              <w:keepNext/>
              <w:keepLines/>
              <w:spacing w:before="80" w:after="80"/>
              <w:ind w:left="86" w:right="86"/>
              <w:jc w:val="center"/>
              <w:rPr>
                <w:rFonts w:ascii="Aptos Narrow" w:eastAsia="Times New Roman" w:hAnsi="Aptos Narrow" w:cs="Segoe UI"/>
                <w:b/>
                <w:bCs/>
                <w:kern w:val="0"/>
                <w:sz w:val="20"/>
                <w:szCs w:val="20"/>
                <w14:ligatures w14:val="none"/>
              </w:rPr>
            </w:pPr>
            <w:r w:rsidRPr="00B87611">
              <w:rPr>
                <w:b/>
                <w:bCs/>
                <w:sz w:val="20"/>
                <w:szCs w:val="20"/>
              </w:rPr>
              <w:t>B2</w:t>
            </w:r>
            <w:r>
              <w:rPr>
                <w:b/>
                <w:bCs/>
                <w:sz w:val="20"/>
                <w:szCs w:val="20"/>
              </w:rPr>
              <w:t xml:space="preserve"> </w:t>
            </w:r>
            <w:r w:rsidRPr="00B87611">
              <w:rPr>
                <w:rFonts w:ascii="Aptos Narrow" w:hAnsi="Aptos Narrow"/>
                <w:sz w:val="18"/>
                <w:szCs w:val="18"/>
              </w:rPr>
              <w:t>(mixed)</w:t>
            </w:r>
            <w:r w:rsidRPr="00B87611">
              <w:rPr>
                <w:b/>
                <w:bCs/>
                <w:sz w:val="20"/>
                <w:szCs w:val="20"/>
              </w:rPr>
              <w:t xml:space="preserve"> / </w:t>
            </w:r>
            <w:r>
              <w:rPr>
                <w:b/>
                <w:bCs/>
                <w:sz w:val="20"/>
                <w:szCs w:val="20"/>
              </w:rPr>
              <w:br/>
            </w:r>
            <w:r w:rsidRPr="00B87611">
              <w:rPr>
                <w:b/>
                <w:bCs/>
                <w:sz w:val="20"/>
                <w:szCs w:val="20"/>
              </w:rPr>
              <w:t>B4</w:t>
            </w:r>
            <w:r>
              <w:rPr>
                <w:b/>
                <w:bCs/>
                <w:sz w:val="20"/>
                <w:szCs w:val="20"/>
              </w:rPr>
              <w:t xml:space="preserve"> </w:t>
            </w:r>
            <w:r w:rsidRPr="00B87611">
              <w:rPr>
                <w:rFonts w:ascii="Aptos Narrow" w:hAnsi="Aptos Narrow"/>
                <w:sz w:val="18"/>
                <w:szCs w:val="18"/>
              </w:rPr>
              <w:t>(β</w:t>
            </w:r>
            <w:r w:rsidR="00AB5CE1">
              <w:rPr>
                <w:rFonts w:ascii="Aptos Narrow" w:hAnsi="Aptos Narrow"/>
                <w:sz w:val="18"/>
                <w:szCs w:val="18"/>
              </w:rPr>
              <w:t>-</w:t>
            </w:r>
            <w:r w:rsidRPr="00B87611">
              <w:rPr>
                <w:rFonts w:ascii="Aptos Narrow" w:hAnsi="Aptos Narrow"/>
                <w:sz w:val="18"/>
                <w:szCs w:val="18"/>
              </w:rPr>
              <w:t>dominant)</w:t>
            </w:r>
          </w:p>
        </w:tc>
        <w:tc>
          <w:tcPr>
            <w:tcW w:w="1530" w:type="dxa"/>
            <w:tcBorders>
              <w:top w:val="single" w:sz="36" w:space="0" w:color="A6A6A6" w:themeColor="background1" w:themeShade="A6"/>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2C9F476C" w14:textId="26F637A9" w:rsidR="00BF5DC4" w:rsidRPr="00B87611" w:rsidRDefault="00BF5DC4" w:rsidP="00430B63">
            <w:pPr>
              <w:keepNext/>
              <w:keepLines/>
              <w:spacing w:before="80" w:after="80"/>
              <w:ind w:left="86" w:right="86"/>
              <w:jc w:val="center"/>
              <w:rPr>
                <w:rFonts w:ascii="Aptos Narrow" w:hAnsi="Aptos Narrow"/>
                <w:sz w:val="16"/>
                <w:szCs w:val="16"/>
              </w:rPr>
            </w:pPr>
            <w:r w:rsidRPr="00B87611">
              <w:rPr>
                <w:rFonts w:ascii="Aptos Narrow" w:hAnsi="Aptos Narrow"/>
                <w:sz w:val="16"/>
                <w:szCs w:val="16"/>
              </w:rPr>
              <w:t>SPORT</w:t>
            </w:r>
            <w:r w:rsidR="00AB5CE1">
              <w:rPr>
                <w:rFonts w:ascii="Aptos Narrow" w:hAnsi="Aptos Narrow"/>
                <w:sz w:val="16"/>
                <w:szCs w:val="16"/>
              </w:rPr>
              <w:t>-</w:t>
            </w:r>
            <w:r w:rsidRPr="00B87611">
              <w:rPr>
                <w:rFonts w:ascii="Aptos Narrow" w:hAnsi="Aptos Narrow"/>
                <w:sz w:val="16"/>
                <w:szCs w:val="16"/>
              </w:rPr>
              <w:t>class hybrid design</w:t>
            </w:r>
          </w:p>
        </w:tc>
        <w:tc>
          <w:tcPr>
            <w:tcW w:w="1708" w:type="dxa"/>
            <w:tcBorders>
              <w:top w:val="single" w:sz="36" w:space="0" w:color="A6A6A6" w:themeColor="background1" w:themeShade="A6"/>
              <w:left w:val="single" w:sz="4" w:space="0" w:color="D9D9D9" w:themeColor="background1" w:themeShade="D9"/>
              <w:bottom w:val="single" w:sz="4" w:space="0" w:color="D9D9D9" w:themeColor="background1" w:themeShade="D9"/>
              <w:right w:val="single" w:sz="4" w:space="0" w:color="BFBFBF" w:themeColor="background1" w:themeShade="BF"/>
            </w:tcBorders>
            <w:vAlign w:val="center"/>
          </w:tcPr>
          <w:p w14:paraId="7583CD8D" w14:textId="77777777" w:rsidR="00BF5DC4" w:rsidRPr="003D55D6" w:rsidRDefault="00BF5DC4" w:rsidP="00430B63">
            <w:pPr>
              <w:keepNext/>
              <w:keepLines/>
              <w:spacing w:before="80" w:after="80"/>
              <w:ind w:left="86" w:right="86"/>
              <w:jc w:val="center"/>
              <w:rPr>
                <w:rFonts w:ascii="Aptos Narrow" w:eastAsia="Times New Roman" w:hAnsi="Aptos Narrow" w:cs="Segoe UI"/>
                <w:kern w:val="0"/>
                <w:sz w:val="16"/>
                <w:szCs w:val="16"/>
                <w14:ligatures w14:val="none"/>
              </w:rPr>
            </w:pPr>
            <w:r w:rsidRPr="00ED2420">
              <w:rPr>
                <w:rFonts w:ascii="Arial Narrow" w:hAnsi="Arial Narrow"/>
                <w:sz w:val="16"/>
                <w:szCs w:val="16"/>
              </w:rPr>
              <w:t>Canonical transitional exemplar</w:t>
            </w:r>
          </w:p>
        </w:tc>
      </w:tr>
      <w:tr w:rsidR="00BF5DC4" w:rsidRPr="003D55D6" w14:paraId="06C4EE91" w14:textId="77777777" w:rsidTr="00BF5DC4">
        <w:trPr>
          <w:jc w:val="center"/>
        </w:trPr>
        <w:tc>
          <w:tcPr>
            <w:tcW w:w="2512" w:type="dxa"/>
            <w:tcBorders>
              <w:top w:val="single" w:sz="4" w:space="0" w:color="A6A6A6" w:themeColor="background1" w:themeShade="A6"/>
              <w:left w:val="single" w:sz="4" w:space="0" w:color="BFBFBF" w:themeColor="background1" w:themeShade="BF"/>
              <w:bottom w:val="single" w:sz="4" w:space="0" w:color="A6A6A6" w:themeColor="background1" w:themeShade="A6"/>
              <w:right w:val="single" w:sz="4" w:space="0" w:color="BFBFBF" w:themeColor="background1" w:themeShade="BF"/>
            </w:tcBorders>
            <w:shd w:val="clear" w:color="auto" w:fill="F2F2F2" w:themeFill="background1" w:themeFillShade="F2"/>
            <w:vAlign w:val="center"/>
          </w:tcPr>
          <w:p w14:paraId="0D271A62" w14:textId="77777777" w:rsidR="00BF5DC4" w:rsidRPr="003D55D6" w:rsidRDefault="00BF5DC4" w:rsidP="00430B63">
            <w:pPr>
              <w:keepNext/>
              <w:keepLines/>
              <w:spacing w:before="100" w:after="100"/>
              <w:ind w:left="72" w:rightChars="5" w:right="12"/>
              <w:jc w:val="center"/>
              <w:rPr>
                <w:rFonts w:eastAsia="Times New Roman" w:cs="Segoe UI"/>
                <w:b/>
                <w:bCs/>
                <w:kern w:val="0"/>
                <w:sz w:val="18"/>
                <w:szCs w:val="18"/>
                <w14:ligatures w14:val="none"/>
              </w:rPr>
            </w:pPr>
            <w:r w:rsidRPr="003D55D6">
              <w:rPr>
                <w:rFonts w:eastAsia="Times New Roman" w:cs="Segoe UI"/>
                <w:b/>
                <w:bCs/>
                <w:kern w:val="0"/>
                <w:sz w:val="18"/>
                <w:szCs w:val="18"/>
                <w14:ligatures w14:val="none"/>
              </w:rPr>
              <w:t xml:space="preserve">Localized prostate cancer: </w:t>
            </w:r>
            <w:r w:rsidRPr="003D55D6">
              <w:rPr>
                <w:rFonts w:eastAsia="Times New Roman" w:cs="Segoe UI"/>
                <w:kern w:val="0"/>
                <w:sz w:val="16"/>
                <w:szCs w:val="16"/>
                <w14:ligatures w14:val="none"/>
              </w:rPr>
              <w:t>surveillance vs surgery vs radiotherapy</w:t>
            </w:r>
          </w:p>
        </w:tc>
        <w:tc>
          <w:tcPr>
            <w:tcW w:w="2160" w:type="dxa"/>
            <w:tcBorders>
              <w:top w:val="single" w:sz="4" w:space="0" w:color="D9D9D9" w:themeColor="background1" w:themeShade="D9"/>
              <w:left w:val="single" w:sz="4" w:space="0" w:color="BFBFBF" w:themeColor="background1" w:themeShade="BF"/>
              <w:bottom w:val="single" w:sz="4" w:space="0" w:color="D9D9D9" w:themeColor="background1" w:themeShade="D9"/>
              <w:right w:val="single" w:sz="4" w:space="0" w:color="D9D9D9" w:themeColor="background1" w:themeShade="D9"/>
            </w:tcBorders>
            <w:vAlign w:val="center"/>
          </w:tcPr>
          <w:p w14:paraId="302BD634" w14:textId="6C3B18E5" w:rsidR="00BF5DC4" w:rsidRPr="003D55D6" w:rsidRDefault="00BF5DC4" w:rsidP="00430B63">
            <w:pPr>
              <w:keepNext/>
              <w:keepLines/>
              <w:spacing w:before="80" w:after="80"/>
              <w:ind w:left="86" w:right="86"/>
              <w:jc w:val="center"/>
              <w:rPr>
                <w:rFonts w:ascii="Aptos Narrow" w:eastAsia="Times New Roman" w:hAnsi="Aptos Narrow" w:cs="Segoe UI"/>
                <w:kern w:val="0"/>
                <w:sz w:val="16"/>
                <w:szCs w:val="16"/>
                <w14:ligatures w14:val="none"/>
              </w:rPr>
            </w:pPr>
            <w:r w:rsidRPr="00ED2420">
              <w:rPr>
                <w:rFonts w:ascii="Aptos Narrow" w:hAnsi="Aptos Narrow"/>
                <w:sz w:val="16"/>
                <w:szCs w:val="16"/>
              </w:rPr>
              <w:t>Competing options, long</w:t>
            </w:r>
            <w:r w:rsidR="00AB5CE1">
              <w:rPr>
                <w:rFonts w:ascii="Aptos Narrow" w:hAnsi="Aptos Narrow"/>
                <w:sz w:val="16"/>
                <w:szCs w:val="16"/>
              </w:rPr>
              <w:t>-</w:t>
            </w:r>
            <w:r w:rsidRPr="00ED2420">
              <w:rPr>
                <w:rFonts w:ascii="Aptos Narrow" w:hAnsi="Aptos Narrow"/>
                <w:sz w:val="16"/>
                <w:szCs w:val="16"/>
              </w:rPr>
              <w:t>horizon trade</w:t>
            </w:r>
            <w:r w:rsidR="00AB5CE1">
              <w:rPr>
                <w:rFonts w:ascii="Aptos Narrow" w:hAnsi="Aptos Narrow"/>
                <w:sz w:val="16"/>
                <w:szCs w:val="16"/>
              </w:rPr>
              <w:t>-</w:t>
            </w:r>
            <w:r w:rsidRPr="00ED2420">
              <w:rPr>
                <w:rFonts w:ascii="Aptos Narrow" w:hAnsi="Aptos Narrow"/>
                <w:sz w:val="16"/>
                <w:szCs w:val="16"/>
              </w:rPr>
              <w:t>offs, value</w:t>
            </w:r>
            <w:r w:rsidR="00AB5CE1">
              <w:rPr>
                <w:rFonts w:ascii="Aptos Narrow" w:hAnsi="Aptos Narrow"/>
                <w:sz w:val="16"/>
                <w:szCs w:val="16"/>
              </w:rPr>
              <w:t>-</w:t>
            </w:r>
            <w:r w:rsidRPr="00ED2420">
              <w:rPr>
                <w:rFonts w:ascii="Aptos Narrow" w:hAnsi="Aptos Narrow"/>
                <w:sz w:val="16"/>
                <w:szCs w:val="16"/>
              </w:rPr>
              <w:t>sensitive harms</w:t>
            </w:r>
          </w:p>
        </w:tc>
        <w:tc>
          <w:tcPr>
            <w:tcW w:w="144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1CC55000" w14:textId="77777777" w:rsidR="00BF5DC4" w:rsidRPr="00B87611" w:rsidRDefault="00BF5DC4" w:rsidP="00430B63">
            <w:pPr>
              <w:keepNext/>
              <w:keepLines/>
              <w:spacing w:before="80" w:after="80"/>
              <w:ind w:left="86" w:right="86"/>
              <w:jc w:val="center"/>
              <w:rPr>
                <w:rFonts w:ascii="Aptos Narrow" w:eastAsia="Times New Roman" w:hAnsi="Aptos Narrow" w:cs="Segoe UI"/>
                <w:b/>
                <w:bCs/>
                <w:kern w:val="0"/>
                <w:sz w:val="20"/>
                <w:szCs w:val="20"/>
                <w14:ligatures w14:val="none"/>
              </w:rPr>
            </w:pPr>
            <w:r w:rsidRPr="00B87611">
              <w:rPr>
                <w:b/>
                <w:bCs/>
                <w:sz w:val="20"/>
                <w:szCs w:val="20"/>
              </w:rPr>
              <w:t>B2</w:t>
            </w:r>
          </w:p>
        </w:tc>
        <w:tc>
          <w:tcPr>
            <w:tcW w:w="153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589AD1F0" w14:textId="01B898BD" w:rsidR="00BF5DC4" w:rsidRPr="00B87611" w:rsidRDefault="00BF5DC4" w:rsidP="00430B63">
            <w:pPr>
              <w:keepNext/>
              <w:keepLines/>
              <w:spacing w:before="80" w:after="80"/>
              <w:ind w:left="86" w:right="86"/>
              <w:jc w:val="center"/>
              <w:rPr>
                <w:rFonts w:ascii="Aptos Narrow" w:hAnsi="Aptos Narrow"/>
                <w:sz w:val="16"/>
                <w:szCs w:val="16"/>
              </w:rPr>
            </w:pPr>
            <w:r w:rsidRPr="00B87611">
              <w:rPr>
                <w:rFonts w:ascii="Aptos Narrow" w:hAnsi="Aptos Narrow"/>
                <w:sz w:val="16"/>
                <w:szCs w:val="16"/>
              </w:rPr>
              <w:t>Preference</w:t>
            </w:r>
            <w:r w:rsidR="00AB5CE1">
              <w:rPr>
                <w:rFonts w:ascii="Aptos Narrow" w:hAnsi="Aptos Narrow"/>
                <w:sz w:val="16"/>
                <w:szCs w:val="16"/>
              </w:rPr>
              <w:t>-</w:t>
            </w:r>
            <w:r w:rsidRPr="00B87611">
              <w:rPr>
                <w:rFonts w:ascii="Aptos Narrow" w:hAnsi="Aptos Narrow"/>
                <w:sz w:val="16"/>
                <w:szCs w:val="16"/>
              </w:rPr>
              <w:t>stratified cohort design</w:t>
            </w:r>
          </w:p>
        </w:tc>
        <w:tc>
          <w:tcPr>
            <w:tcW w:w="170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BFBFBF" w:themeColor="background1" w:themeShade="BF"/>
            </w:tcBorders>
            <w:vAlign w:val="center"/>
          </w:tcPr>
          <w:p w14:paraId="4674B808" w14:textId="1AF8EB66" w:rsidR="00BF5DC4" w:rsidRPr="003D55D6" w:rsidRDefault="00BF5DC4" w:rsidP="00430B63">
            <w:pPr>
              <w:keepNext/>
              <w:keepLines/>
              <w:spacing w:before="80" w:after="80"/>
              <w:ind w:left="86" w:right="86"/>
              <w:jc w:val="center"/>
              <w:rPr>
                <w:rFonts w:ascii="Aptos Narrow" w:eastAsia="Times New Roman" w:hAnsi="Aptos Narrow" w:cs="Segoe UI"/>
                <w:kern w:val="0"/>
                <w:sz w:val="16"/>
                <w:szCs w:val="16"/>
                <w14:ligatures w14:val="none"/>
              </w:rPr>
            </w:pPr>
            <w:r w:rsidRPr="00ED2420">
              <w:rPr>
                <w:rFonts w:ascii="Arial Narrow" w:hAnsi="Arial Narrow"/>
                <w:sz w:val="16"/>
                <w:szCs w:val="16"/>
              </w:rPr>
              <w:t>ProtecT</w:t>
            </w:r>
            <w:r w:rsidR="00AB5CE1">
              <w:rPr>
                <w:rFonts w:ascii="Arial Narrow" w:hAnsi="Arial Narrow"/>
                <w:sz w:val="16"/>
                <w:szCs w:val="16"/>
              </w:rPr>
              <w:t>-</w:t>
            </w:r>
            <w:r w:rsidRPr="00ED2420">
              <w:rPr>
                <w:rFonts w:ascii="Arial Narrow" w:hAnsi="Arial Narrow"/>
                <w:sz w:val="16"/>
                <w:szCs w:val="16"/>
              </w:rPr>
              <w:t>class: preference acknowledged, β not prospectively identified</w:t>
            </w:r>
          </w:p>
        </w:tc>
      </w:tr>
      <w:tr w:rsidR="00BF5DC4" w:rsidRPr="003D55D6" w14:paraId="66C032C8" w14:textId="77777777" w:rsidTr="00BF5DC4">
        <w:trPr>
          <w:jc w:val="center"/>
        </w:trPr>
        <w:tc>
          <w:tcPr>
            <w:tcW w:w="2512" w:type="dxa"/>
            <w:tcBorders>
              <w:top w:val="single" w:sz="4" w:space="0" w:color="A6A6A6" w:themeColor="background1" w:themeShade="A6"/>
              <w:left w:val="single" w:sz="4" w:space="0" w:color="BFBFBF" w:themeColor="background1" w:themeShade="BF"/>
              <w:bottom w:val="single" w:sz="4" w:space="0" w:color="A6A6A6" w:themeColor="background1" w:themeShade="A6"/>
              <w:right w:val="single" w:sz="4" w:space="0" w:color="BFBFBF" w:themeColor="background1" w:themeShade="BF"/>
            </w:tcBorders>
            <w:shd w:val="clear" w:color="auto" w:fill="F2F2F2" w:themeFill="background1" w:themeFillShade="F2"/>
            <w:vAlign w:val="center"/>
          </w:tcPr>
          <w:p w14:paraId="4C00D41E" w14:textId="77777777" w:rsidR="00BF5DC4" w:rsidRPr="003D55D6" w:rsidRDefault="00BF5DC4" w:rsidP="00430B63">
            <w:pPr>
              <w:keepNext/>
              <w:keepLines/>
              <w:spacing w:before="100" w:after="100"/>
              <w:ind w:left="72" w:rightChars="5" w:right="12"/>
              <w:jc w:val="center"/>
              <w:rPr>
                <w:rFonts w:eastAsia="Times New Roman" w:cs="Segoe UI"/>
                <w:b/>
                <w:bCs/>
                <w:kern w:val="0"/>
                <w:sz w:val="18"/>
                <w:szCs w:val="18"/>
                <w14:ligatures w14:val="none"/>
              </w:rPr>
            </w:pPr>
            <w:r w:rsidRPr="003D55D6">
              <w:rPr>
                <w:rFonts w:eastAsia="Times New Roman" w:cs="Segoe UI"/>
                <w:b/>
                <w:bCs/>
                <w:kern w:val="0"/>
                <w:sz w:val="18"/>
                <w:szCs w:val="18"/>
                <w14:ligatures w14:val="none"/>
              </w:rPr>
              <w:t xml:space="preserve">Atrial fibrillation: </w:t>
            </w:r>
            <w:r>
              <w:rPr>
                <w:rFonts w:eastAsia="Times New Roman" w:cs="Segoe UI"/>
                <w:b/>
                <w:bCs/>
                <w:kern w:val="0"/>
                <w:sz w:val="18"/>
                <w:szCs w:val="18"/>
                <w14:ligatures w14:val="none"/>
              </w:rPr>
              <w:br/>
            </w:r>
            <w:r w:rsidRPr="003D55D6">
              <w:rPr>
                <w:rFonts w:eastAsia="Times New Roman" w:cs="Segoe UI"/>
                <w:kern w:val="0"/>
                <w:sz w:val="16"/>
                <w:szCs w:val="16"/>
                <w14:ligatures w14:val="none"/>
              </w:rPr>
              <w:t xml:space="preserve">rhythm vs rate / pathway </w:t>
            </w:r>
            <w:r>
              <w:rPr>
                <w:rFonts w:eastAsia="Times New Roman" w:cs="Segoe UI"/>
                <w:kern w:val="0"/>
                <w:sz w:val="16"/>
                <w:szCs w:val="16"/>
                <w14:ligatures w14:val="none"/>
              </w:rPr>
              <w:br/>
            </w:r>
            <w:r w:rsidRPr="003D55D6">
              <w:rPr>
                <w:rFonts w:eastAsia="Times New Roman" w:cs="Segoe UI"/>
                <w:kern w:val="0"/>
                <w:sz w:val="16"/>
                <w:szCs w:val="16"/>
                <w14:ligatures w14:val="none"/>
              </w:rPr>
              <w:t>decisions</w:t>
            </w:r>
          </w:p>
        </w:tc>
        <w:tc>
          <w:tcPr>
            <w:tcW w:w="2160" w:type="dxa"/>
            <w:tcBorders>
              <w:top w:val="single" w:sz="4" w:space="0" w:color="D9D9D9" w:themeColor="background1" w:themeShade="D9"/>
              <w:left w:val="single" w:sz="4" w:space="0" w:color="BFBFBF" w:themeColor="background1" w:themeShade="BF"/>
              <w:bottom w:val="single" w:sz="4" w:space="0" w:color="D9D9D9" w:themeColor="background1" w:themeShade="D9"/>
              <w:right w:val="single" w:sz="4" w:space="0" w:color="D9D9D9" w:themeColor="background1" w:themeShade="D9"/>
            </w:tcBorders>
            <w:vAlign w:val="center"/>
          </w:tcPr>
          <w:p w14:paraId="56D65984" w14:textId="77777777" w:rsidR="00BF5DC4" w:rsidRPr="003D55D6" w:rsidRDefault="00BF5DC4" w:rsidP="00430B63">
            <w:pPr>
              <w:keepNext/>
              <w:keepLines/>
              <w:spacing w:before="80" w:after="80"/>
              <w:ind w:left="86" w:right="86"/>
              <w:jc w:val="center"/>
              <w:rPr>
                <w:rFonts w:ascii="Aptos Narrow" w:eastAsia="Times New Roman" w:hAnsi="Aptos Narrow" w:cs="Segoe UI"/>
                <w:kern w:val="0"/>
                <w:sz w:val="16"/>
                <w:szCs w:val="16"/>
                <w14:ligatures w14:val="none"/>
              </w:rPr>
            </w:pPr>
            <w:r w:rsidRPr="00ED2420">
              <w:rPr>
                <w:rFonts w:ascii="Aptos Narrow" w:hAnsi="Aptos Narrow"/>
                <w:sz w:val="16"/>
                <w:szCs w:val="16"/>
              </w:rPr>
              <w:t>Symptoms, bleeding risk, frailty, hospitalizations, adherence</w:t>
            </w:r>
          </w:p>
        </w:tc>
        <w:tc>
          <w:tcPr>
            <w:tcW w:w="144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7834F5E4" w14:textId="77777777" w:rsidR="00BF5DC4" w:rsidRDefault="00BF5DC4" w:rsidP="00430B63">
            <w:pPr>
              <w:keepNext/>
              <w:keepLines/>
              <w:spacing w:before="80" w:after="80"/>
              <w:ind w:left="86" w:right="86"/>
              <w:jc w:val="center"/>
              <w:rPr>
                <w:b/>
                <w:bCs/>
                <w:sz w:val="20"/>
                <w:szCs w:val="20"/>
              </w:rPr>
            </w:pPr>
            <w:r w:rsidRPr="00B87611">
              <w:rPr>
                <w:b/>
                <w:bCs/>
                <w:sz w:val="20"/>
                <w:szCs w:val="20"/>
              </w:rPr>
              <w:t>B2 / B4</w:t>
            </w:r>
          </w:p>
          <w:p w14:paraId="22CA1CF9" w14:textId="77777777" w:rsidR="00BF5DC4" w:rsidRPr="00B87611" w:rsidRDefault="00BF5DC4" w:rsidP="00430B63">
            <w:pPr>
              <w:keepNext/>
              <w:keepLines/>
              <w:spacing w:before="80" w:after="80"/>
              <w:ind w:left="86" w:right="86"/>
              <w:jc w:val="center"/>
              <w:rPr>
                <w:rFonts w:ascii="Aptos Narrow" w:eastAsia="Times New Roman" w:hAnsi="Aptos Narrow" w:cs="Segoe UI"/>
                <w:b/>
                <w:bCs/>
                <w:kern w:val="0"/>
                <w:sz w:val="20"/>
                <w:szCs w:val="20"/>
                <w14:ligatures w14:val="none"/>
              </w:rPr>
            </w:pPr>
            <w:r w:rsidRPr="00B87611">
              <w:rPr>
                <w:rFonts w:ascii="Aptos Narrow" w:hAnsi="Aptos Narrow"/>
                <w:sz w:val="16"/>
                <w:szCs w:val="16"/>
              </w:rPr>
              <w:t>(especially in older, more complex patients)</w:t>
            </w:r>
          </w:p>
        </w:tc>
        <w:tc>
          <w:tcPr>
            <w:tcW w:w="153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3EC63AB9" w14:textId="6643E3D0" w:rsidR="00BF5DC4" w:rsidRPr="00B87611" w:rsidRDefault="00BF5DC4" w:rsidP="00430B63">
            <w:pPr>
              <w:keepNext/>
              <w:keepLines/>
              <w:spacing w:before="80" w:after="80"/>
              <w:ind w:left="86" w:right="86"/>
              <w:jc w:val="center"/>
              <w:rPr>
                <w:rFonts w:ascii="Aptos Narrow" w:hAnsi="Aptos Narrow"/>
                <w:sz w:val="16"/>
                <w:szCs w:val="16"/>
              </w:rPr>
            </w:pPr>
            <w:r w:rsidRPr="00B87611">
              <w:rPr>
                <w:rFonts w:ascii="Aptos Narrow" w:hAnsi="Aptos Narrow"/>
                <w:sz w:val="16"/>
                <w:szCs w:val="16"/>
              </w:rPr>
              <w:t>Preference</w:t>
            </w:r>
            <w:r w:rsidR="00AB5CE1">
              <w:rPr>
                <w:rFonts w:ascii="Aptos Narrow" w:hAnsi="Aptos Narrow"/>
                <w:sz w:val="16"/>
                <w:szCs w:val="16"/>
              </w:rPr>
              <w:t>-</w:t>
            </w:r>
            <w:r w:rsidRPr="00B87611">
              <w:rPr>
                <w:rFonts w:ascii="Aptos Narrow" w:hAnsi="Aptos Narrow"/>
                <w:sz w:val="16"/>
                <w:szCs w:val="16"/>
              </w:rPr>
              <w:t>stratified or encouragement design</w:t>
            </w:r>
          </w:p>
        </w:tc>
        <w:tc>
          <w:tcPr>
            <w:tcW w:w="170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BFBFBF" w:themeColor="background1" w:themeShade="BF"/>
            </w:tcBorders>
            <w:vAlign w:val="center"/>
          </w:tcPr>
          <w:p w14:paraId="55C7A2DF" w14:textId="4EA194B4" w:rsidR="00BF5DC4" w:rsidRPr="003D55D6" w:rsidRDefault="00BF5DC4" w:rsidP="00430B63">
            <w:pPr>
              <w:keepNext/>
              <w:keepLines/>
              <w:spacing w:before="80" w:after="80"/>
              <w:ind w:left="86" w:right="86"/>
              <w:jc w:val="center"/>
              <w:rPr>
                <w:rFonts w:ascii="Aptos Narrow" w:eastAsia="Times New Roman" w:hAnsi="Aptos Narrow" w:cs="Segoe UI"/>
                <w:kern w:val="0"/>
                <w:sz w:val="16"/>
                <w:szCs w:val="16"/>
                <w14:ligatures w14:val="none"/>
              </w:rPr>
            </w:pPr>
            <w:r w:rsidRPr="00ED2420">
              <w:rPr>
                <w:rFonts w:ascii="Arial Narrow" w:hAnsi="Arial Narrow"/>
                <w:sz w:val="16"/>
                <w:szCs w:val="16"/>
              </w:rPr>
              <w:t>Main</w:t>
            </w:r>
            <w:r w:rsidR="00AB5CE1">
              <w:rPr>
                <w:rFonts w:ascii="Arial Narrow" w:hAnsi="Arial Narrow"/>
                <w:sz w:val="16"/>
                <w:szCs w:val="16"/>
              </w:rPr>
              <w:t>-</w:t>
            </w:r>
            <w:r w:rsidRPr="00ED2420">
              <w:rPr>
                <w:rFonts w:ascii="Arial Narrow" w:hAnsi="Arial Narrow"/>
                <w:sz w:val="16"/>
                <w:szCs w:val="16"/>
              </w:rPr>
              <w:t>text exemplar</w:t>
            </w:r>
          </w:p>
        </w:tc>
      </w:tr>
      <w:tr w:rsidR="00BF5DC4" w:rsidRPr="003D55D6" w14:paraId="73C53BD3" w14:textId="77777777" w:rsidTr="00BF5DC4">
        <w:trPr>
          <w:jc w:val="center"/>
        </w:trPr>
        <w:tc>
          <w:tcPr>
            <w:tcW w:w="2512" w:type="dxa"/>
            <w:tcBorders>
              <w:top w:val="single" w:sz="4" w:space="0" w:color="A6A6A6" w:themeColor="background1" w:themeShade="A6"/>
              <w:left w:val="single" w:sz="4" w:space="0" w:color="BFBFBF" w:themeColor="background1" w:themeShade="BF"/>
              <w:bottom w:val="single" w:sz="4" w:space="0" w:color="A6A6A6" w:themeColor="background1" w:themeShade="A6"/>
              <w:right w:val="single" w:sz="4" w:space="0" w:color="BFBFBF" w:themeColor="background1" w:themeShade="BF"/>
            </w:tcBorders>
            <w:shd w:val="clear" w:color="auto" w:fill="F2F2F2" w:themeFill="background1" w:themeFillShade="F2"/>
            <w:vAlign w:val="center"/>
          </w:tcPr>
          <w:p w14:paraId="76690077" w14:textId="77777777" w:rsidR="00BF5DC4" w:rsidRPr="003D55D6" w:rsidRDefault="00BF5DC4" w:rsidP="00430B63">
            <w:pPr>
              <w:keepNext/>
              <w:keepLines/>
              <w:spacing w:before="100" w:after="100"/>
              <w:ind w:left="72" w:rightChars="5" w:right="12"/>
              <w:jc w:val="center"/>
              <w:rPr>
                <w:rFonts w:eastAsia="Times New Roman" w:cs="Segoe UI"/>
                <w:b/>
                <w:bCs/>
                <w:kern w:val="0"/>
                <w:sz w:val="18"/>
                <w:szCs w:val="18"/>
                <w14:ligatures w14:val="none"/>
              </w:rPr>
            </w:pPr>
            <w:r w:rsidRPr="003D55D6">
              <w:rPr>
                <w:rFonts w:eastAsia="Times New Roman" w:cs="Segoe UI"/>
                <w:b/>
                <w:bCs/>
                <w:kern w:val="0"/>
                <w:sz w:val="18"/>
                <w:szCs w:val="18"/>
                <w14:ligatures w14:val="none"/>
              </w:rPr>
              <w:t xml:space="preserve">Stable coronary disease: </w:t>
            </w:r>
            <w:r w:rsidRPr="003D55D6">
              <w:rPr>
                <w:rFonts w:eastAsia="Times New Roman" w:cs="Segoe UI"/>
                <w:kern w:val="0"/>
                <w:sz w:val="16"/>
                <w:szCs w:val="16"/>
                <w14:ligatures w14:val="none"/>
              </w:rPr>
              <w:t>invasive vs conservative care</w:t>
            </w:r>
          </w:p>
        </w:tc>
        <w:tc>
          <w:tcPr>
            <w:tcW w:w="2160" w:type="dxa"/>
            <w:tcBorders>
              <w:top w:val="single" w:sz="4" w:space="0" w:color="D9D9D9" w:themeColor="background1" w:themeShade="D9"/>
              <w:left w:val="single" w:sz="4" w:space="0" w:color="BFBFBF" w:themeColor="background1" w:themeShade="BF"/>
              <w:bottom w:val="single" w:sz="4" w:space="0" w:color="D9D9D9" w:themeColor="background1" w:themeShade="D9"/>
              <w:right w:val="single" w:sz="4" w:space="0" w:color="D9D9D9" w:themeColor="background1" w:themeShade="D9"/>
            </w:tcBorders>
            <w:vAlign w:val="center"/>
          </w:tcPr>
          <w:p w14:paraId="3543BEF5" w14:textId="55E0BA04" w:rsidR="00BF5DC4" w:rsidRPr="003D55D6" w:rsidRDefault="00BF5DC4" w:rsidP="00430B63">
            <w:pPr>
              <w:keepNext/>
              <w:keepLines/>
              <w:spacing w:before="80" w:after="80"/>
              <w:ind w:left="86" w:right="86"/>
              <w:jc w:val="center"/>
              <w:rPr>
                <w:rFonts w:ascii="Aptos Narrow" w:eastAsia="Times New Roman" w:hAnsi="Aptos Narrow" w:cs="Segoe UI"/>
                <w:kern w:val="0"/>
                <w:sz w:val="16"/>
                <w:szCs w:val="16"/>
                <w14:ligatures w14:val="none"/>
              </w:rPr>
            </w:pPr>
            <w:r w:rsidRPr="00ED2420">
              <w:rPr>
                <w:rFonts w:ascii="Aptos Narrow" w:hAnsi="Aptos Narrow"/>
                <w:sz w:val="16"/>
                <w:szCs w:val="16"/>
              </w:rPr>
              <w:t>Health</w:t>
            </w:r>
            <w:r w:rsidR="00AB5CE1">
              <w:rPr>
                <w:rFonts w:ascii="Aptos Narrow" w:hAnsi="Aptos Narrow"/>
                <w:sz w:val="16"/>
                <w:szCs w:val="16"/>
              </w:rPr>
              <w:t>-</w:t>
            </w:r>
            <w:r w:rsidRPr="00ED2420">
              <w:rPr>
                <w:rFonts w:ascii="Aptos Narrow" w:hAnsi="Aptos Narrow"/>
                <w:sz w:val="16"/>
                <w:szCs w:val="16"/>
              </w:rPr>
              <w:t>status benefit, procedural burden, patient goals</w:t>
            </w:r>
          </w:p>
        </w:tc>
        <w:tc>
          <w:tcPr>
            <w:tcW w:w="144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03017BDF" w14:textId="77777777" w:rsidR="00BF5DC4" w:rsidRPr="00B87611" w:rsidRDefault="00BF5DC4" w:rsidP="00430B63">
            <w:pPr>
              <w:keepNext/>
              <w:keepLines/>
              <w:spacing w:before="80" w:after="80"/>
              <w:ind w:left="86" w:right="86"/>
              <w:jc w:val="center"/>
              <w:rPr>
                <w:rFonts w:ascii="Aptos Narrow" w:eastAsia="Times New Roman" w:hAnsi="Aptos Narrow" w:cs="Segoe UI"/>
                <w:b/>
                <w:bCs/>
                <w:kern w:val="0"/>
                <w:sz w:val="20"/>
                <w:szCs w:val="20"/>
                <w14:ligatures w14:val="none"/>
              </w:rPr>
            </w:pPr>
            <w:r w:rsidRPr="00B87611">
              <w:rPr>
                <w:b/>
                <w:bCs/>
                <w:sz w:val="20"/>
                <w:szCs w:val="20"/>
              </w:rPr>
              <w:t>B2 / B4</w:t>
            </w:r>
          </w:p>
        </w:tc>
        <w:tc>
          <w:tcPr>
            <w:tcW w:w="153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6AF9DCB2" w14:textId="0E51B792" w:rsidR="00BF5DC4" w:rsidRPr="00B87611" w:rsidRDefault="00BF5DC4" w:rsidP="00430B63">
            <w:pPr>
              <w:keepNext/>
              <w:keepLines/>
              <w:spacing w:before="80" w:after="80"/>
              <w:ind w:left="86" w:right="86"/>
              <w:jc w:val="center"/>
              <w:rPr>
                <w:rFonts w:ascii="Aptos Narrow" w:hAnsi="Aptos Narrow"/>
                <w:sz w:val="16"/>
                <w:szCs w:val="16"/>
              </w:rPr>
            </w:pPr>
            <w:r w:rsidRPr="00B87611">
              <w:rPr>
                <w:rFonts w:ascii="Aptos Narrow" w:hAnsi="Aptos Narrow"/>
                <w:sz w:val="16"/>
                <w:szCs w:val="16"/>
              </w:rPr>
              <w:t>Hybrid or mixed</w:t>
            </w:r>
            <w:r w:rsidR="00AB5CE1">
              <w:rPr>
                <w:rFonts w:ascii="Aptos Narrow" w:hAnsi="Aptos Narrow"/>
                <w:sz w:val="16"/>
                <w:szCs w:val="16"/>
              </w:rPr>
              <w:t>-</w:t>
            </w:r>
            <w:r w:rsidRPr="00B87611">
              <w:rPr>
                <w:rFonts w:ascii="Aptos Narrow" w:hAnsi="Aptos Narrow"/>
                <w:sz w:val="16"/>
                <w:szCs w:val="16"/>
              </w:rPr>
              <w:t>regime design</w:t>
            </w:r>
          </w:p>
        </w:tc>
        <w:tc>
          <w:tcPr>
            <w:tcW w:w="170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BFBFBF" w:themeColor="background1" w:themeShade="BF"/>
            </w:tcBorders>
            <w:vAlign w:val="center"/>
          </w:tcPr>
          <w:p w14:paraId="0E948BD6" w14:textId="36A3AD54" w:rsidR="00BF5DC4" w:rsidRPr="003D55D6" w:rsidRDefault="00BF5DC4" w:rsidP="00430B63">
            <w:pPr>
              <w:keepNext/>
              <w:keepLines/>
              <w:spacing w:before="80" w:after="80"/>
              <w:ind w:left="86" w:right="86"/>
              <w:jc w:val="center"/>
              <w:rPr>
                <w:rFonts w:ascii="Aptos Narrow" w:eastAsia="Times New Roman" w:hAnsi="Aptos Narrow" w:cs="Segoe UI"/>
                <w:kern w:val="0"/>
                <w:sz w:val="16"/>
                <w:szCs w:val="16"/>
                <w14:ligatures w14:val="none"/>
              </w:rPr>
            </w:pPr>
            <w:r w:rsidRPr="00ED2420">
              <w:rPr>
                <w:rFonts w:ascii="Arial Narrow" w:hAnsi="Arial Narrow"/>
                <w:sz w:val="16"/>
                <w:szCs w:val="16"/>
              </w:rPr>
              <w:t>Main</w:t>
            </w:r>
            <w:r w:rsidR="00AB5CE1">
              <w:rPr>
                <w:rFonts w:ascii="Arial Narrow" w:hAnsi="Arial Narrow"/>
                <w:sz w:val="16"/>
                <w:szCs w:val="16"/>
              </w:rPr>
              <w:t>-</w:t>
            </w:r>
            <w:r w:rsidRPr="00ED2420">
              <w:rPr>
                <w:rFonts w:ascii="Arial Narrow" w:hAnsi="Arial Narrow"/>
                <w:sz w:val="16"/>
                <w:szCs w:val="16"/>
              </w:rPr>
              <w:t>text exemplar</w:t>
            </w:r>
          </w:p>
        </w:tc>
      </w:tr>
      <w:tr w:rsidR="00BF5DC4" w:rsidRPr="003D55D6" w14:paraId="0A161F5C" w14:textId="77777777" w:rsidTr="00BF5DC4">
        <w:trPr>
          <w:jc w:val="center"/>
        </w:trPr>
        <w:tc>
          <w:tcPr>
            <w:tcW w:w="2512" w:type="dxa"/>
            <w:tcBorders>
              <w:top w:val="single" w:sz="4" w:space="0" w:color="A6A6A6" w:themeColor="background1" w:themeShade="A6"/>
              <w:left w:val="single" w:sz="4" w:space="0" w:color="BFBFBF" w:themeColor="background1" w:themeShade="BF"/>
              <w:bottom w:val="single" w:sz="4" w:space="0" w:color="A6A6A6" w:themeColor="background1" w:themeShade="A6"/>
              <w:right w:val="single" w:sz="4" w:space="0" w:color="BFBFBF" w:themeColor="background1" w:themeShade="BF"/>
            </w:tcBorders>
            <w:shd w:val="clear" w:color="auto" w:fill="F2F2F2" w:themeFill="background1" w:themeFillShade="F2"/>
            <w:vAlign w:val="center"/>
          </w:tcPr>
          <w:p w14:paraId="7094F87F" w14:textId="77777777" w:rsidR="00BF5DC4" w:rsidRPr="003D55D6" w:rsidRDefault="00BF5DC4" w:rsidP="00430B63">
            <w:pPr>
              <w:keepNext/>
              <w:keepLines/>
              <w:spacing w:before="100" w:after="100"/>
              <w:ind w:left="72" w:rightChars="5" w:right="12"/>
              <w:jc w:val="center"/>
              <w:rPr>
                <w:rFonts w:eastAsia="Times New Roman" w:cs="Segoe UI"/>
                <w:b/>
                <w:bCs/>
                <w:kern w:val="0"/>
                <w:sz w:val="18"/>
                <w:szCs w:val="18"/>
                <w14:ligatures w14:val="none"/>
              </w:rPr>
            </w:pPr>
            <w:r w:rsidRPr="003D55D6">
              <w:rPr>
                <w:rFonts w:eastAsia="Times New Roman" w:cs="Segoe UI"/>
                <w:b/>
                <w:bCs/>
                <w:kern w:val="0"/>
                <w:sz w:val="18"/>
                <w:szCs w:val="18"/>
                <w14:ligatures w14:val="none"/>
              </w:rPr>
              <w:t xml:space="preserve">Acute appendicitis: </w:t>
            </w:r>
            <w:r>
              <w:rPr>
                <w:rFonts w:eastAsia="Times New Roman" w:cs="Segoe UI"/>
                <w:b/>
                <w:bCs/>
                <w:kern w:val="0"/>
                <w:sz w:val="18"/>
                <w:szCs w:val="18"/>
                <w14:ligatures w14:val="none"/>
              </w:rPr>
              <w:br/>
            </w:r>
            <w:r w:rsidRPr="003D55D6">
              <w:rPr>
                <w:rFonts w:eastAsia="Times New Roman" w:cs="Segoe UI"/>
                <w:kern w:val="0"/>
                <w:sz w:val="16"/>
                <w:szCs w:val="16"/>
                <w14:ligatures w14:val="none"/>
              </w:rPr>
              <w:t>antibiotics vs appendectomy</w:t>
            </w:r>
          </w:p>
        </w:tc>
        <w:tc>
          <w:tcPr>
            <w:tcW w:w="2160" w:type="dxa"/>
            <w:tcBorders>
              <w:top w:val="single" w:sz="4" w:space="0" w:color="D9D9D9" w:themeColor="background1" w:themeShade="D9"/>
              <w:left w:val="single" w:sz="4" w:space="0" w:color="BFBFBF" w:themeColor="background1" w:themeShade="BF"/>
              <w:bottom w:val="single" w:sz="4" w:space="0" w:color="D9D9D9" w:themeColor="background1" w:themeShade="D9"/>
              <w:right w:val="single" w:sz="4" w:space="0" w:color="D9D9D9" w:themeColor="background1" w:themeShade="D9"/>
            </w:tcBorders>
            <w:vAlign w:val="center"/>
          </w:tcPr>
          <w:p w14:paraId="1E0E213E" w14:textId="0A287A40" w:rsidR="00BF5DC4" w:rsidRPr="003D55D6" w:rsidRDefault="00BF5DC4" w:rsidP="00430B63">
            <w:pPr>
              <w:keepNext/>
              <w:keepLines/>
              <w:spacing w:before="80" w:after="80"/>
              <w:ind w:left="86" w:right="86"/>
              <w:jc w:val="center"/>
              <w:rPr>
                <w:rFonts w:ascii="Aptos Narrow" w:eastAsia="Times New Roman" w:hAnsi="Aptos Narrow" w:cs="Segoe UI"/>
                <w:kern w:val="0"/>
                <w:sz w:val="16"/>
                <w:szCs w:val="16"/>
                <w14:ligatures w14:val="none"/>
              </w:rPr>
            </w:pPr>
            <w:r w:rsidRPr="00ED2420">
              <w:rPr>
                <w:rFonts w:ascii="Aptos Narrow" w:hAnsi="Aptos Narrow"/>
                <w:sz w:val="16"/>
                <w:szCs w:val="16"/>
              </w:rPr>
              <w:t>Similar short</w:t>
            </w:r>
            <w:r w:rsidR="00AB5CE1">
              <w:rPr>
                <w:rFonts w:ascii="Aptos Narrow" w:hAnsi="Aptos Narrow"/>
                <w:sz w:val="16"/>
                <w:szCs w:val="16"/>
              </w:rPr>
              <w:t>-</w:t>
            </w:r>
            <w:r w:rsidRPr="00ED2420">
              <w:rPr>
                <w:rFonts w:ascii="Aptos Narrow" w:hAnsi="Aptos Narrow"/>
                <w:sz w:val="16"/>
                <w:szCs w:val="16"/>
              </w:rPr>
              <w:t>term outcomes, divergent downstream risks</w:t>
            </w:r>
          </w:p>
        </w:tc>
        <w:tc>
          <w:tcPr>
            <w:tcW w:w="144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1F1DF9CD" w14:textId="77777777" w:rsidR="00BF5DC4" w:rsidRPr="00B87611" w:rsidRDefault="00BF5DC4" w:rsidP="00430B63">
            <w:pPr>
              <w:keepNext/>
              <w:keepLines/>
              <w:spacing w:before="80" w:after="80"/>
              <w:ind w:left="86" w:right="86"/>
              <w:jc w:val="center"/>
              <w:rPr>
                <w:rFonts w:ascii="Aptos Narrow" w:eastAsia="Times New Roman" w:hAnsi="Aptos Narrow" w:cs="Segoe UI"/>
                <w:b/>
                <w:bCs/>
                <w:kern w:val="0"/>
                <w:sz w:val="20"/>
                <w:szCs w:val="20"/>
                <w14:ligatures w14:val="none"/>
              </w:rPr>
            </w:pPr>
            <w:r w:rsidRPr="00B87611">
              <w:rPr>
                <w:b/>
                <w:bCs/>
                <w:sz w:val="20"/>
                <w:szCs w:val="20"/>
              </w:rPr>
              <w:t>B4</w:t>
            </w:r>
          </w:p>
        </w:tc>
        <w:tc>
          <w:tcPr>
            <w:tcW w:w="153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5C0502BD" w14:textId="77777777" w:rsidR="00BF5DC4" w:rsidRPr="00B87611" w:rsidRDefault="00BF5DC4" w:rsidP="00430B63">
            <w:pPr>
              <w:keepNext/>
              <w:keepLines/>
              <w:spacing w:before="80" w:after="80"/>
              <w:ind w:left="86" w:right="86"/>
              <w:jc w:val="center"/>
              <w:rPr>
                <w:rFonts w:ascii="Aptos Narrow" w:hAnsi="Aptos Narrow"/>
                <w:sz w:val="16"/>
                <w:szCs w:val="16"/>
              </w:rPr>
            </w:pPr>
            <w:r w:rsidRPr="00B87611">
              <w:rPr>
                <w:rFonts w:ascii="Aptos Narrow" w:hAnsi="Aptos Narrow"/>
                <w:sz w:val="16"/>
                <w:szCs w:val="16"/>
              </w:rPr>
              <w:t>Hybrid or sequential preference design</w:t>
            </w:r>
          </w:p>
        </w:tc>
        <w:tc>
          <w:tcPr>
            <w:tcW w:w="170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BFBFBF" w:themeColor="background1" w:themeShade="BF"/>
            </w:tcBorders>
            <w:vAlign w:val="center"/>
          </w:tcPr>
          <w:p w14:paraId="474701A0" w14:textId="257E8192" w:rsidR="00BF5DC4" w:rsidRPr="003D55D6" w:rsidRDefault="00BF5DC4" w:rsidP="00430B63">
            <w:pPr>
              <w:keepNext/>
              <w:keepLines/>
              <w:spacing w:before="80" w:after="80"/>
              <w:ind w:left="86" w:right="86"/>
              <w:jc w:val="center"/>
              <w:rPr>
                <w:rFonts w:ascii="Aptos Narrow" w:eastAsia="Times New Roman" w:hAnsi="Aptos Narrow" w:cs="Segoe UI"/>
                <w:kern w:val="0"/>
                <w:sz w:val="16"/>
                <w:szCs w:val="16"/>
                <w14:ligatures w14:val="none"/>
              </w:rPr>
            </w:pPr>
            <w:r w:rsidRPr="00ED2420">
              <w:rPr>
                <w:rFonts w:ascii="Arial Narrow" w:hAnsi="Arial Narrow"/>
                <w:sz w:val="16"/>
                <w:szCs w:val="16"/>
              </w:rPr>
              <w:t>Main</w:t>
            </w:r>
            <w:r w:rsidR="00AB5CE1">
              <w:rPr>
                <w:rFonts w:ascii="Arial Narrow" w:hAnsi="Arial Narrow"/>
                <w:sz w:val="16"/>
                <w:szCs w:val="16"/>
              </w:rPr>
              <w:t>-</w:t>
            </w:r>
            <w:r w:rsidRPr="00ED2420">
              <w:rPr>
                <w:rFonts w:ascii="Arial Narrow" w:hAnsi="Arial Narrow"/>
                <w:sz w:val="16"/>
                <w:szCs w:val="16"/>
              </w:rPr>
              <w:t>text exemplar</w:t>
            </w:r>
          </w:p>
        </w:tc>
      </w:tr>
      <w:tr w:rsidR="00BF5DC4" w:rsidRPr="003D55D6" w14:paraId="780D1C24" w14:textId="77777777" w:rsidTr="00BF5DC4">
        <w:trPr>
          <w:jc w:val="center"/>
        </w:trPr>
        <w:tc>
          <w:tcPr>
            <w:tcW w:w="2512" w:type="dxa"/>
            <w:tcBorders>
              <w:top w:val="single" w:sz="4" w:space="0" w:color="A6A6A6" w:themeColor="background1" w:themeShade="A6"/>
              <w:left w:val="single" w:sz="4" w:space="0" w:color="BFBFBF" w:themeColor="background1" w:themeShade="BF"/>
              <w:bottom w:val="single" w:sz="4" w:space="0" w:color="A6A6A6" w:themeColor="background1" w:themeShade="A6"/>
              <w:right w:val="single" w:sz="4" w:space="0" w:color="BFBFBF" w:themeColor="background1" w:themeShade="BF"/>
            </w:tcBorders>
            <w:shd w:val="clear" w:color="auto" w:fill="F2F2F2" w:themeFill="background1" w:themeFillShade="F2"/>
            <w:vAlign w:val="center"/>
          </w:tcPr>
          <w:p w14:paraId="0DBDC3CC" w14:textId="77777777" w:rsidR="00BF5DC4" w:rsidRPr="003D55D6" w:rsidRDefault="00BF5DC4" w:rsidP="00430B63">
            <w:pPr>
              <w:keepNext/>
              <w:keepLines/>
              <w:spacing w:before="100" w:after="100"/>
              <w:ind w:left="72" w:rightChars="5" w:right="12"/>
              <w:jc w:val="center"/>
              <w:rPr>
                <w:rFonts w:eastAsia="Times New Roman" w:cs="Segoe UI"/>
                <w:b/>
                <w:bCs/>
                <w:kern w:val="0"/>
                <w:sz w:val="18"/>
                <w:szCs w:val="18"/>
                <w14:ligatures w14:val="none"/>
              </w:rPr>
            </w:pPr>
            <w:r w:rsidRPr="003D55D6">
              <w:rPr>
                <w:rFonts w:eastAsia="Times New Roman" w:cs="Segoe UI"/>
                <w:b/>
                <w:bCs/>
                <w:kern w:val="0"/>
                <w:sz w:val="18"/>
                <w:szCs w:val="18"/>
                <w14:ligatures w14:val="none"/>
              </w:rPr>
              <w:t xml:space="preserve">Benign prostatic hyperplasia: </w:t>
            </w:r>
            <w:r w:rsidRPr="003D55D6">
              <w:rPr>
                <w:rFonts w:eastAsia="Times New Roman" w:cs="Segoe UI"/>
                <w:kern w:val="0"/>
                <w:sz w:val="16"/>
                <w:szCs w:val="16"/>
                <w14:ligatures w14:val="none"/>
              </w:rPr>
              <w:t>surgery vs medical/watchful management</w:t>
            </w:r>
          </w:p>
        </w:tc>
        <w:tc>
          <w:tcPr>
            <w:tcW w:w="2160" w:type="dxa"/>
            <w:tcBorders>
              <w:top w:val="single" w:sz="4" w:space="0" w:color="D9D9D9" w:themeColor="background1" w:themeShade="D9"/>
              <w:left w:val="single" w:sz="4" w:space="0" w:color="BFBFBF" w:themeColor="background1" w:themeShade="BF"/>
              <w:bottom w:val="single" w:sz="4" w:space="0" w:color="D9D9D9" w:themeColor="background1" w:themeShade="D9"/>
              <w:right w:val="single" w:sz="4" w:space="0" w:color="D9D9D9" w:themeColor="background1" w:themeShade="D9"/>
            </w:tcBorders>
            <w:vAlign w:val="center"/>
          </w:tcPr>
          <w:p w14:paraId="440D2580" w14:textId="2D38A6A0" w:rsidR="00BF5DC4" w:rsidRPr="003D55D6" w:rsidRDefault="00BF5DC4" w:rsidP="00430B63">
            <w:pPr>
              <w:keepNext/>
              <w:keepLines/>
              <w:spacing w:before="80" w:after="80"/>
              <w:ind w:left="86" w:right="86"/>
              <w:jc w:val="center"/>
              <w:rPr>
                <w:rFonts w:ascii="Aptos Narrow" w:eastAsia="Times New Roman" w:hAnsi="Aptos Narrow" w:cs="Segoe UI"/>
                <w:kern w:val="0"/>
                <w:sz w:val="16"/>
                <w:szCs w:val="16"/>
                <w14:ligatures w14:val="none"/>
              </w:rPr>
            </w:pPr>
            <w:r w:rsidRPr="00ED2420">
              <w:rPr>
                <w:rFonts w:ascii="Aptos Narrow" w:hAnsi="Aptos Narrow"/>
                <w:sz w:val="16"/>
                <w:szCs w:val="16"/>
              </w:rPr>
              <w:t>Historic divergence, symptom–burden trade</w:t>
            </w:r>
            <w:r w:rsidR="00AB5CE1">
              <w:rPr>
                <w:rFonts w:ascii="Aptos Narrow" w:hAnsi="Aptos Narrow"/>
                <w:sz w:val="16"/>
                <w:szCs w:val="16"/>
              </w:rPr>
              <w:t>-</w:t>
            </w:r>
            <w:r w:rsidRPr="00ED2420">
              <w:rPr>
                <w:rFonts w:ascii="Aptos Narrow" w:hAnsi="Aptos Narrow"/>
                <w:sz w:val="16"/>
                <w:szCs w:val="16"/>
              </w:rPr>
              <w:t>offs</w:t>
            </w:r>
          </w:p>
        </w:tc>
        <w:tc>
          <w:tcPr>
            <w:tcW w:w="144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476488C6" w14:textId="77777777" w:rsidR="00BF5DC4" w:rsidRPr="00B87611" w:rsidRDefault="00BF5DC4" w:rsidP="00430B63">
            <w:pPr>
              <w:keepNext/>
              <w:keepLines/>
              <w:spacing w:before="80" w:after="80"/>
              <w:ind w:left="86" w:right="86"/>
              <w:jc w:val="center"/>
              <w:rPr>
                <w:rFonts w:ascii="Aptos Narrow" w:eastAsia="Times New Roman" w:hAnsi="Aptos Narrow" w:cs="Segoe UI"/>
                <w:b/>
                <w:bCs/>
                <w:kern w:val="0"/>
                <w:sz w:val="20"/>
                <w:szCs w:val="20"/>
                <w14:ligatures w14:val="none"/>
              </w:rPr>
            </w:pPr>
            <w:r w:rsidRPr="00B87611">
              <w:rPr>
                <w:b/>
                <w:bCs/>
                <w:sz w:val="20"/>
                <w:szCs w:val="20"/>
              </w:rPr>
              <w:t>B2</w:t>
            </w:r>
          </w:p>
        </w:tc>
        <w:tc>
          <w:tcPr>
            <w:tcW w:w="153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76DFF5A2" w14:textId="6D8CEA5C" w:rsidR="00BF5DC4" w:rsidRPr="00B87611" w:rsidRDefault="00BF5DC4" w:rsidP="00430B63">
            <w:pPr>
              <w:keepNext/>
              <w:keepLines/>
              <w:spacing w:before="80" w:after="80"/>
              <w:ind w:left="86" w:right="86"/>
              <w:jc w:val="center"/>
              <w:rPr>
                <w:rFonts w:ascii="Aptos Narrow" w:hAnsi="Aptos Narrow"/>
                <w:sz w:val="16"/>
                <w:szCs w:val="16"/>
              </w:rPr>
            </w:pPr>
            <w:r w:rsidRPr="00B87611">
              <w:rPr>
                <w:rFonts w:ascii="Aptos Narrow" w:hAnsi="Aptos Narrow"/>
                <w:sz w:val="16"/>
                <w:szCs w:val="16"/>
              </w:rPr>
              <w:t>Retrospective</w:t>
            </w:r>
            <w:r w:rsidR="00AB5CE1">
              <w:rPr>
                <w:rFonts w:ascii="Aptos Narrow" w:hAnsi="Aptos Narrow"/>
                <w:sz w:val="16"/>
                <w:szCs w:val="16"/>
              </w:rPr>
              <w:t>-</w:t>
            </w:r>
            <w:r w:rsidRPr="00B87611">
              <w:rPr>
                <w:rFonts w:ascii="Aptos Narrow" w:hAnsi="Aptos Narrow"/>
                <w:sz w:val="16"/>
                <w:szCs w:val="16"/>
              </w:rPr>
              <w:t>to</w:t>
            </w:r>
            <w:r w:rsidR="00AB5CE1">
              <w:rPr>
                <w:rFonts w:ascii="Aptos Narrow" w:hAnsi="Aptos Narrow"/>
                <w:sz w:val="16"/>
                <w:szCs w:val="16"/>
              </w:rPr>
              <w:t>-</w:t>
            </w:r>
            <w:r w:rsidRPr="00B87611">
              <w:rPr>
                <w:rFonts w:ascii="Aptos Narrow" w:hAnsi="Aptos Narrow"/>
                <w:sz w:val="16"/>
                <w:szCs w:val="16"/>
              </w:rPr>
              <w:t>prospective hybrid</w:t>
            </w:r>
          </w:p>
        </w:tc>
        <w:tc>
          <w:tcPr>
            <w:tcW w:w="170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BFBFBF" w:themeColor="background1" w:themeShade="BF"/>
            </w:tcBorders>
            <w:vAlign w:val="center"/>
          </w:tcPr>
          <w:p w14:paraId="08DF42AA" w14:textId="0B19848E" w:rsidR="00BF5DC4" w:rsidRPr="003D55D6" w:rsidRDefault="00BF5DC4" w:rsidP="00430B63">
            <w:pPr>
              <w:keepNext/>
              <w:keepLines/>
              <w:spacing w:before="80" w:after="80"/>
              <w:ind w:left="86" w:right="86"/>
              <w:jc w:val="center"/>
              <w:rPr>
                <w:rFonts w:ascii="Aptos Narrow" w:eastAsia="Times New Roman" w:hAnsi="Aptos Narrow" w:cs="Segoe UI"/>
                <w:kern w:val="0"/>
                <w:sz w:val="16"/>
                <w:szCs w:val="16"/>
                <w14:ligatures w14:val="none"/>
              </w:rPr>
            </w:pPr>
            <w:r w:rsidRPr="00ED2420">
              <w:rPr>
                <w:rFonts w:ascii="Arial Narrow" w:hAnsi="Arial Narrow"/>
                <w:sz w:val="16"/>
                <w:szCs w:val="16"/>
              </w:rPr>
              <w:t>Historically linked to Chalmers</w:t>
            </w:r>
            <w:r w:rsidR="00AB5CE1">
              <w:rPr>
                <w:rFonts w:ascii="Arial Narrow" w:hAnsi="Arial Narrow"/>
                <w:sz w:val="16"/>
                <w:szCs w:val="16"/>
              </w:rPr>
              <w:t>-</w:t>
            </w:r>
            <w:r w:rsidRPr="00ED2420">
              <w:rPr>
                <w:rFonts w:ascii="Arial Narrow" w:hAnsi="Arial Narrow"/>
                <w:sz w:val="16"/>
                <w:szCs w:val="16"/>
              </w:rPr>
              <w:t>style divergence</w:t>
            </w:r>
          </w:p>
        </w:tc>
      </w:tr>
      <w:tr w:rsidR="00BF5DC4" w:rsidRPr="003D55D6" w14:paraId="08F808C5" w14:textId="77777777" w:rsidTr="00BF5DC4">
        <w:trPr>
          <w:jc w:val="center"/>
        </w:trPr>
        <w:tc>
          <w:tcPr>
            <w:tcW w:w="2512" w:type="dxa"/>
            <w:tcBorders>
              <w:top w:val="single" w:sz="4" w:space="0" w:color="A6A6A6" w:themeColor="background1" w:themeShade="A6"/>
              <w:left w:val="single" w:sz="4" w:space="0" w:color="BFBFBF" w:themeColor="background1" w:themeShade="BF"/>
              <w:bottom w:val="single" w:sz="4" w:space="0" w:color="A6A6A6" w:themeColor="background1" w:themeShade="A6"/>
              <w:right w:val="single" w:sz="4" w:space="0" w:color="BFBFBF" w:themeColor="background1" w:themeShade="BF"/>
            </w:tcBorders>
            <w:shd w:val="clear" w:color="auto" w:fill="F2F2F2" w:themeFill="background1" w:themeFillShade="F2"/>
            <w:vAlign w:val="center"/>
          </w:tcPr>
          <w:p w14:paraId="29FD8D9C" w14:textId="77777777" w:rsidR="00BF5DC4" w:rsidRPr="003D55D6" w:rsidRDefault="00BF5DC4" w:rsidP="00430B63">
            <w:pPr>
              <w:keepNext/>
              <w:keepLines/>
              <w:spacing w:before="100" w:after="100"/>
              <w:ind w:left="72" w:rightChars="5" w:right="12"/>
              <w:jc w:val="center"/>
              <w:rPr>
                <w:rFonts w:eastAsia="Times New Roman" w:cs="Segoe UI"/>
                <w:b/>
                <w:bCs/>
                <w:kern w:val="0"/>
                <w:sz w:val="18"/>
                <w:szCs w:val="18"/>
                <w14:ligatures w14:val="none"/>
              </w:rPr>
            </w:pPr>
            <w:r w:rsidRPr="003D55D6">
              <w:rPr>
                <w:rFonts w:eastAsia="Times New Roman" w:cs="Segoe UI"/>
                <w:b/>
                <w:bCs/>
                <w:kern w:val="0"/>
                <w:sz w:val="18"/>
                <w:szCs w:val="18"/>
                <w14:ligatures w14:val="none"/>
              </w:rPr>
              <w:t xml:space="preserve">Knee osteoarthritis: </w:t>
            </w:r>
            <w:r>
              <w:rPr>
                <w:rFonts w:eastAsia="Times New Roman" w:cs="Segoe UI"/>
                <w:b/>
                <w:bCs/>
                <w:kern w:val="0"/>
                <w:sz w:val="18"/>
                <w:szCs w:val="18"/>
                <w14:ligatures w14:val="none"/>
              </w:rPr>
              <w:br/>
            </w:r>
            <w:r w:rsidRPr="003D55D6">
              <w:rPr>
                <w:rFonts w:eastAsia="Times New Roman" w:cs="Segoe UI"/>
                <w:kern w:val="0"/>
                <w:sz w:val="16"/>
                <w:szCs w:val="16"/>
                <w14:ligatures w14:val="none"/>
              </w:rPr>
              <w:t>surgery timing vs nonoperative management</w:t>
            </w:r>
          </w:p>
        </w:tc>
        <w:tc>
          <w:tcPr>
            <w:tcW w:w="2160" w:type="dxa"/>
            <w:tcBorders>
              <w:top w:val="single" w:sz="4" w:space="0" w:color="D9D9D9" w:themeColor="background1" w:themeShade="D9"/>
              <w:left w:val="single" w:sz="4" w:space="0" w:color="BFBFBF" w:themeColor="background1" w:themeShade="BF"/>
              <w:bottom w:val="single" w:sz="4" w:space="0" w:color="D9D9D9" w:themeColor="background1" w:themeShade="D9"/>
              <w:right w:val="single" w:sz="4" w:space="0" w:color="D9D9D9" w:themeColor="background1" w:themeShade="D9"/>
            </w:tcBorders>
            <w:vAlign w:val="center"/>
          </w:tcPr>
          <w:p w14:paraId="7F2E6F50" w14:textId="77777777" w:rsidR="00BF5DC4" w:rsidRPr="003D55D6" w:rsidRDefault="00BF5DC4" w:rsidP="00430B63">
            <w:pPr>
              <w:keepNext/>
              <w:keepLines/>
              <w:spacing w:before="80" w:after="80"/>
              <w:ind w:left="86" w:right="86"/>
              <w:jc w:val="center"/>
              <w:rPr>
                <w:rFonts w:ascii="Aptos Narrow" w:eastAsia="Times New Roman" w:hAnsi="Aptos Narrow" w:cs="Segoe UI"/>
                <w:kern w:val="0"/>
                <w:sz w:val="16"/>
                <w:szCs w:val="16"/>
                <w14:ligatures w14:val="none"/>
              </w:rPr>
            </w:pPr>
            <w:r w:rsidRPr="00ED2420">
              <w:rPr>
                <w:rFonts w:ascii="Aptos Narrow" w:hAnsi="Aptos Narrow"/>
                <w:sz w:val="16"/>
                <w:szCs w:val="16"/>
              </w:rPr>
              <w:t>Functional outcomes, rehab adherence, burden tolerance</w:t>
            </w:r>
          </w:p>
        </w:tc>
        <w:tc>
          <w:tcPr>
            <w:tcW w:w="144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33714181" w14:textId="77777777" w:rsidR="00BF5DC4" w:rsidRPr="00B87611" w:rsidRDefault="00BF5DC4" w:rsidP="00430B63">
            <w:pPr>
              <w:keepNext/>
              <w:keepLines/>
              <w:spacing w:before="80" w:after="80"/>
              <w:ind w:left="86" w:right="86"/>
              <w:jc w:val="center"/>
              <w:rPr>
                <w:rFonts w:ascii="Aptos Narrow" w:eastAsia="Times New Roman" w:hAnsi="Aptos Narrow" w:cs="Segoe UI"/>
                <w:b/>
                <w:bCs/>
                <w:kern w:val="0"/>
                <w:sz w:val="20"/>
                <w:szCs w:val="20"/>
                <w14:ligatures w14:val="none"/>
              </w:rPr>
            </w:pPr>
            <w:r w:rsidRPr="00B87611">
              <w:rPr>
                <w:b/>
                <w:bCs/>
                <w:sz w:val="20"/>
                <w:szCs w:val="20"/>
              </w:rPr>
              <w:t>B2</w:t>
            </w:r>
          </w:p>
        </w:tc>
        <w:tc>
          <w:tcPr>
            <w:tcW w:w="153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1AEACC01" w14:textId="0B9BE52F" w:rsidR="00BF5DC4" w:rsidRPr="00B87611" w:rsidRDefault="00BF5DC4" w:rsidP="00430B63">
            <w:pPr>
              <w:keepNext/>
              <w:keepLines/>
              <w:spacing w:before="80" w:after="80"/>
              <w:ind w:left="86" w:right="86"/>
              <w:jc w:val="center"/>
              <w:rPr>
                <w:rFonts w:ascii="Aptos Narrow" w:hAnsi="Aptos Narrow"/>
                <w:sz w:val="16"/>
                <w:szCs w:val="16"/>
              </w:rPr>
            </w:pPr>
            <w:r w:rsidRPr="00B87611">
              <w:rPr>
                <w:rFonts w:ascii="Aptos Narrow" w:hAnsi="Aptos Narrow"/>
                <w:sz w:val="16"/>
                <w:szCs w:val="16"/>
              </w:rPr>
              <w:t>Preference</w:t>
            </w:r>
            <w:r w:rsidR="00AB5CE1">
              <w:rPr>
                <w:rFonts w:ascii="Aptos Narrow" w:hAnsi="Aptos Narrow"/>
                <w:sz w:val="16"/>
                <w:szCs w:val="16"/>
              </w:rPr>
              <w:t>-</w:t>
            </w:r>
            <w:r w:rsidRPr="00B87611">
              <w:rPr>
                <w:rFonts w:ascii="Aptos Narrow" w:hAnsi="Aptos Narrow"/>
                <w:sz w:val="16"/>
                <w:szCs w:val="16"/>
              </w:rPr>
              <w:t>stratified randomized design</w:t>
            </w:r>
          </w:p>
        </w:tc>
        <w:tc>
          <w:tcPr>
            <w:tcW w:w="170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BFBFBF" w:themeColor="background1" w:themeShade="BF"/>
            </w:tcBorders>
            <w:vAlign w:val="center"/>
          </w:tcPr>
          <w:p w14:paraId="3CA1098C" w14:textId="77777777" w:rsidR="00BF5DC4" w:rsidRPr="003D55D6" w:rsidRDefault="00BF5DC4" w:rsidP="00430B63">
            <w:pPr>
              <w:keepNext/>
              <w:keepLines/>
              <w:spacing w:before="80" w:after="80"/>
              <w:ind w:left="86" w:right="86"/>
              <w:jc w:val="center"/>
              <w:rPr>
                <w:rFonts w:ascii="Aptos Narrow" w:eastAsia="Times New Roman" w:hAnsi="Aptos Narrow" w:cs="Segoe UI"/>
                <w:kern w:val="0"/>
                <w:sz w:val="16"/>
                <w:szCs w:val="16"/>
                <w14:ligatures w14:val="none"/>
              </w:rPr>
            </w:pPr>
            <w:r w:rsidRPr="00ED2420">
              <w:rPr>
                <w:rFonts w:ascii="Arial Narrow" w:hAnsi="Arial Narrow"/>
                <w:sz w:val="16"/>
                <w:szCs w:val="16"/>
              </w:rPr>
              <w:t>Strong extension of the framework</w:t>
            </w:r>
          </w:p>
        </w:tc>
      </w:tr>
      <w:tr w:rsidR="00BF5DC4" w:rsidRPr="003D55D6" w14:paraId="769C6634" w14:textId="77777777" w:rsidTr="00BF5DC4">
        <w:trPr>
          <w:jc w:val="center"/>
        </w:trPr>
        <w:tc>
          <w:tcPr>
            <w:tcW w:w="2512" w:type="dxa"/>
            <w:tcBorders>
              <w:top w:val="single" w:sz="4" w:space="0" w:color="A6A6A6" w:themeColor="background1" w:themeShade="A6"/>
              <w:left w:val="single" w:sz="4" w:space="0" w:color="BFBFBF" w:themeColor="background1" w:themeShade="BF"/>
              <w:bottom w:val="single" w:sz="4" w:space="0" w:color="A6A6A6" w:themeColor="background1" w:themeShade="A6"/>
              <w:right w:val="single" w:sz="4" w:space="0" w:color="BFBFBF" w:themeColor="background1" w:themeShade="BF"/>
            </w:tcBorders>
            <w:shd w:val="clear" w:color="auto" w:fill="F2F2F2" w:themeFill="background1" w:themeFillShade="F2"/>
            <w:vAlign w:val="center"/>
          </w:tcPr>
          <w:p w14:paraId="2E7516EE" w14:textId="77777777" w:rsidR="00BF5DC4" w:rsidRPr="003D55D6" w:rsidRDefault="00BF5DC4" w:rsidP="00430B63">
            <w:pPr>
              <w:keepNext/>
              <w:keepLines/>
              <w:spacing w:before="100" w:after="100"/>
              <w:ind w:left="72" w:rightChars="5" w:right="12"/>
              <w:jc w:val="center"/>
              <w:rPr>
                <w:rFonts w:eastAsia="Times New Roman" w:cs="Segoe UI"/>
                <w:b/>
                <w:bCs/>
                <w:kern w:val="0"/>
                <w:sz w:val="18"/>
                <w:szCs w:val="18"/>
                <w14:ligatures w14:val="none"/>
              </w:rPr>
            </w:pPr>
            <w:r w:rsidRPr="003D55D6">
              <w:rPr>
                <w:rFonts w:eastAsia="Times New Roman" w:cs="Segoe UI"/>
                <w:b/>
                <w:bCs/>
                <w:kern w:val="0"/>
                <w:sz w:val="18"/>
                <w:szCs w:val="18"/>
                <w14:ligatures w14:val="none"/>
              </w:rPr>
              <w:t xml:space="preserve">Peripheral artery disease / claudication: </w:t>
            </w:r>
            <w:r>
              <w:rPr>
                <w:rFonts w:eastAsia="Times New Roman" w:cs="Segoe UI"/>
                <w:b/>
                <w:bCs/>
                <w:kern w:val="0"/>
                <w:sz w:val="18"/>
                <w:szCs w:val="18"/>
                <w14:ligatures w14:val="none"/>
              </w:rPr>
              <w:br/>
            </w:r>
            <w:r w:rsidRPr="003D55D6">
              <w:rPr>
                <w:rFonts w:eastAsia="Times New Roman" w:cs="Segoe UI"/>
                <w:kern w:val="0"/>
                <w:sz w:val="16"/>
                <w:szCs w:val="16"/>
                <w14:ligatures w14:val="none"/>
              </w:rPr>
              <w:t>revascularization vs exercise/medical care</w:t>
            </w:r>
          </w:p>
        </w:tc>
        <w:tc>
          <w:tcPr>
            <w:tcW w:w="2160" w:type="dxa"/>
            <w:tcBorders>
              <w:top w:val="single" w:sz="4" w:space="0" w:color="D9D9D9" w:themeColor="background1" w:themeShade="D9"/>
              <w:left w:val="single" w:sz="4" w:space="0" w:color="BFBFBF" w:themeColor="background1" w:themeShade="BF"/>
              <w:bottom w:val="single" w:sz="4" w:space="0" w:color="D9D9D9" w:themeColor="background1" w:themeShade="D9"/>
              <w:right w:val="single" w:sz="4" w:space="0" w:color="D9D9D9" w:themeColor="background1" w:themeShade="D9"/>
            </w:tcBorders>
            <w:vAlign w:val="center"/>
          </w:tcPr>
          <w:p w14:paraId="5CFD6620" w14:textId="77777777" w:rsidR="00BF5DC4" w:rsidRPr="003D55D6" w:rsidRDefault="00BF5DC4" w:rsidP="00430B63">
            <w:pPr>
              <w:keepNext/>
              <w:keepLines/>
              <w:spacing w:before="80" w:after="80"/>
              <w:ind w:left="86" w:right="86"/>
              <w:jc w:val="center"/>
              <w:rPr>
                <w:rFonts w:ascii="Aptos Narrow" w:eastAsia="Times New Roman" w:hAnsi="Aptos Narrow" w:cs="Segoe UI"/>
                <w:kern w:val="0"/>
                <w:sz w:val="16"/>
                <w:szCs w:val="16"/>
                <w14:ligatures w14:val="none"/>
              </w:rPr>
            </w:pPr>
            <w:r w:rsidRPr="00ED2420">
              <w:rPr>
                <w:rFonts w:ascii="Aptos Narrow" w:hAnsi="Aptos Narrow"/>
                <w:sz w:val="16"/>
                <w:szCs w:val="16"/>
              </w:rPr>
              <w:t>Symptoms, walking capacity, burden, adherence</w:t>
            </w:r>
          </w:p>
        </w:tc>
        <w:tc>
          <w:tcPr>
            <w:tcW w:w="144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0043C646" w14:textId="77777777" w:rsidR="00BF5DC4" w:rsidRPr="00B87611" w:rsidRDefault="00BF5DC4" w:rsidP="00430B63">
            <w:pPr>
              <w:keepNext/>
              <w:keepLines/>
              <w:spacing w:before="80" w:after="80"/>
              <w:ind w:left="86" w:right="86"/>
              <w:jc w:val="center"/>
              <w:rPr>
                <w:rFonts w:ascii="Aptos Narrow" w:eastAsia="Times New Roman" w:hAnsi="Aptos Narrow" w:cs="Segoe UI"/>
                <w:b/>
                <w:bCs/>
                <w:kern w:val="0"/>
                <w:sz w:val="20"/>
                <w:szCs w:val="20"/>
                <w14:ligatures w14:val="none"/>
              </w:rPr>
            </w:pPr>
            <w:r w:rsidRPr="00B87611">
              <w:rPr>
                <w:b/>
                <w:bCs/>
                <w:sz w:val="20"/>
                <w:szCs w:val="20"/>
              </w:rPr>
              <w:t>B2</w:t>
            </w:r>
          </w:p>
        </w:tc>
        <w:tc>
          <w:tcPr>
            <w:tcW w:w="153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431A2D71" w14:textId="77777777" w:rsidR="00BF5DC4" w:rsidRPr="00B87611" w:rsidRDefault="00BF5DC4" w:rsidP="00430B63">
            <w:pPr>
              <w:keepNext/>
              <w:keepLines/>
              <w:spacing w:before="80" w:after="80"/>
              <w:ind w:left="86" w:right="86"/>
              <w:jc w:val="center"/>
              <w:rPr>
                <w:rFonts w:ascii="Aptos Narrow" w:hAnsi="Aptos Narrow"/>
                <w:sz w:val="16"/>
                <w:szCs w:val="16"/>
              </w:rPr>
            </w:pPr>
            <w:r w:rsidRPr="00B87611">
              <w:rPr>
                <w:rFonts w:ascii="Aptos Narrow" w:hAnsi="Aptos Narrow"/>
                <w:sz w:val="16"/>
                <w:szCs w:val="16"/>
              </w:rPr>
              <w:t>Randomized encouragement design</w:t>
            </w:r>
          </w:p>
        </w:tc>
        <w:tc>
          <w:tcPr>
            <w:tcW w:w="170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BFBFBF" w:themeColor="background1" w:themeShade="BF"/>
            </w:tcBorders>
            <w:vAlign w:val="center"/>
          </w:tcPr>
          <w:p w14:paraId="5E4E22DD" w14:textId="77777777" w:rsidR="00BF5DC4" w:rsidRPr="003D55D6" w:rsidRDefault="00BF5DC4" w:rsidP="00430B63">
            <w:pPr>
              <w:keepNext/>
              <w:keepLines/>
              <w:spacing w:before="80" w:after="80"/>
              <w:ind w:left="86" w:right="86"/>
              <w:jc w:val="center"/>
              <w:rPr>
                <w:rFonts w:ascii="Aptos Narrow" w:eastAsia="Times New Roman" w:hAnsi="Aptos Narrow" w:cs="Segoe UI"/>
                <w:kern w:val="0"/>
                <w:sz w:val="16"/>
                <w:szCs w:val="16"/>
                <w14:ligatures w14:val="none"/>
              </w:rPr>
            </w:pPr>
            <w:r w:rsidRPr="00ED2420">
              <w:rPr>
                <w:rFonts w:ascii="Arial Narrow" w:hAnsi="Arial Narrow"/>
                <w:sz w:val="16"/>
                <w:szCs w:val="16"/>
              </w:rPr>
              <w:t>Good fit where biological contrasts are modest</w:t>
            </w:r>
          </w:p>
        </w:tc>
      </w:tr>
      <w:tr w:rsidR="00BF5DC4" w:rsidRPr="003D55D6" w14:paraId="556EC573" w14:textId="77777777" w:rsidTr="00BF5DC4">
        <w:trPr>
          <w:jc w:val="center"/>
        </w:trPr>
        <w:tc>
          <w:tcPr>
            <w:tcW w:w="2512" w:type="dxa"/>
            <w:tcBorders>
              <w:top w:val="single" w:sz="4" w:space="0" w:color="A6A6A6" w:themeColor="background1" w:themeShade="A6"/>
              <w:left w:val="single" w:sz="4" w:space="0" w:color="BFBFBF" w:themeColor="background1" w:themeShade="BF"/>
              <w:bottom w:val="single" w:sz="4" w:space="0" w:color="A6A6A6" w:themeColor="background1" w:themeShade="A6"/>
              <w:right w:val="single" w:sz="4" w:space="0" w:color="BFBFBF" w:themeColor="background1" w:themeShade="BF"/>
            </w:tcBorders>
            <w:shd w:val="clear" w:color="auto" w:fill="F2F2F2" w:themeFill="background1" w:themeFillShade="F2"/>
            <w:vAlign w:val="center"/>
          </w:tcPr>
          <w:p w14:paraId="6909C4A3" w14:textId="77777777" w:rsidR="00BF5DC4" w:rsidRPr="003D55D6" w:rsidRDefault="00BF5DC4" w:rsidP="00430B63">
            <w:pPr>
              <w:keepNext/>
              <w:keepLines/>
              <w:spacing w:before="100" w:after="100"/>
              <w:ind w:left="72" w:rightChars="5" w:right="12"/>
              <w:jc w:val="center"/>
              <w:rPr>
                <w:rFonts w:eastAsia="Times New Roman" w:cs="Segoe UI"/>
                <w:b/>
                <w:bCs/>
                <w:kern w:val="0"/>
                <w:sz w:val="18"/>
                <w:szCs w:val="18"/>
                <w14:ligatures w14:val="none"/>
              </w:rPr>
            </w:pPr>
            <w:r w:rsidRPr="003D55D6">
              <w:rPr>
                <w:rFonts w:eastAsia="Times New Roman" w:cs="Segoe UI"/>
                <w:b/>
                <w:bCs/>
                <w:kern w:val="0"/>
                <w:sz w:val="18"/>
                <w:szCs w:val="18"/>
                <w14:ligatures w14:val="none"/>
              </w:rPr>
              <w:t xml:space="preserve">Heavy menstrual bleeding / fibroids: </w:t>
            </w:r>
            <w:r>
              <w:rPr>
                <w:rFonts w:eastAsia="Times New Roman" w:cs="Segoe UI"/>
                <w:b/>
                <w:bCs/>
                <w:kern w:val="0"/>
                <w:sz w:val="18"/>
                <w:szCs w:val="18"/>
                <w14:ligatures w14:val="none"/>
              </w:rPr>
              <w:br/>
            </w:r>
            <w:r w:rsidRPr="003D55D6">
              <w:rPr>
                <w:rFonts w:eastAsia="Times New Roman" w:cs="Segoe UI"/>
                <w:kern w:val="0"/>
                <w:sz w:val="16"/>
                <w:szCs w:val="16"/>
                <w14:ligatures w14:val="none"/>
              </w:rPr>
              <w:t>medical vs procedural management</w:t>
            </w:r>
          </w:p>
        </w:tc>
        <w:tc>
          <w:tcPr>
            <w:tcW w:w="2160" w:type="dxa"/>
            <w:tcBorders>
              <w:top w:val="single" w:sz="4" w:space="0" w:color="D9D9D9" w:themeColor="background1" w:themeShade="D9"/>
              <w:left w:val="single" w:sz="4" w:space="0" w:color="BFBFBF" w:themeColor="background1" w:themeShade="BF"/>
              <w:bottom w:val="single" w:sz="4" w:space="0" w:color="D9D9D9" w:themeColor="background1" w:themeShade="D9"/>
              <w:right w:val="single" w:sz="4" w:space="0" w:color="D9D9D9" w:themeColor="background1" w:themeShade="D9"/>
            </w:tcBorders>
            <w:vAlign w:val="center"/>
          </w:tcPr>
          <w:p w14:paraId="36C982D9" w14:textId="73581F18" w:rsidR="00BF5DC4" w:rsidRPr="003D55D6" w:rsidRDefault="00BF5DC4" w:rsidP="00430B63">
            <w:pPr>
              <w:keepNext/>
              <w:keepLines/>
              <w:spacing w:before="80" w:after="80"/>
              <w:ind w:left="86" w:right="86"/>
              <w:jc w:val="center"/>
              <w:rPr>
                <w:rFonts w:ascii="Aptos Narrow" w:eastAsia="Times New Roman" w:hAnsi="Aptos Narrow" w:cs="Segoe UI"/>
                <w:kern w:val="0"/>
                <w:sz w:val="16"/>
                <w:szCs w:val="16"/>
                <w14:ligatures w14:val="none"/>
              </w:rPr>
            </w:pPr>
            <w:r w:rsidRPr="00ED2420">
              <w:rPr>
                <w:rFonts w:ascii="Aptos Narrow" w:hAnsi="Aptos Narrow"/>
                <w:sz w:val="16"/>
                <w:szCs w:val="16"/>
              </w:rPr>
              <w:t>Competing options, symptom–function trade</w:t>
            </w:r>
            <w:r w:rsidR="00AB5CE1">
              <w:rPr>
                <w:rFonts w:ascii="Aptos Narrow" w:hAnsi="Aptos Narrow"/>
                <w:sz w:val="16"/>
                <w:szCs w:val="16"/>
              </w:rPr>
              <w:t>-</w:t>
            </w:r>
            <w:r w:rsidRPr="00ED2420">
              <w:rPr>
                <w:rFonts w:ascii="Aptos Narrow" w:hAnsi="Aptos Narrow"/>
                <w:sz w:val="16"/>
                <w:szCs w:val="16"/>
              </w:rPr>
              <w:t>offs, burden</w:t>
            </w:r>
          </w:p>
        </w:tc>
        <w:tc>
          <w:tcPr>
            <w:tcW w:w="144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6BAD8C4E" w14:textId="77777777" w:rsidR="00BF5DC4" w:rsidRPr="00B87611" w:rsidRDefault="00BF5DC4" w:rsidP="00430B63">
            <w:pPr>
              <w:keepNext/>
              <w:keepLines/>
              <w:spacing w:before="80" w:after="80"/>
              <w:ind w:left="86" w:right="86"/>
              <w:jc w:val="center"/>
              <w:rPr>
                <w:rFonts w:ascii="Aptos Narrow" w:eastAsia="Times New Roman" w:hAnsi="Aptos Narrow" w:cs="Segoe UI"/>
                <w:b/>
                <w:bCs/>
                <w:kern w:val="0"/>
                <w:sz w:val="20"/>
                <w:szCs w:val="20"/>
                <w14:ligatures w14:val="none"/>
              </w:rPr>
            </w:pPr>
            <w:r w:rsidRPr="00B87611">
              <w:rPr>
                <w:b/>
                <w:bCs/>
                <w:sz w:val="20"/>
                <w:szCs w:val="20"/>
              </w:rPr>
              <w:t>B2</w:t>
            </w:r>
          </w:p>
        </w:tc>
        <w:tc>
          <w:tcPr>
            <w:tcW w:w="153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7BEC857E" w14:textId="2581CE01" w:rsidR="00BF5DC4" w:rsidRPr="00B87611" w:rsidRDefault="00BF5DC4" w:rsidP="00430B63">
            <w:pPr>
              <w:keepNext/>
              <w:keepLines/>
              <w:spacing w:before="80" w:after="80"/>
              <w:ind w:left="86" w:right="86"/>
              <w:jc w:val="center"/>
              <w:rPr>
                <w:rFonts w:ascii="Aptos Narrow" w:hAnsi="Aptos Narrow"/>
                <w:sz w:val="16"/>
                <w:szCs w:val="16"/>
              </w:rPr>
            </w:pPr>
            <w:r w:rsidRPr="00B87611">
              <w:rPr>
                <w:rFonts w:ascii="Aptos Narrow" w:hAnsi="Aptos Narrow"/>
                <w:sz w:val="16"/>
                <w:szCs w:val="16"/>
              </w:rPr>
              <w:t>Preference</w:t>
            </w:r>
            <w:r w:rsidR="00AB5CE1">
              <w:rPr>
                <w:rFonts w:ascii="Aptos Narrow" w:hAnsi="Aptos Narrow"/>
                <w:sz w:val="16"/>
                <w:szCs w:val="16"/>
              </w:rPr>
              <w:t>-</w:t>
            </w:r>
            <w:r w:rsidRPr="00B87611">
              <w:rPr>
                <w:rFonts w:ascii="Aptos Narrow" w:hAnsi="Aptos Narrow"/>
                <w:sz w:val="16"/>
                <w:szCs w:val="16"/>
              </w:rPr>
              <w:t>stratified design</w:t>
            </w:r>
          </w:p>
        </w:tc>
        <w:tc>
          <w:tcPr>
            <w:tcW w:w="170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BFBFBF" w:themeColor="background1" w:themeShade="BF"/>
            </w:tcBorders>
            <w:vAlign w:val="center"/>
          </w:tcPr>
          <w:p w14:paraId="3BCA2809" w14:textId="5167B8C4" w:rsidR="00BF5DC4" w:rsidRPr="003D55D6" w:rsidRDefault="00BF5DC4" w:rsidP="00430B63">
            <w:pPr>
              <w:keepNext/>
              <w:keepLines/>
              <w:spacing w:before="80" w:after="80"/>
              <w:ind w:left="86" w:right="86"/>
              <w:jc w:val="center"/>
              <w:rPr>
                <w:rFonts w:ascii="Aptos Narrow" w:eastAsia="Times New Roman" w:hAnsi="Aptos Narrow" w:cs="Segoe UI"/>
                <w:kern w:val="0"/>
                <w:sz w:val="16"/>
                <w:szCs w:val="16"/>
                <w14:ligatures w14:val="none"/>
              </w:rPr>
            </w:pPr>
            <w:r w:rsidRPr="00ED2420">
              <w:rPr>
                <w:rFonts w:ascii="Arial Narrow" w:hAnsi="Arial Narrow"/>
                <w:sz w:val="16"/>
                <w:szCs w:val="16"/>
              </w:rPr>
              <w:t>Strong preference</w:t>
            </w:r>
            <w:r w:rsidR="00AB5CE1">
              <w:rPr>
                <w:rFonts w:ascii="Arial Narrow" w:hAnsi="Arial Narrow"/>
                <w:sz w:val="16"/>
                <w:szCs w:val="16"/>
              </w:rPr>
              <w:t>-</w:t>
            </w:r>
            <w:r w:rsidRPr="00ED2420">
              <w:rPr>
                <w:rFonts w:ascii="Arial Narrow" w:hAnsi="Arial Narrow"/>
                <w:sz w:val="16"/>
                <w:szCs w:val="16"/>
              </w:rPr>
              <w:t>sensitive symptom outcomes</w:t>
            </w:r>
          </w:p>
        </w:tc>
      </w:tr>
      <w:tr w:rsidR="00BF5DC4" w:rsidRPr="003D55D6" w14:paraId="5A65A34B" w14:textId="77777777" w:rsidTr="00BF5DC4">
        <w:trPr>
          <w:jc w:val="center"/>
        </w:trPr>
        <w:tc>
          <w:tcPr>
            <w:tcW w:w="2512" w:type="dxa"/>
            <w:tcBorders>
              <w:top w:val="single" w:sz="4" w:space="0" w:color="A6A6A6" w:themeColor="background1" w:themeShade="A6"/>
              <w:left w:val="single" w:sz="4" w:space="0" w:color="BFBFBF" w:themeColor="background1" w:themeShade="BF"/>
              <w:bottom w:val="single" w:sz="4" w:space="0" w:color="A6A6A6" w:themeColor="background1" w:themeShade="A6"/>
              <w:right w:val="single" w:sz="4" w:space="0" w:color="BFBFBF" w:themeColor="background1" w:themeShade="BF"/>
            </w:tcBorders>
            <w:shd w:val="clear" w:color="auto" w:fill="F2F2F2" w:themeFill="background1" w:themeFillShade="F2"/>
            <w:vAlign w:val="center"/>
          </w:tcPr>
          <w:p w14:paraId="1599A100" w14:textId="77777777" w:rsidR="00BF5DC4" w:rsidRPr="003D55D6" w:rsidRDefault="00BF5DC4" w:rsidP="00430B63">
            <w:pPr>
              <w:keepNext/>
              <w:keepLines/>
              <w:spacing w:before="100" w:after="100"/>
              <w:ind w:left="72" w:rightChars="5" w:right="12"/>
              <w:jc w:val="center"/>
              <w:rPr>
                <w:rFonts w:eastAsia="Times New Roman" w:cs="Segoe UI"/>
                <w:b/>
                <w:bCs/>
                <w:kern w:val="0"/>
                <w:sz w:val="18"/>
                <w:szCs w:val="18"/>
                <w14:ligatures w14:val="none"/>
              </w:rPr>
            </w:pPr>
            <w:r w:rsidRPr="003D55D6">
              <w:rPr>
                <w:rFonts w:eastAsia="Times New Roman" w:cs="Segoe UI"/>
                <w:b/>
                <w:bCs/>
                <w:kern w:val="0"/>
                <w:sz w:val="18"/>
                <w:szCs w:val="18"/>
                <w14:ligatures w14:val="none"/>
              </w:rPr>
              <w:t xml:space="preserve">Obstructive sleep apnea: </w:t>
            </w:r>
            <w:r w:rsidRPr="003D55D6">
              <w:rPr>
                <w:rFonts w:eastAsia="Times New Roman" w:cs="Segoe UI"/>
                <w:kern w:val="0"/>
                <w:sz w:val="16"/>
                <w:szCs w:val="16"/>
                <w14:ligatures w14:val="none"/>
              </w:rPr>
              <w:t>CPAP vs oral appliance vs surgery</w:t>
            </w:r>
          </w:p>
        </w:tc>
        <w:tc>
          <w:tcPr>
            <w:tcW w:w="2160" w:type="dxa"/>
            <w:tcBorders>
              <w:top w:val="single" w:sz="4" w:space="0" w:color="D9D9D9" w:themeColor="background1" w:themeShade="D9"/>
              <w:left w:val="single" w:sz="4" w:space="0" w:color="BFBFBF" w:themeColor="background1" w:themeShade="BF"/>
              <w:bottom w:val="single" w:sz="4" w:space="0" w:color="D9D9D9" w:themeColor="background1" w:themeShade="D9"/>
              <w:right w:val="single" w:sz="4" w:space="0" w:color="D9D9D9" w:themeColor="background1" w:themeShade="D9"/>
            </w:tcBorders>
            <w:vAlign w:val="center"/>
          </w:tcPr>
          <w:p w14:paraId="41C236C5" w14:textId="77777777" w:rsidR="00BF5DC4" w:rsidRPr="003D55D6" w:rsidRDefault="00BF5DC4" w:rsidP="00430B63">
            <w:pPr>
              <w:keepNext/>
              <w:keepLines/>
              <w:spacing w:before="80" w:after="80"/>
              <w:ind w:left="86" w:right="86"/>
              <w:jc w:val="center"/>
              <w:rPr>
                <w:rFonts w:ascii="Aptos Narrow" w:eastAsia="Times New Roman" w:hAnsi="Aptos Narrow" w:cs="Segoe UI"/>
                <w:kern w:val="0"/>
                <w:sz w:val="16"/>
                <w:szCs w:val="16"/>
                <w14:ligatures w14:val="none"/>
              </w:rPr>
            </w:pPr>
            <w:r w:rsidRPr="00ED2420">
              <w:rPr>
                <w:rFonts w:ascii="Aptos Narrow" w:hAnsi="Aptos Narrow"/>
                <w:sz w:val="16"/>
                <w:szCs w:val="16"/>
              </w:rPr>
              <w:t>Persistence and uptake shape realized benefit</w:t>
            </w:r>
          </w:p>
        </w:tc>
        <w:tc>
          <w:tcPr>
            <w:tcW w:w="144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52BBFF21" w14:textId="77777777" w:rsidR="00BF5DC4" w:rsidRPr="00B87611" w:rsidRDefault="00BF5DC4" w:rsidP="00430B63">
            <w:pPr>
              <w:keepNext/>
              <w:keepLines/>
              <w:spacing w:before="80" w:after="80"/>
              <w:ind w:left="86" w:right="86"/>
              <w:jc w:val="center"/>
              <w:rPr>
                <w:rFonts w:ascii="Aptos Narrow" w:eastAsia="Times New Roman" w:hAnsi="Aptos Narrow" w:cs="Segoe UI"/>
                <w:b/>
                <w:bCs/>
                <w:kern w:val="0"/>
                <w:sz w:val="20"/>
                <w:szCs w:val="20"/>
                <w14:ligatures w14:val="none"/>
              </w:rPr>
            </w:pPr>
            <w:r w:rsidRPr="00B87611">
              <w:rPr>
                <w:b/>
                <w:bCs/>
                <w:sz w:val="20"/>
                <w:szCs w:val="20"/>
              </w:rPr>
              <w:t>B2 / B4</w:t>
            </w:r>
          </w:p>
        </w:tc>
        <w:tc>
          <w:tcPr>
            <w:tcW w:w="153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11376D7B" w14:textId="77777777" w:rsidR="00BF5DC4" w:rsidRPr="00B87611" w:rsidRDefault="00BF5DC4" w:rsidP="00430B63">
            <w:pPr>
              <w:keepNext/>
              <w:keepLines/>
              <w:spacing w:before="80" w:after="80"/>
              <w:ind w:left="86" w:right="86"/>
              <w:jc w:val="center"/>
              <w:rPr>
                <w:rFonts w:ascii="Aptos Narrow" w:hAnsi="Aptos Narrow"/>
                <w:sz w:val="16"/>
                <w:szCs w:val="16"/>
              </w:rPr>
            </w:pPr>
            <w:r w:rsidRPr="00B87611">
              <w:rPr>
                <w:rFonts w:ascii="Aptos Narrow" w:hAnsi="Aptos Narrow"/>
                <w:sz w:val="16"/>
                <w:szCs w:val="16"/>
              </w:rPr>
              <w:t>Encouragement or sequential adaptive design</w:t>
            </w:r>
          </w:p>
        </w:tc>
        <w:tc>
          <w:tcPr>
            <w:tcW w:w="170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BFBFBF" w:themeColor="background1" w:themeShade="BF"/>
            </w:tcBorders>
            <w:vAlign w:val="center"/>
          </w:tcPr>
          <w:p w14:paraId="166FCF05" w14:textId="77777777" w:rsidR="00BF5DC4" w:rsidRPr="003D55D6" w:rsidRDefault="00BF5DC4" w:rsidP="00430B63">
            <w:pPr>
              <w:keepNext/>
              <w:keepLines/>
              <w:spacing w:before="80" w:after="80"/>
              <w:ind w:left="86" w:right="86"/>
              <w:jc w:val="center"/>
              <w:rPr>
                <w:rFonts w:ascii="Aptos Narrow" w:eastAsia="Times New Roman" w:hAnsi="Aptos Narrow" w:cs="Segoe UI"/>
                <w:kern w:val="0"/>
                <w:sz w:val="16"/>
                <w:szCs w:val="16"/>
                <w14:ligatures w14:val="none"/>
              </w:rPr>
            </w:pPr>
            <w:r w:rsidRPr="00ED2420">
              <w:rPr>
                <w:rFonts w:ascii="Arial Narrow" w:hAnsi="Arial Narrow"/>
                <w:sz w:val="16"/>
                <w:szCs w:val="16"/>
              </w:rPr>
              <w:t>Most suitable with prospective adherence measurement</w:t>
            </w:r>
          </w:p>
        </w:tc>
      </w:tr>
      <w:tr w:rsidR="00BF5DC4" w:rsidRPr="003D55D6" w14:paraId="04962F65" w14:textId="77777777" w:rsidTr="00BF5DC4">
        <w:trPr>
          <w:jc w:val="center"/>
        </w:trPr>
        <w:tc>
          <w:tcPr>
            <w:tcW w:w="2512" w:type="dxa"/>
            <w:tcBorders>
              <w:top w:val="single" w:sz="4" w:space="0" w:color="A6A6A6" w:themeColor="background1" w:themeShade="A6"/>
              <w:left w:val="single" w:sz="4" w:space="0" w:color="BFBFBF" w:themeColor="background1" w:themeShade="BF"/>
              <w:bottom w:val="single" w:sz="4" w:space="0" w:color="A6A6A6" w:themeColor="background1" w:themeShade="A6"/>
              <w:right w:val="single" w:sz="4" w:space="0" w:color="BFBFBF" w:themeColor="background1" w:themeShade="BF"/>
            </w:tcBorders>
            <w:shd w:val="clear" w:color="auto" w:fill="F2F2F2" w:themeFill="background1" w:themeFillShade="F2"/>
            <w:vAlign w:val="center"/>
          </w:tcPr>
          <w:p w14:paraId="08366218" w14:textId="06EE38F6" w:rsidR="00BF5DC4" w:rsidRPr="003D55D6" w:rsidRDefault="00BF5DC4" w:rsidP="00430B63">
            <w:pPr>
              <w:keepNext/>
              <w:keepLines/>
              <w:spacing w:before="100" w:after="100"/>
              <w:ind w:left="72" w:rightChars="5" w:right="12"/>
              <w:jc w:val="center"/>
              <w:rPr>
                <w:rFonts w:eastAsia="Times New Roman" w:cs="Segoe UI"/>
                <w:b/>
                <w:bCs/>
                <w:kern w:val="0"/>
                <w:sz w:val="18"/>
                <w:szCs w:val="18"/>
                <w14:ligatures w14:val="none"/>
              </w:rPr>
            </w:pPr>
            <w:r w:rsidRPr="003D55D6">
              <w:rPr>
                <w:rFonts w:eastAsia="Times New Roman" w:cs="Segoe UI"/>
                <w:b/>
                <w:bCs/>
                <w:kern w:val="0"/>
                <w:sz w:val="18"/>
                <w:szCs w:val="18"/>
                <w14:ligatures w14:val="none"/>
              </w:rPr>
              <w:t>Low</w:t>
            </w:r>
            <w:r w:rsidR="00AB5CE1">
              <w:rPr>
                <w:rFonts w:eastAsia="Times New Roman" w:cs="Segoe UI"/>
                <w:b/>
                <w:bCs/>
                <w:kern w:val="0"/>
                <w:sz w:val="18"/>
                <w:szCs w:val="18"/>
                <w14:ligatures w14:val="none"/>
              </w:rPr>
              <w:t>-</w:t>
            </w:r>
            <w:r w:rsidRPr="003D55D6">
              <w:rPr>
                <w:rFonts w:eastAsia="Times New Roman" w:cs="Segoe UI"/>
                <w:b/>
                <w:bCs/>
                <w:kern w:val="0"/>
                <w:sz w:val="18"/>
                <w:szCs w:val="18"/>
                <w14:ligatures w14:val="none"/>
              </w:rPr>
              <w:t>risk thyroid</w:t>
            </w:r>
          </w:p>
        </w:tc>
        <w:tc>
          <w:tcPr>
            <w:tcW w:w="2160" w:type="dxa"/>
            <w:tcBorders>
              <w:top w:val="single" w:sz="4" w:space="0" w:color="D9D9D9" w:themeColor="background1" w:themeShade="D9"/>
              <w:left w:val="single" w:sz="4" w:space="0" w:color="BFBFBF" w:themeColor="background1" w:themeShade="BF"/>
              <w:bottom w:val="single" w:sz="4" w:space="0" w:color="D9D9D9" w:themeColor="background1" w:themeShade="D9"/>
              <w:right w:val="single" w:sz="4" w:space="0" w:color="D9D9D9" w:themeColor="background1" w:themeShade="D9"/>
            </w:tcBorders>
            <w:vAlign w:val="center"/>
          </w:tcPr>
          <w:p w14:paraId="295DF123" w14:textId="77777777" w:rsidR="00BF5DC4" w:rsidRPr="003D55D6" w:rsidRDefault="00BF5DC4" w:rsidP="00430B63">
            <w:pPr>
              <w:keepNext/>
              <w:keepLines/>
              <w:spacing w:before="80" w:after="80"/>
              <w:ind w:left="86" w:right="86"/>
              <w:jc w:val="center"/>
              <w:rPr>
                <w:rFonts w:ascii="Aptos Narrow" w:eastAsia="Times New Roman" w:hAnsi="Aptos Narrow" w:cs="Segoe UI"/>
                <w:kern w:val="0"/>
                <w:sz w:val="16"/>
                <w:szCs w:val="16"/>
                <w14:ligatures w14:val="none"/>
              </w:rPr>
            </w:pPr>
            <w:r w:rsidRPr="00ED2420">
              <w:rPr>
                <w:rFonts w:ascii="Aptos Narrow" w:hAnsi="Aptos Narrow"/>
                <w:sz w:val="16"/>
                <w:szCs w:val="16"/>
              </w:rPr>
              <w:t>Monitoring tolerance, intervention burden, limited biological separation</w:t>
            </w:r>
          </w:p>
        </w:tc>
        <w:tc>
          <w:tcPr>
            <w:tcW w:w="144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13F88AF5" w14:textId="77777777" w:rsidR="00BF5DC4" w:rsidRPr="00B87611" w:rsidRDefault="00BF5DC4" w:rsidP="00430B63">
            <w:pPr>
              <w:keepNext/>
              <w:keepLines/>
              <w:spacing w:before="80" w:after="80"/>
              <w:ind w:left="86" w:right="86"/>
              <w:jc w:val="center"/>
              <w:rPr>
                <w:rFonts w:ascii="Aptos Narrow" w:eastAsia="Times New Roman" w:hAnsi="Aptos Narrow" w:cs="Segoe UI"/>
                <w:b/>
                <w:bCs/>
                <w:kern w:val="0"/>
                <w:sz w:val="20"/>
                <w:szCs w:val="20"/>
                <w14:ligatures w14:val="none"/>
              </w:rPr>
            </w:pPr>
            <w:r w:rsidRPr="00B87611">
              <w:rPr>
                <w:b/>
                <w:bCs/>
                <w:sz w:val="20"/>
                <w:szCs w:val="20"/>
              </w:rPr>
              <w:t>B2 / B4</w:t>
            </w:r>
          </w:p>
        </w:tc>
        <w:tc>
          <w:tcPr>
            <w:tcW w:w="153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40F7982B" w14:textId="6E190D59" w:rsidR="00BF5DC4" w:rsidRPr="00B87611" w:rsidRDefault="00BF5DC4" w:rsidP="00430B63">
            <w:pPr>
              <w:keepNext/>
              <w:keepLines/>
              <w:spacing w:before="80" w:after="80"/>
              <w:ind w:left="86" w:right="86"/>
              <w:jc w:val="center"/>
              <w:rPr>
                <w:rFonts w:ascii="Aptos Narrow" w:hAnsi="Aptos Narrow"/>
                <w:sz w:val="16"/>
                <w:szCs w:val="16"/>
              </w:rPr>
            </w:pPr>
            <w:r w:rsidRPr="00B87611">
              <w:rPr>
                <w:rFonts w:ascii="Aptos Narrow" w:hAnsi="Aptos Narrow"/>
                <w:sz w:val="16"/>
                <w:szCs w:val="16"/>
              </w:rPr>
              <w:t>Cohort or mixed</w:t>
            </w:r>
            <w:r w:rsidR="00AB5CE1">
              <w:rPr>
                <w:rFonts w:ascii="Aptos Narrow" w:hAnsi="Aptos Narrow"/>
                <w:sz w:val="16"/>
                <w:szCs w:val="16"/>
              </w:rPr>
              <w:t>-</w:t>
            </w:r>
            <w:r w:rsidRPr="00B87611">
              <w:rPr>
                <w:rFonts w:ascii="Aptos Narrow" w:hAnsi="Aptos Narrow"/>
                <w:sz w:val="16"/>
                <w:szCs w:val="16"/>
              </w:rPr>
              <w:t>regime design</w:t>
            </w:r>
          </w:p>
        </w:tc>
        <w:tc>
          <w:tcPr>
            <w:tcW w:w="170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BFBFBF" w:themeColor="background1" w:themeShade="BF"/>
            </w:tcBorders>
            <w:vAlign w:val="center"/>
          </w:tcPr>
          <w:p w14:paraId="7595882D" w14:textId="7D7BE661" w:rsidR="00BF5DC4" w:rsidRPr="003D55D6" w:rsidRDefault="00BF5DC4" w:rsidP="00430B63">
            <w:pPr>
              <w:keepNext/>
              <w:keepLines/>
              <w:spacing w:before="80" w:after="80"/>
              <w:ind w:left="86" w:right="86"/>
              <w:jc w:val="center"/>
              <w:rPr>
                <w:rFonts w:ascii="Aptos Narrow" w:eastAsia="Times New Roman" w:hAnsi="Aptos Narrow" w:cs="Segoe UI"/>
                <w:kern w:val="0"/>
                <w:sz w:val="16"/>
                <w:szCs w:val="16"/>
                <w14:ligatures w14:val="none"/>
              </w:rPr>
            </w:pPr>
            <w:r w:rsidRPr="00ED2420">
              <w:rPr>
                <w:rFonts w:ascii="Arial Narrow" w:hAnsi="Arial Narrow"/>
                <w:sz w:val="16"/>
                <w:szCs w:val="16"/>
              </w:rPr>
              <w:t>Good fit where surveillance itself is preference</w:t>
            </w:r>
            <w:r w:rsidR="00AB5CE1">
              <w:rPr>
                <w:rFonts w:ascii="Arial Narrow" w:hAnsi="Arial Narrow"/>
                <w:sz w:val="16"/>
                <w:szCs w:val="16"/>
              </w:rPr>
              <w:t>-</w:t>
            </w:r>
            <w:r w:rsidRPr="00ED2420">
              <w:rPr>
                <w:rFonts w:ascii="Arial Narrow" w:hAnsi="Arial Narrow"/>
                <w:sz w:val="16"/>
                <w:szCs w:val="16"/>
              </w:rPr>
              <w:t>laden</w:t>
            </w:r>
          </w:p>
        </w:tc>
      </w:tr>
      <w:tr w:rsidR="00BF5DC4" w:rsidRPr="003D55D6" w14:paraId="05073127" w14:textId="77777777" w:rsidTr="00BF5DC4">
        <w:trPr>
          <w:jc w:val="center"/>
        </w:trPr>
        <w:tc>
          <w:tcPr>
            <w:tcW w:w="2512" w:type="dxa"/>
            <w:tcBorders>
              <w:top w:val="single" w:sz="4" w:space="0" w:color="A6A6A6" w:themeColor="background1" w:themeShade="A6"/>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0A4F1B6" w14:textId="77777777" w:rsidR="00BF5DC4" w:rsidRPr="003D55D6" w:rsidRDefault="00BF5DC4" w:rsidP="00430B63">
            <w:pPr>
              <w:spacing w:before="100" w:after="100"/>
              <w:ind w:left="72" w:rightChars="5" w:right="12"/>
              <w:jc w:val="center"/>
              <w:rPr>
                <w:rFonts w:eastAsia="Times New Roman" w:cs="Segoe UI"/>
                <w:b/>
                <w:bCs/>
                <w:kern w:val="0"/>
                <w:sz w:val="18"/>
                <w:szCs w:val="18"/>
                <w14:ligatures w14:val="none"/>
              </w:rPr>
            </w:pPr>
            <w:r w:rsidRPr="003D55D6">
              <w:rPr>
                <w:rFonts w:eastAsia="Times New Roman" w:cs="Segoe UI"/>
                <w:b/>
                <w:bCs/>
                <w:kern w:val="0"/>
                <w:sz w:val="18"/>
                <w:szCs w:val="18"/>
                <w14:ligatures w14:val="none"/>
              </w:rPr>
              <w:t>Multimorbidity deprescribing vs continuation pathways</w:t>
            </w:r>
          </w:p>
        </w:tc>
        <w:tc>
          <w:tcPr>
            <w:tcW w:w="2160" w:type="dxa"/>
            <w:tcBorders>
              <w:top w:val="single" w:sz="4" w:space="0" w:color="D9D9D9" w:themeColor="background1" w:themeShade="D9"/>
              <w:left w:val="single" w:sz="4" w:space="0" w:color="BFBFBF" w:themeColor="background1" w:themeShade="BF"/>
              <w:bottom w:val="single" w:sz="4" w:space="0" w:color="BFBFBF" w:themeColor="background1" w:themeShade="BF"/>
              <w:right w:val="single" w:sz="4" w:space="0" w:color="D9D9D9" w:themeColor="background1" w:themeShade="D9"/>
            </w:tcBorders>
            <w:vAlign w:val="center"/>
          </w:tcPr>
          <w:p w14:paraId="22D9998D" w14:textId="218D52C4" w:rsidR="00BF5DC4" w:rsidRPr="003D55D6" w:rsidRDefault="00BF5DC4" w:rsidP="00430B63">
            <w:pPr>
              <w:spacing w:before="80" w:after="80"/>
              <w:ind w:left="86" w:right="86"/>
              <w:jc w:val="center"/>
              <w:rPr>
                <w:rFonts w:ascii="Aptos Narrow" w:eastAsia="Times New Roman" w:hAnsi="Aptos Narrow" w:cs="Segoe UI"/>
                <w:kern w:val="0"/>
                <w:sz w:val="16"/>
                <w:szCs w:val="16"/>
                <w14:ligatures w14:val="none"/>
              </w:rPr>
            </w:pPr>
            <w:r w:rsidRPr="00ED2420">
              <w:rPr>
                <w:rFonts w:ascii="Aptos Narrow" w:hAnsi="Aptos Narrow"/>
                <w:sz w:val="16"/>
                <w:szCs w:val="16"/>
              </w:rPr>
              <w:t>Small contrasts, heavy trade</w:t>
            </w:r>
            <w:r w:rsidR="00AB5CE1">
              <w:rPr>
                <w:rFonts w:ascii="Aptos Narrow" w:hAnsi="Aptos Narrow"/>
                <w:sz w:val="16"/>
                <w:szCs w:val="16"/>
              </w:rPr>
              <w:t>-</w:t>
            </w:r>
            <w:r w:rsidRPr="00ED2420">
              <w:rPr>
                <w:rFonts w:ascii="Aptos Narrow" w:hAnsi="Aptos Narrow"/>
                <w:sz w:val="16"/>
                <w:szCs w:val="16"/>
              </w:rPr>
              <w:t>offs, strong agency</w:t>
            </w:r>
          </w:p>
        </w:tc>
        <w:tc>
          <w:tcPr>
            <w:tcW w:w="1440" w:type="dxa"/>
            <w:tcBorders>
              <w:top w:val="single" w:sz="4" w:space="0" w:color="D9D9D9" w:themeColor="background1" w:themeShade="D9"/>
              <w:left w:val="single" w:sz="4" w:space="0" w:color="D9D9D9" w:themeColor="background1" w:themeShade="D9"/>
              <w:bottom w:val="single" w:sz="4" w:space="0" w:color="BFBFBF" w:themeColor="background1" w:themeShade="BF"/>
              <w:right w:val="single" w:sz="4" w:space="0" w:color="D9D9D9" w:themeColor="background1" w:themeShade="D9"/>
            </w:tcBorders>
            <w:vAlign w:val="center"/>
          </w:tcPr>
          <w:p w14:paraId="10E4862D" w14:textId="77777777" w:rsidR="00BF5DC4" w:rsidRPr="00B87611" w:rsidRDefault="00BF5DC4" w:rsidP="00430B63">
            <w:pPr>
              <w:spacing w:before="80" w:after="80"/>
              <w:ind w:left="86" w:right="86"/>
              <w:jc w:val="center"/>
              <w:rPr>
                <w:rFonts w:ascii="Aptos Narrow" w:eastAsia="Times New Roman" w:hAnsi="Aptos Narrow" w:cs="Segoe UI"/>
                <w:b/>
                <w:bCs/>
                <w:kern w:val="0"/>
                <w:sz w:val="20"/>
                <w:szCs w:val="20"/>
                <w14:ligatures w14:val="none"/>
              </w:rPr>
            </w:pPr>
            <w:r w:rsidRPr="00B87611">
              <w:rPr>
                <w:b/>
                <w:bCs/>
                <w:sz w:val="20"/>
                <w:szCs w:val="20"/>
              </w:rPr>
              <w:t>B2 / B4</w:t>
            </w:r>
          </w:p>
        </w:tc>
        <w:tc>
          <w:tcPr>
            <w:tcW w:w="1530" w:type="dxa"/>
            <w:tcBorders>
              <w:top w:val="single" w:sz="4" w:space="0" w:color="D9D9D9" w:themeColor="background1" w:themeShade="D9"/>
              <w:left w:val="single" w:sz="4" w:space="0" w:color="D9D9D9" w:themeColor="background1" w:themeShade="D9"/>
              <w:bottom w:val="single" w:sz="4" w:space="0" w:color="BFBFBF" w:themeColor="background1" w:themeShade="BF"/>
              <w:right w:val="single" w:sz="4" w:space="0" w:color="D9D9D9" w:themeColor="background1" w:themeShade="D9"/>
            </w:tcBorders>
            <w:vAlign w:val="center"/>
          </w:tcPr>
          <w:p w14:paraId="29FC188F" w14:textId="77777777" w:rsidR="00BF5DC4" w:rsidRPr="00B87611" w:rsidRDefault="00BF5DC4" w:rsidP="00430B63">
            <w:pPr>
              <w:spacing w:before="80" w:after="80"/>
              <w:ind w:left="86" w:right="86"/>
              <w:jc w:val="center"/>
              <w:rPr>
                <w:rFonts w:ascii="Aptos Narrow" w:hAnsi="Aptos Narrow"/>
                <w:sz w:val="16"/>
                <w:szCs w:val="16"/>
              </w:rPr>
            </w:pPr>
            <w:r w:rsidRPr="00B87611">
              <w:rPr>
                <w:rFonts w:ascii="Aptos Narrow" w:hAnsi="Aptos Narrow"/>
                <w:sz w:val="16"/>
                <w:szCs w:val="16"/>
              </w:rPr>
              <w:t>Pragmatic hybrid with prespecified β</w:t>
            </w:r>
          </w:p>
        </w:tc>
        <w:tc>
          <w:tcPr>
            <w:tcW w:w="1708" w:type="dxa"/>
            <w:tcBorders>
              <w:top w:val="single" w:sz="4" w:space="0" w:color="D9D9D9" w:themeColor="background1" w:themeShade="D9"/>
              <w:left w:val="single" w:sz="4" w:space="0" w:color="D9D9D9" w:themeColor="background1" w:themeShade="D9"/>
              <w:bottom w:val="single" w:sz="4" w:space="0" w:color="BFBFBF" w:themeColor="background1" w:themeShade="BF"/>
              <w:right w:val="single" w:sz="4" w:space="0" w:color="BFBFBF" w:themeColor="background1" w:themeShade="BF"/>
            </w:tcBorders>
            <w:vAlign w:val="center"/>
          </w:tcPr>
          <w:p w14:paraId="4746DFDE" w14:textId="77777777" w:rsidR="00BF5DC4" w:rsidRPr="003D55D6" w:rsidRDefault="00BF5DC4" w:rsidP="00430B63">
            <w:pPr>
              <w:spacing w:before="80" w:after="80"/>
              <w:ind w:left="86" w:right="86"/>
              <w:jc w:val="center"/>
              <w:rPr>
                <w:rFonts w:ascii="Aptos Narrow" w:eastAsia="Times New Roman" w:hAnsi="Aptos Narrow" w:cs="Segoe UI"/>
                <w:kern w:val="0"/>
                <w:sz w:val="16"/>
                <w:szCs w:val="16"/>
                <w14:ligatures w14:val="none"/>
              </w:rPr>
            </w:pPr>
            <w:r w:rsidRPr="00ED2420">
              <w:rPr>
                <w:rFonts w:ascii="Arial Narrow" w:hAnsi="Arial Narrow"/>
                <w:sz w:val="16"/>
                <w:szCs w:val="16"/>
              </w:rPr>
              <w:t>Especially aligned with complexity drift</w:t>
            </w:r>
          </w:p>
        </w:tc>
      </w:tr>
    </w:tbl>
    <w:p w14:paraId="7FF54F0D" w14:textId="5F6AE998" w:rsidR="00BF5DC4" w:rsidRDefault="00BF5DC4" w:rsidP="00BF5DC4">
      <w:pPr>
        <w:pStyle w:val="FigureCaption"/>
      </w:pPr>
      <w:r w:rsidRPr="0003175F">
        <w:t>Illustrative candidate settings derived from the Axioms–Rules–Methods framework. The table is not exhaustive and serves as a screening guide for contexts where β</w:t>
      </w:r>
      <w:r w:rsidR="00AB5CE1">
        <w:t>-</w:t>
      </w:r>
      <w:r w:rsidRPr="0003175F">
        <w:t>identifying designs may be appropriate. Design labels are provisional and depend on alignment of ΔOBS and Δα on a common clinical scale, observable uptake variation, and non</w:t>
      </w:r>
      <w:r w:rsidR="00AB5CE1">
        <w:t>-</w:t>
      </w:r>
      <w:r w:rsidRPr="0003175F">
        <w:t>interfering preference measurement. Note: B3 (decision</w:t>
      </w:r>
      <w:r w:rsidR="00AB5CE1">
        <w:t>-</w:t>
      </w:r>
      <w:r w:rsidRPr="0003175F">
        <w:t>limited) reflects unresolved identification or precision, not an intrinsic feature of a setting.</w:t>
      </w:r>
    </w:p>
    <w:p w14:paraId="00E6942C" w14:textId="77777777" w:rsidR="00BF5DC4" w:rsidRPr="0055344F" w:rsidRDefault="00BF5DC4" w:rsidP="00BF5DC4">
      <w:pPr>
        <w:pStyle w:val="Heading1"/>
        <w:jc w:val="left"/>
        <w:rPr>
          <w:b/>
          <w:bCs/>
        </w:rPr>
      </w:pPr>
      <w:bookmarkStart w:id="62" w:name="_Toc230299627"/>
      <w:r w:rsidRPr="0055344F">
        <w:rPr>
          <w:b/>
          <w:bCs/>
        </w:rPr>
        <w:lastRenderedPageBreak/>
        <w:t>S</w:t>
      </w:r>
      <w:r>
        <w:rPr>
          <w:b/>
          <w:bCs/>
        </w:rPr>
        <w:t>12</w:t>
      </w:r>
      <w:r w:rsidRPr="0055344F">
        <w:rPr>
          <w:b/>
          <w:bCs/>
        </w:rPr>
        <w:t xml:space="preserve"> </w:t>
      </w:r>
      <w:r w:rsidRPr="0055344F">
        <w:t>References</w:t>
      </w:r>
      <w:r>
        <w:t xml:space="preserve"> for the Supplement</w:t>
      </w:r>
      <w:bookmarkEnd w:id="62"/>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
        <w:gridCol w:w="8630"/>
        <w:gridCol w:w="10"/>
      </w:tblGrid>
      <w:tr w:rsidR="00BF5DC4" w:rsidRPr="00DC4CD2" w14:paraId="398D4075" w14:textId="77777777" w:rsidTr="00BF5DC4">
        <w:trPr>
          <w:gridAfter w:val="1"/>
          <w:wAfter w:w="10" w:type="dxa"/>
        </w:trPr>
        <w:tc>
          <w:tcPr>
            <w:tcW w:w="720" w:type="dxa"/>
          </w:tcPr>
          <w:p w14:paraId="28CF0592" w14:textId="77777777" w:rsidR="00BF5DC4" w:rsidRPr="00DC4CD2" w:rsidRDefault="00BF5DC4" w:rsidP="00430B63">
            <w:pPr>
              <w:spacing w:before="120" w:after="120"/>
              <w:jc w:val="center"/>
              <w:rPr>
                <w:b/>
                <w:bCs/>
              </w:rPr>
            </w:pPr>
            <w:r w:rsidRPr="00DC4CD2">
              <w:rPr>
                <w:rFonts w:ascii="Aptos Narrow" w:hAnsi="Aptos Narrow"/>
                <w:b/>
                <w:bCs/>
                <w:color w:val="000000"/>
                <w:sz w:val="22"/>
                <w:szCs w:val="22"/>
              </w:rPr>
              <w:t>S</w:t>
            </w:r>
            <w:r>
              <w:rPr>
                <w:rFonts w:ascii="Aptos Narrow" w:hAnsi="Aptos Narrow"/>
                <w:b/>
                <w:bCs/>
                <w:color w:val="000000"/>
                <w:sz w:val="22"/>
                <w:szCs w:val="22"/>
              </w:rPr>
              <w:t>1</w:t>
            </w:r>
          </w:p>
        </w:tc>
        <w:tc>
          <w:tcPr>
            <w:tcW w:w="8630" w:type="dxa"/>
          </w:tcPr>
          <w:p w14:paraId="2915849D" w14:textId="72AB4A4C" w:rsidR="00BF5DC4" w:rsidRPr="00DC4CD2" w:rsidRDefault="00BF5DC4" w:rsidP="00430B63">
            <w:pPr>
              <w:spacing w:before="120" w:after="120"/>
              <w:jc w:val="left"/>
            </w:pPr>
            <w:r w:rsidRPr="00DC4CD2">
              <w:t xml:space="preserve">Frangakis CE, Rubin DB. Principal stratification in causal inference. Biometrics. 2002;58(1):21–9. </w:t>
            </w:r>
            <w:r>
              <w:t>doi:</w:t>
            </w:r>
            <w:r w:rsidRPr="00DC4CD2">
              <w:t>10.1111/1541</w:t>
            </w:r>
            <w:r w:rsidR="00AB5CE1">
              <w:t>-</w:t>
            </w:r>
            <w:r w:rsidRPr="00DC4CD2">
              <w:t>0420.00002</w:t>
            </w:r>
          </w:p>
        </w:tc>
      </w:tr>
      <w:tr w:rsidR="00BF5DC4" w:rsidRPr="00DC4CD2" w14:paraId="122214CA" w14:textId="77777777" w:rsidTr="00BF5DC4">
        <w:tc>
          <w:tcPr>
            <w:tcW w:w="720" w:type="dxa"/>
          </w:tcPr>
          <w:p w14:paraId="7AEE9A49" w14:textId="77777777" w:rsidR="00BF5DC4" w:rsidRPr="00DC4CD2" w:rsidRDefault="00BF5DC4" w:rsidP="00430B63">
            <w:pPr>
              <w:spacing w:before="120" w:after="120"/>
              <w:jc w:val="center"/>
              <w:rPr>
                <w:b/>
                <w:bCs/>
              </w:rPr>
            </w:pPr>
            <w:r w:rsidRPr="00DC4CD2">
              <w:rPr>
                <w:rFonts w:ascii="Aptos Narrow" w:hAnsi="Aptos Narrow"/>
                <w:b/>
                <w:bCs/>
                <w:color w:val="000000"/>
                <w:sz w:val="22"/>
                <w:szCs w:val="22"/>
              </w:rPr>
              <w:t>S</w:t>
            </w:r>
            <w:r>
              <w:rPr>
                <w:rFonts w:ascii="Aptos Narrow" w:hAnsi="Aptos Narrow"/>
                <w:b/>
                <w:bCs/>
                <w:color w:val="000000"/>
                <w:sz w:val="22"/>
                <w:szCs w:val="22"/>
              </w:rPr>
              <w:t>2</w:t>
            </w:r>
          </w:p>
        </w:tc>
        <w:tc>
          <w:tcPr>
            <w:tcW w:w="8640" w:type="dxa"/>
            <w:gridSpan w:val="2"/>
          </w:tcPr>
          <w:p w14:paraId="2EA1D982" w14:textId="77777777" w:rsidR="00BF5DC4" w:rsidRPr="00DC4CD2" w:rsidRDefault="00BF5DC4" w:rsidP="00430B63">
            <w:pPr>
              <w:spacing w:before="120" w:after="120"/>
              <w:jc w:val="left"/>
            </w:pPr>
            <w:r w:rsidRPr="00DC4CD2">
              <w:t xml:space="preserve">Imbens GW, Angrist JD. Identification and estimation of local average treatment effects. Econometrica. 1994;62(2):467–75. </w:t>
            </w:r>
            <w:r>
              <w:t>doi:</w:t>
            </w:r>
            <w:r w:rsidRPr="00DC4CD2">
              <w:t>10.2307/2951620</w:t>
            </w:r>
          </w:p>
        </w:tc>
      </w:tr>
      <w:tr w:rsidR="00BF5DC4" w:rsidRPr="00DC4CD2" w14:paraId="310F5C59" w14:textId="77777777" w:rsidTr="00BF5DC4">
        <w:trPr>
          <w:gridAfter w:val="1"/>
          <w:wAfter w:w="10" w:type="dxa"/>
        </w:trPr>
        <w:tc>
          <w:tcPr>
            <w:tcW w:w="720" w:type="dxa"/>
          </w:tcPr>
          <w:p w14:paraId="40844494" w14:textId="77777777" w:rsidR="00BF5DC4" w:rsidRPr="00DC4CD2" w:rsidRDefault="00BF5DC4" w:rsidP="00430B63">
            <w:pPr>
              <w:spacing w:before="120" w:after="120"/>
              <w:jc w:val="center"/>
              <w:rPr>
                <w:b/>
                <w:bCs/>
              </w:rPr>
            </w:pPr>
            <w:r w:rsidRPr="00DC4CD2">
              <w:rPr>
                <w:rFonts w:ascii="Aptos Narrow" w:hAnsi="Aptos Narrow"/>
                <w:b/>
                <w:bCs/>
                <w:color w:val="000000"/>
                <w:sz w:val="22"/>
                <w:szCs w:val="22"/>
              </w:rPr>
              <w:t>S</w:t>
            </w:r>
            <w:r>
              <w:rPr>
                <w:rFonts w:ascii="Aptos Narrow" w:hAnsi="Aptos Narrow"/>
                <w:b/>
                <w:bCs/>
                <w:color w:val="000000"/>
                <w:sz w:val="22"/>
                <w:szCs w:val="22"/>
              </w:rPr>
              <w:t>3</w:t>
            </w:r>
          </w:p>
        </w:tc>
        <w:tc>
          <w:tcPr>
            <w:tcW w:w="8630" w:type="dxa"/>
          </w:tcPr>
          <w:p w14:paraId="2D47A846" w14:textId="77777777" w:rsidR="00BF5DC4" w:rsidRPr="00DC4CD2" w:rsidRDefault="00BF5DC4" w:rsidP="00430B63">
            <w:pPr>
              <w:spacing w:before="120" w:after="120"/>
              <w:jc w:val="left"/>
            </w:pPr>
            <w:r w:rsidRPr="00DC4CD2">
              <w:t xml:space="preserve">Gurel O, Rasmussen MF, Veginati V, Weinstein JN. AI Is Smart. Is It Wise? Quantifying the Effect of Patient Choice (β) on Physical Outcomes. medRxiv [Preprint]. 2026. Available from: https://www.medrxiv.org/content/10.64898/2026.03.10.26348069v2 </w:t>
            </w:r>
            <w:r>
              <w:t>doi:</w:t>
            </w:r>
            <w:r w:rsidRPr="00DC4CD2">
              <w:t>10.64898/2026.03.10.26348069v2</w:t>
            </w:r>
          </w:p>
        </w:tc>
      </w:tr>
      <w:tr w:rsidR="00BF5DC4" w:rsidRPr="00DC4CD2" w14:paraId="0F26C80B" w14:textId="77777777" w:rsidTr="00BF5DC4">
        <w:trPr>
          <w:gridAfter w:val="1"/>
          <w:wAfter w:w="10" w:type="dxa"/>
        </w:trPr>
        <w:tc>
          <w:tcPr>
            <w:tcW w:w="720" w:type="dxa"/>
          </w:tcPr>
          <w:p w14:paraId="355690C8" w14:textId="77777777" w:rsidR="00BF5DC4" w:rsidRPr="00DC4CD2" w:rsidRDefault="00BF5DC4" w:rsidP="00430B63">
            <w:pPr>
              <w:spacing w:before="120" w:after="120"/>
              <w:jc w:val="center"/>
              <w:rPr>
                <w:b/>
                <w:bCs/>
              </w:rPr>
            </w:pPr>
            <w:r w:rsidRPr="00DC4CD2">
              <w:rPr>
                <w:rFonts w:ascii="Aptos Narrow" w:hAnsi="Aptos Narrow"/>
                <w:b/>
                <w:bCs/>
                <w:color w:val="000000"/>
                <w:sz w:val="22"/>
                <w:szCs w:val="22"/>
              </w:rPr>
              <w:t>S</w:t>
            </w:r>
            <w:r>
              <w:rPr>
                <w:rFonts w:ascii="Aptos Narrow" w:hAnsi="Aptos Narrow"/>
                <w:b/>
                <w:bCs/>
                <w:color w:val="000000"/>
                <w:sz w:val="22"/>
                <w:szCs w:val="22"/>
              </w:rPr>
              <w:t>4</w:t>
            </w:r>
          </w:p>
        </w:tc>
        <w:tc>
          <w:tcPr>
            <w:tcW w:w="8630" w:type="dxa"/>
          </w:tcPr>
          <w:p w14:paraId="54FD2950" w14:textId="70D1360B" w:rsidR="00BF5DC4" w:rsidRPr="00DC4CD2" w:rsidRDefault="00BF5DC4" w:rsidP="00430B63">
            <w:pPr>
              <w:spacing w:before="120" w:after="120"/>
              <w:jc w:val="left"/>
            </w:pPr>
            <w:r w:rsidRPr="00DC4CD2">
              <w:t>Gurel O, Rasmussen MF, Veginati V, Weinstein JN. Treatment (α) and Patient Choice (β) Effects in Medicine: Quantifying the Causal Effect of Preference on Physical Outcomes. Authorea [Preprint]. 2026. Available from: https://www.authorea.com/users/1037738/articles/1397573</w:t>
            </w:r>
            <w:r w:rsidR="00AB5CE1">
              <w:t>-</w:t>
            </w:r>
            <w:r w:rsidRPr="00DC4CD2">
              <w:t>treatment</w:t>
            </w:r>
            <w:r w:rsidR="00AB5CE1">
              <w:t>-</w:t>
            </w:r>
            <w:r w:rsidRPr="00DC4CD2">
              <w:t>%CE%B1</w:t>
            </w:r>
            <w:r w:rsidR="00AB5CE1">
              <w:t>-</w:t>
            </w:r>
            <w:r w:rsidRPr="00DC4CD2">
              <w:t>and</w:t>
            </w:r>
            <w:r w:rsidR="00AB5CE1">
              <w:t>-</w:t>
            </w:r>
            <w:r w:rsidRPr="00DC4CD2">
              <w:t>patient</w:t>
            </w:r>
            <w:r w:rsidR="00AB5CE1">
              <w:t>-</w:t>
            </w:r>
            <w:r w:rsidRPr="00DC4CD2">
              <w:t>choice</w:t>
            </w:r>
            <w:r w:rsidR="00AB5CE1">
              <w:t>-</w:t>
            </w:r>
            <w:r w:rsidRPr="00DC4CD2">
              <w:t>%CE%B2</w:t>
            </w:r>
            <w:r w:rsidR="00AB5CE1">
              <w:t>-</w:t>
            </w:r>
            <w:r w:rsidRPr="00DC4CD2">
              <w:t>effects</w:t>
            </w:r>
            <w:r w:rsidR="00AB5CE1">
              <w:t>-</w:t>
            </w:r>
            <w:r w:rsidRPr="00DC4CD2">
              <w:t>in</w:t>
            </w:r>
            <w:r w:rsidR="00AB5CE1">
              <w:t>-</w:t>
            </w:r>
            <w:r w:rsidRPr="00DC4CD2">
              <w:t>medicine</w:t>
            </w:r>
            <w:r w:rsidR="00AB5CE1">
              <w:t>-</w:t>
            </w:r>
            <w:r w:rsidRPr="00DC4CD2">
              <w:t>quantifying</w:t>
            </w:r>
            <w:r w:rsidR="00AB5CE1">
              <w:t>-</w:t>
            </w:r>
            <w:r w:rsidRPr="00DC4CD2">
              <w:t>the</w:t>
            </w:r>
            <w:r w:rsidR="00AB5CE1">
              <w:t>-</w:t>
            </w:r>
            <w:r w:rsidRPr="00DC4CD2">
              <w:t>causal</w:t>
            </w:r>
            <w:r w:rsidR="00AB5CE1">
              <w:t>-</w:t>
            </w:r>
            <w:r w:rsidRPr="00DC4CD2">
              <w:t>effect</w:t>
            </w:r>
            <w:r w:rsidR="00AB5CE1">
              <w:t>-</w:t>
            </w:r>
            <w:r w:rsidRPr="00DC4CD2">
              <w:t>of</w:t>
            </w:r>
            <w:r w:rsidR="00AB5CE1">
              <w:t>-</w:t>
            </w:r>
            <w:r w:rsidRPr="00DC4CD2">
              <w:t>preference</w:t>
            </w:r>
            <w:r w:rsidR="00AB5CE1">
              <w:t>-</w:t>
            </w:r>
            <w:r w:rsidRPr="00DC4CD2">
              <w:t>on</w:t>
            </w:r>
            <w:r w:rsidR="00AB5CE1">
              <w:t>-</w:t>
            </w:r>
            <w:r w:rsidRPr="00DC4CD2">
              <w:t>physical</w:t>
            </w:r>
            <w:r w:rsidR="00AB5CE1">
              <w:t>-</w:t>
            </w:r>
            <w:r w:rsidRPr="00DC4CD2">
              <w:t xml:space="preserve">outcomes </w:t>
            </w:r>
            <w:r>
              <w:t>doi:</w:t>
            </w:r>
            <w:r w:rsidRPr="00DC4CD2">
              <w:t>10.22541/au.177446726.60210322/v3</w:t>
            </w:r>
          </w:p>
        </w:tc>
      </w:tr>
      <w:tr w:rsidR="00BF5DC4" w:rsidRPr="00DC4CD2" w14:paraId="2E6B1FF6" w14:textId="77777777" w:rsidTr="00BF5DC4">
        <w:trPr>
          <w:gridAfter w:val="1"/>
          <w:wAfter w:w="10" w:type="dxa"/>
        </w:trPr>
        <w:tc>
          <w:tcPr>
            <w:tcW w:w="720" w:type="dxa"/>
          </w:tcPr>
          <w:p w14:paraId="5DD509A3" w14:textId="77777777" w:rsidR="00BF5DC4" w:rsidRPr="00DC4CD2" w:rsidRDefault="00BF5DC4" w:rsidP="00430B63">
            <w:pPr>
              <w:spacing w:before="120" w:after="120"/>
              <w:jc w:val="center"/>
              <w:rPr>
                <w:rFonts w:ascii="Aptos Narrow" w:hAnsi="Aptos Narrow"/>
                <w:b/>
                <w:bCs/>
                <w:color w:val="000000"/>
                <w:sz w:val="22"/>
                <w:szCs w:val="22"/>
              </w:rPr>
            </w:pPr>
            <w:r>
              <w:rPr>
                <w:rFonts w:ascii="Aptos Narrow" w:hAnsi="Aptos Narrow"/>
                <w:b/>
                <w:bCs/>
                <w:color w:val="000000"/>
                <w:sz w:val="22"/>
                <w:szCs w:val="22"/>
              </w:rPr>
              <w:t>S5</w:t>
            </w:r>
          </w:p>
        </w:tc>
        <w:tc>
          <w:tcPr>
            <w:tcW w:w="8630" w:type="dxa"/>
          </w:tcPr>
          <w:p w14:paraId="50DFA288" w14:textId="2B010630" w:rsidR="00BF5DC4" w:rsidRPr="00DC4CD2" w:rsidRDefault="00BF5DC4" w:rsidP="00430B63">
            <w:pPr>
              <w:spacing w:before="120" w:after="120"/>
              <w:jc w:val="left"/>
            </w:pPr>
            <w:r w:rsidRPr="001753BB">
              <w:t>Gurel O, Mustata Wilson G. Education Is Three Determinants of Health: Medical Literacy, Informed Choice, and Health Outcomes. Authorea [Preprint]. 2026. Available from: https://www.authorea.com/users/1037738/articles/1397556</w:t>
            </w:r>
            <w:r w:rsidR="00AB5CE1">
              <w:t>-</w:t>
            </w:r>
            <w:r w:rsidRPr="001753BB">
              <w:t>education</w:t>
            </w:r>
            <w:r w:rsidR="00AB5CE1">
              <w:t>-</w:t>
            </w:r>
            <w:r w:rsidRPr="001753BB">
              <w:t>is</w:t>
            </w:r>
            <w:r w:rsidR="00AB5CE1">
              <w:t>-</w:t>
            </w:r>
            <w:r w:rsidRPr="001753BB">
              <w:t>three</w:t>
            </w:r>
            <w:r w:rsidR="00AB5CE1">
              <w:t>-</w:t>
            </w:r>
            <w:r w:rsidRPr="001753BB">
              <w:t>determinants</w:t>
            </w:r>
            <w:r w:rsidR="00AB5CE1">
              <w:t>-</w:t>
            </w:r>
            <w:r w:rsidRPr="001753BB">
              <w:t>of</w:t>
            </w:r>
            <w:r w:rsidR="00AB5CE1">
              <w:t>-</w:t>
            </w:r>
            <w:r w:rsidRPr="001753BB">
              <w:t>health</w:t>
            </w:r>
            <w:r w:rsidR="00AB5CE1">
              <w:t>-</w:t>
            </w:r>
            <w:r w:rsidRPr="001753BB">
              <w:t>medical</w:t>
            </w:r>
            <w:r w:rsidR="00AB5CE1">
              <w:t>-</w:t>
            </w:r>
            <w:r w:rsidRPr="001753BB">
              <w:t>literacy</w:t>
            </w:r>
            <w:r w:rsidR="00AB5CE1">
              <w:t>-</w:t>
            </w:r>
            <w:r w:rsidRPr="001753BB">
              <w:t>informed</w:t>
            </w:r>
            <w:r w:rsidR="00AB5CE1">
              <w:t>-</w:t>
            </w:r>
            <w:r w:rsidRPr="001753BB">
              <w:t>choice</w:t>
            </w:r>
            <w:r w:rsidR="00AB5CE1">
              <w:t>-</w:t>
            </w:r>
            <w:r w:rsidRPr="001753BB">
              <w:t>and</w:t>
            </w:r>
            <w:r w:rsidR="00AB5CE1">
              <w:t>-</w:t>
            </w:r>
            <w:r w:rsidRPr="001753BB">
              <w:t>health</w:t>
            </w:r>
            <w:r w:rsidR="00AB5CE1">
              <w:t>-</w:t>
            </w:r>
            <w:r w:rsidRPr="001753BB">
              <w:t xml:space="preserve">outcomes. </w:t>
            </w:r>
            <w:r>
              <w:t>doi:</w:t>
            </w:r>
            <w:r w:rsidRPr="001753BB">
              <w:t>10.22541/au.177437404.48601749/v4</w:t>
            </w:r>
          </w:p>
        </w:tc>
      </w:tr>
      <w:tr w:rsidR="00BF5DC4" w:rsidRPr="00DC4CD2" w14:paraId="356BAAD4" w14:textId="77777777" w:rsidTr="00BF5DC4">
        <w:trPr>
          <w:gridAfter w:val="1"/>
          <w:wAfter w:w="10" w:type="dxa"/>
        </w:trPr>
        <w:tc>
          <w:tcPr>
            <w:tcW w:w="720" w:type="dxa"/>
          </w:tcPr>
          <w:p w14:paraId="5EB5F110" w14:textId="77777777" w:rsidR="00BF5DC4" w:rsidRPr="00DC4CD2" w:rsidRDefault="00BF5DC4" w:rsidP="00430B63">
            <w:pPr>
              <w:spacing w:before="120" w:after="120"/>
              <w:jc w:val="center"/>
              <w:rPr>
                <w:rFonts w:ascii="Aptos Narrow" w:hAnsi="Aptos Narrow"/>
                <w:b/>
                <w:bCs/>
                <w:color w:val="000000"/>
                <w:sz w:val="22"/>
                <w:szCs w:val="22"/>
              </w:rPr>
            </w:pPr>
            <w:r w:rsidRPr="00DC4CD2">
              <w:rPr>
                <w:rFonts w:ascii="Aptos Narrow" w:hAnsi="Aptos Narrow"/>
                <w:b/>
                <w:bCs/>
                <w:color w:val="000000"/>
                <w:sz w:val="22"/>
                <w:szCs w:val="22"/>
              </w:rPr>
              <w:t>S</w:t>
            </w:r>
            <w:r>
              <w:rPr>
                <w:rFonts w:ascii="Aptos Narrow" w:hAnsi="Aptos Narrow"/>
                <w:b/>
                <w:bCs/>
                <w:color w:val="000000"/>
                <w:sz w:val="22"/>
                <w:szCs w:val="22"/>
              </w:rPr>
              <w:t>6</w:t>
            </w:r>
          </w:p>
        </w:tc>
        <w:tc>
          <w:tcPr>
            <w:tcW w:w="8630" w:type="dxa"/>
          </w:tcPr>
          <w:p w14:paraId="04EDE4B5" w14:textId="77777777" w:rsidR="00BF5DC4" w:rsidRPr="00DC4CD2" w:rsidRDefault="00BF5DC4" w:rsidP="00430B63">
            <w:pPr>
              <w:spacing w:before="120" w:after="120"/>
              <w:jc w:val="left"/>
            </w:pPr>
            <w:r w:rsidRPr="00DC4CD2">
              <w:t xml:space="preserve">Chen K, Jin Z, Ying Z. Semiparametric analysis of transformation models with censored data. Biometrika. 2002;89(3):659–68. </w:t>
            </w:r>
            <w:r>
              <w:t>doi:</w:t>
            </w:r>
            <w:r w:rsidRPr="00DC4CD2">
              <w:t>10.1093/biomet/89.3.659</w:t>
            </w:r>
          </w:p>
        </w:tc>
      </w:tr>
      <w:tr w:rsidR="00BF5DC4" w:rsidRPr="00DC4CD2" w14:paraId="33DDA190" w14:textId="77777777" w:rsidTr="00BF5DC4">
        <w:trPr>
          <w:gridAfter w:val="1"/>
          <w:wAfter w:w="10" w:type="dxa"/>
        </w:trPr>
        <w:tc>
          <w:tcPr>
            <w:tcW w:w="720" w:type="dxa"/>
          </w:tcPr>
          <w:p w14:paraId="7E854DE5" w14:textId="77777777" w:rsidR="00BF5DC4" w:rsidRPr="00DC4CD2" w:rsidRDefault="00BF5DC4" w:rsidP="00430B63">
            <w:pPr>
              <w:spacing w:before="120" w:after="120"/>
              <w:jc w:val="center"/>
              <w:rPr>
                <w:rFonts w:ascii="Aptos Narrow" w:hAnsi="Aptos Narrow"/>
                <w:b/>
                <w:bCs/>
                <w:color w:val="000000"/>
                <w:sz w:val="22"/>
                <w:szCs w:val="22"/>
              </w:rPr>
            </w:pPr>
            <w:r w:rsidRPr="00DC4CD2">
              <w:rPr>
                <w:rFonts w:ascii="Aptos Narrow" w:hAnsi="Aptos Narrow"/>
                <w:b/>
                <w:bCs/>
                <w:color w:val="000000"/>
                <w:sz w:val="22"/>
                <w:szCs w:val="22"/>
              </w:rPr>
              <w:t>S</w:t>
            </w:r>
            <w:r>
              <w:rPr>
                <w:rFonts w:ascii="Aptos Narrow" w:hAnsi="Aptos Narrow"/>
                <w:b/>
                <w:bCs/>
                <w:color w:val="000000"/>
                <w:sz w:val="22"/>
                <w:szCs w:val="22"/>
              </w:rPr>
              <w:t>7</w:t>
            </w:r>
          </w:p>
        </w:tc>
        <w:tc>
          <w:tcPr>
            <w:tcW w:w="8630" w:type="dxa"/>
          </w:tcPr>
          <w:p w14:paraId="5B0A43F3" w14:textId="67070F73" w:rsidR="00BF5DC4" w:rsidRPr="00DC4CD2" w:rsidRDefault="00BF5DC4" w:rsidP="00430B63">
            <w:pPr>
              <w:spacing w:before="120" w:after="120"/>
              <w:jc w:val="left"/>
            </w:pPr>
            <w:r w:rsidRPr="00DC4CD2">
              <w:t>Jin Z, Lin DY, Wei LJ, Ying Z. Rank</w:t>
            </w:r>
            <w:r w:rsidR="00AB5CE1">
              <w:t>-</w:t>
            </w:r>
            <w:r w:rsidRPr="00DC4CD2">
              <w:t xml:space="preserve">based inference for the accelerated failure time model. Biometrika. 2003;90(2):341–53. </w:t>
            </w:r>
            <w:r>
              <w:t>doi:</w:t>
            </w:r>
            <w:r w:rsidRPr="00DC4CD2">
              <w:t>10.1093/biomet/90.2.341</w:t>
            </w:r>
          </w:p>
        </w:tc>
      </w:tr>
      <w:tr w:rsidR="00BF5DC4" w:rsidRPr="00DC4CD2" w14:paraId="580DA49F" w14:textId="77777777" w:rsidTr="00BF5DC4">
        <w:trPr>
          <w:gridAfter w:val="1"/>
          <w:wAfter w:w="10" w:type="dxa"/>
        </w:trPr>
        <w:tc>
          <w:tcPr>
            <w:tcW w:w="720" w:type="dxa"/>
          </w:tcPr>
          <w:p w14:paraId="588BD472" w14:textId="77777777" w:rsidR="00BF5DC4" w:rsidRPr="00DC4CD2" w:rsidRDefault="00BF5DC4" w:rsidP="00430B63">
            <w:pPr>
              <w:spacing w:before="120" w:after="120"/>
              <w:jc w:val="center"/>
              <w:rPr>
                <w:b/>
                <w:bCs/>
              </w:rPr>
            </w:pPr>
            <w:r w:rsidRPr="00DC4CD2">
              <w:rPr>
                <w:rFonts w:ascii="Aptos Narrow" w:hAnsi="Aptos Narrow"/>
                <w:b/>
                <w:bCs/>
                <w:color w:val="000000"/>
                <w:sz w:val="22"/>
                <w:szCs w:val="22"/>
              </w:rPr>
              <w:t>S</w:t>
            </w:r>
            <w:r>
              <w:rPr>
                <w:rFonts w:ascii="Aptos Narrow" w:hAnsi="Aptos Narrow"/>
                <w:b/>
                <w:bCs/>
                <w:color w:val="000000"/>
                <w:sz w:val="22"/>
                <w:szCs w:val="22"/>
              </w:rPr>
              <w:t>8</w:t>
            </w:r>
          </w:p>
        </w:tc>
        <w:tc>
          <w:tcPr>
            <w:tcW w:w="8630" w:type="dxa"/>
          </w:tcPr>
          <w:p w14:paraId="07621008" w14:textId="77777777" w:rsidR="00BF5DC4" w:rsidRPr="00DC4CD2" w:rsidRDefault="00BF5DC4" w:rsidP="00430B63">
            <w:pPr>
              <w:spacing w:before="120" w:after="120"/>
              <w:jc w:val="left"/>
            </w:pPr>
            <w:r w:rsidRPr="00DC4CD2">
              <w:t xml:space="preserve">Jin Z, Ying Z, Wei LJ. A simple resampling method by perturbing the minimand. Biometrika. 2001;88(2):381–90. </w:t>
            </w:r>
            <w:r>
              <w:t>doi:</w:t>
            </w:r>
            <w:r w:rsidRPr="00DC4CD2">
              <w:t>10.1093/biomet/88.2.381</w:t>
            </w:r>
          </w:p>
        </w:tc>
      </w:tr>
      <w:tr w:rsidR="00BF5DC4" w:rsidRPr="00DC4CD2" w14:paraId="220E1B76" w14:textId="77777777" w:rsidTr="00BF5DC4">
        <w:trPr>
          <w:gridAfter w:val="1"/>
          <w:wAfter w:w="10" w:type="dxa"/>
        </w:trPr>
        <w:tc>
          <w:tcPr>
            <w:tcW w:w="720" w:type="dxa"/>
          </w:tcPr>
          <w:p w14:paraId="1E715DED" w14:textId="77777777" w:rsidR="00BF5DC4" w:rsidRPr="00DC4CD2" w:rsidRDefault="00BF5DC4" w:rsidP="00430B63">
            <w:pPr>
              <w:spacing w:before="120" w:after="120"/>
              <w:jc w:val="center"/>
              <w:rPr>
                <w:b/>
                <w:bCs/>
              </w:rPr>
            </w:pPr>
            <w:r w:rsidRPr="00DC4CD2">
              <w:rPr>
                <w:rFonts w:ascii="Aptos Narrow" w:hAnsi="Aptos Narrow"/>
                <w:b/>
                <w:bCs/>
                <w:color w:val="000000"/>
                <w:sz w:val="22"/>
                <w:szCs w:val="22"/>
              </w:rPr>
              <w:t>S</w:t>
            </w:r>
            <w:r>
              <w:rPr>
                <w:rFonts w:ascii="Aptos Narrow" w:hAnsi="Aptos Narrow"/>
                <w:b/>
                <w:bCs/>
                <w:color w:val="000000"/>
                <w:sz w:val="22"/>
                <w:szCs w:val="22"/>
              </w:rPr>
              <w:t>9</w:t>
            </w:r>
          </w:p>
        </w:tc>
        <w:tc>
          <w:tcPr>
            <w:tcW w:w="8630" w:type="dxa"/>
          </w:tcPr>
          <w:p w14:paraId="7E2D11BA" w14:textId="1C2F607F" w:rsidR="00BF5DC4" w:rsidRPr="00DC4CD2" w:rsidRDefault="00BF5DC4" w:rsidP="00430B63">
            <w:pPr>
              <w:spacing w:before="120" w:after="120"/>
              <w:jc w:val="left"/>
            </w:pPr>
            <w:r w:rsidRPr="00DC4CD2">
              <w:t>VanderWeele TJ, Ding P. Sensitivity analysis in observational research: introducing the E</w:t>
            </w:r>
            <w:r w:rsidR="00AB5CE1">
              <w:t>-</w:t>
            </w:r>
            <w:r w:rsidRPr="00DC4CD2">
              <w:t xml:space="preserve">value. Ann Intern Med. 2017;167(4):268–74. </w:t>
            </w:r>
            <w:r>
              <w:t>doi:</w:t>
            </w:r>
            <w:r w:rsidRPr="00DC4CD2">
              <w:t>10.7326/M16</w:t>
            </w:r>
            <w:r w:rsidR="00AB5CE1">
              <w:t>-</w:t>
            </w:r>
            <w:r w:rsidRPr="00DC4CD2">
              <w:t>2607</w:t>
            </w:r>
          </w:p>
        </w:tc>
      </w:tr>
      <w:tr w:rsidR="00BF5DC4" w:rsidRPr="00DC4CD2" w14:paraId="3E53FD1A" w14:textId="77777777" w:rsidTr="00BF5DC4">
        <w:trPr>
          <w:gridAfter w:val="1"/>
          <w:wAfter w:w="10" w:type="dxa"/>
        </w:trPr>
        <w:tc>
          <w:tcPr>
            <w:tcW w:w="720" w:type="dxa"/>
          </w:tcPr>
          <w:p w14:paraId="12404055" w14:textId="77777777" w:rsidR="00BF5DC4" w:rsidRPr="00DC4CD2" w:rsidRDefault="00BF5DC4" w:rsidP="00430B63">
            <w:pPr>
              <w:spacing w:before="120" w:after="120"/>
              <w:jc w:val="center"/>
              <w:rPr>
                <w:rFonts w:ascii="Aptos Narrow" w:hAnsi="Aptos Narrow"/>
                <w:b/>
                <w:bCs/>
                <w:color w:val="000000"/>
                <w:sz w:val="22"/>
                <w:szCs w:val="22"/>
              </w:rPr>
            </w:pPr>
            <w:r w:rsidRPr="00DC4CD2">
              <w:rPr>
                <w:rFonts w:ascii="Aptos Narrow" w:hAnsi="Aptos Narrow"/>
                <w:b/>
                <w:bCs/>
                <w:color w:val="000000"/>
                <w:sz w:val="22"/>
                <w:szCs w:val="22"/>
              </w:rPr>
              <w:t>S</w:t>
            </w:r>
            <w:r>
              <w:rPr>
                <w:rFonts w:ascii="Aptos Narrow" w:hAnsi="Aptos Narrow"/>
                <w:b/>
                <w:bCs/>
                <w:color w:val="000000"/>
                <w:sz w:val="22"/>
                <w:szCs w:val="22"/>
              </w:rPr>
              <w:t>10</w:t>
            </w:r>
          </w:p>
        </w:tc>
        <w:tc>
          <w:tcPr>
            <w:tcW w:w="8630" w:type="dxa"/>
          </w:tcPr>
          <w:p w14:paraId="45F0B4C6" w14:textId="67C19938" w:rsidR="00BF5DC4" w:rsidRPr="00DC4CD2" w:rsidRDefault="00BF5DC4" w:rsidP="00430B63">
            <w:pPr>
              <w:spacing w:before="120" w:after="120"/>
              <w:jc w:val="left"/>
            </w:pPr>
            <w:r w:rsidRPr="007B786A">
              <w:t>O’Connor AM, Wennberg JE, Légaré F, Llewellyn</w:t>
            </w:r>
            <w:r w:rsidR="00AB5CE1">
              <w:t>-</w:t>
            </w:r>
            <w:r w:rsidRPr="007B786A">
              <w:t>Thomas HA, Moulton BW, Sepucha KR, et al. Toward the “tipping point”: decision aids and informed patient choice. Health Aff (Millwood). 2007;26(3):716–25. doi: 10.1377/hlthaff.26.3.716</w:t>
            </w:r>
          </w:p>
        </w:tc>
      </w:tr>
      <w:tr w:rsidR="00BF5DC4" w:rsidRPr="00DC4CD2" w14:paraId="58BA88C3" w14:textId="77777777" w:rsidTr="00BF5DC4">
        <w:trPr>
          <w:gridAfter w:val="1"/>
          <w:wAfter w:w="10" w:type="dxa"/>
        </w:trPr>
        <w:tc>
          <w:tcPr>
            <w:tcW w:w="720" w:type="dxa"/>
          </w:tcPr>
          <w:p w14:paraId="37219ADF" w14:textId="77777777" w:rsidR="00BF5DC4" w:rsidRPr="00DC4CD2" w:rsidRDefault="00BF5DC4" w:rsidP="00430B63">
            <w:pPr>
              <w:spacing w:before="120" w:after="120"/>
              <w:jc w:val="center"/>
              <w:rPr>
                <w:b/>
                <w:bCs/>
              </w:rPr>
            </w:pPr>
            <w:r w:rsidRPr="00DC4CD2">
              <w:rPr>
                <w:rFonts w:ascii="Aptos Narrow" w:hAnsi="Aptos Narrow"/>
                <w:b/>
                <w:bCs/>
                <w:color w:val="000000"/>
                <w:sz w:val="22"/>
                <w:szCs w:val="22"/>
              </w:rPr>
              <w:lastRenderedPageBreak/>
              <w:t>S</w:t>
            </w:r>
            <w:r>
              <w:rPr>
                <w:rFonts w:ascii="Aptos Narrow" w:hAnsi="Aptos Narrow"/>
                <w:b/>
                <w:bCs/>
                <w:color w:val="000000"/>
                <w:sz w:val="22"/>
                <w:szCs w:val="22"/>
              </w:rPr>
              <w:t>11</w:t>
            </w:r>
          </w:p>
        </w:tc>
        <w:tc>
          <w:tcPr>
            <w:tcW w:w="8630" w:type="dxa"/>
          </w:tcPr>
          <w:p w14:paraId="1F3F4158" w14:textId="77777777" w:rsidR="00BF5DC4" w:rsidRPr="00DC4CD2" w:rsidRDefault="00BF5DC4" w:rsidP="00430B63">
            <w:pPr>
              <w:spacing w:before="120" w:after="120"/>
              <w:jc w:val="left"/>
            </w:pPr>
            <w:r w:rsidRPr="00DC4CD2">
              <w:t>Weinstein JN, Tosteson TD, Lurie JD, et al. Surgical versus nonoperative treatment for lumbar disc herniation: the Spine Patient Outcomes Research Trial (SPORT): a randomized trial. JAMA. 2006;296(18):2441–2450. doi:10.1001/jama.296.18.2441</w:t>
            </w:r>
          </w:p>
        </w:tc>
      </w:tr>
      <w:tr w:rsidR="00BF5DC4" w:rsidRPr="00DC4CD2" w14:paraId="6A379455" w14:textId="77777777" w:rsidTr="00BF5DC4">
        <w:trPr>
          <w:gridAfter w:val="1"/>
          <w:wAfter w:w="10" w:type="dxa"/>
        </w:trPr>
        <w:tc>
          <w:tcPr>
            <w:tcW w:w="720" w:type="dxa"/>
          </w:tcPr>
          <w:p w14:paraId="071D78BC" w14:textId="77777777" w:rsidR="00BF5DC4" w:rsidRPr="00DC4CD2" w:rsidRDefault="00BF5DC4" w:rsidP="00430B63">
            <w:pPr>
              <w:spacing w:before="120" w:after="120"/>
              <w:jc w:val="center"/>
              <w:rPr>
                <w:b/>
                <w:bCs/>
              </w:rPr>
            </w:pPr>
            <w:r w:rsidRPr="00DC4CD2">
              <w:rPr>
                <w:rFonts w:ascii="Aptos Narrow" w:hAnsi="Aptos Narrow"/>
                <w:b/>
                <w:bCs/>
                <w:color w:val="000000"/>
                <w:sz w:val="22"/>
                <w:szCs w:val="22"/>
              </w:rPr>
              <w:t>S</w:t>
            </w:r>
            <w:r>
              <w:rPr>
                <w:rFonts w:ascii="Aptos Narrow" w:hAnsi="Aptos Narrow"/>
                <w:b/>
                <w:bCs/>
                <w:color w:val="000000"/>
                <w:sz w:val="22"/>
                <w:szCs w:val="22"/>
              </w:rPr>
              <w:t>12</w:t>
            </w:r>
          </w:p>
        </w:tc>
        <w:tc>
          <w:tcPr>
            <w:tcW w:w="8630" w:type="dxa"/>
          </w:tcPr>
          <w:p w14:paraId="10AD7A40" w14:textId="77777777" w:rsidR="00BF5DC4" w:rsidRPr="00DC4CD2" w:rsidRDefault="00BF5DC4" w:rsidP="00430B63">
            <w:pPr>
              <w:spacing w:before="120" w:after="120"/>
              <w:jc w:val="left"/>
            </w:pPr>
            <w:r w:rsidRPr="00DC4CD2">
              <w:t>Weinstein JN, Lurie JD, Tosteson TD, et al. Surgical vs nonoperative treatment for lumbar disk herniation: the Spine Patient Outcomes Research Trial (SPORT) observational cohort. JAMA. 2006;296(20):2451–2459. doi:10.1001/jama.296.20.2451</w:t>
            </w:r>
          </w:p>
        </w:tc>
      </w:tr>
      <w:tr w:rsidR="00BF5DC4" w:rsidRPr="00DC4CD2" w14:paraId="4F9F8499" w14:textId="77777777" w:rsidTr="00BF5DC4">
        <w:trPr>
          <w:gridAfter w:val="1"/>
          <w:wAfter w:w="10" w:type="dxa"/>
        </w:trPr>
        <w:tc>
          <w:tcPr>
            <w:tcW w:w="720" w:type="dxa"/>
          </w:tcPr>
          <w:p w14:paraId="71426BB9" w14:textId="77777777" w:rsidR="00BF5DC4" w:rsidRPr="00DC4CD2" w:rsidRDefault="00BF5DC4" w:rsidP="00430B63">
            <w:pPr>
              <w:spacing w:before="120" w:after="120"/>
              <w:jc w:val="center"/>
              <w:rPr>
                <w:b/>
                <w:bCs/>
              </w:rPr>
            </w:pPr>
            <w:r w:rsidRPr="00DC4CD2">
              <w:rPr>
                <w:rFonts w:ascii="Aptos Narrow" w:hAnsi="Aptos Narrow"/>
                <w:b/>
                <w:bCs/>
                <w:color w:val="000000"/>
                <w:sz w:val="22"/>
                <w:szCs w:val="22"/>
              </w:rPr>
              <w:t>S1</w:t>
            </w:r>
            <w:r>
              <w:rPr>
                <w:rFonts w:ascii="Aptos Narrow" w:hAnsi="Aptos Narrow"/>
                <w:b/>
                <w:bCs/>
                <w:color w:val="000000"/>
                <w:sz w:val="22"/>
                <w:szCs w:val="22"/>
              </w:rPr>
              <w:t>3</w:t>
            </w:r>
          </w:p>
        </w:tc>
        <w:tc>
          <w:tcPr>
            <w:tcW w:w="8630" w:type="dxa"/>
          </w:tcPr>
          <w:p w14:paraId="1C2B9929" w14:textId="3D66124F" w:rsidR="00BF5DC4" w:rsidRPr="00DC4CD2" w:rsidRDefault="00BF5DC4" w:rsidP="00430B63">
            <w:pPr>
              <w:spacing w:before="120" w:after="120"/>
              <w:jc w:val="left"/>
            </w:pPr>
            <w:r w:rsidRPr="00DC4CD2">
              <w:t>Gurel O, Weinstein JN. From β</w:t>
            </w:r>
            <w:r w:rsidR="00AB5CE1">
              <w:t>-</w:t>
            </w:r>
            <w:r w:rsidRPr="00DC4CD2">
              <w:t>Blind to β</w:t>
            </w:r>
            <w:r w:rsidR="00AB5CE1">
              <w:t>-</w:t>
            </w:r>
            <w:r w:rsidRPr="00DC4CD2">
              <w:t>Aware AI for Preference</w:t>
            </w:r>
            <w:r w:rsidR="00AB5CE1">
              <w:t>-</w:t>
            </w:r>
            <w:r w:rsidRPr="00DC4CD2">
              <w:t>Sensitive Clinical Decisions: Achieving Non</w:t>
            </w:r>
            <w:r w:rsidR="00AB5CE1">
              <w:t>-</w:t>
            </w:r>
            <w:r w:rsidRPr="00DC4CD2">
              <w:t>Maleficence. Authorea [Preprint]. 2026. Available from: https://www.authorea.com/users/1037738/articles/1398257</w:t>
            </w:r>
            <w:r w:rsidR="00AB5CE1">
              <w:t>-</w:t>
            </w:r>
            <w:r w:rsidRPr="00DC4CD2">
              <w:t>from</w:t>
            </w:r>
            <w:r w:rsidR="00AB5CE1">
              <w:t>-</w:t>
            </w:r>
            <w:r w:rsidRPr="00DC4CD2">
              <w:t>%CE%B2</w:t>
            </w:r>
            <w:r w:rsidR="00AB5CE1">
              <w:t>-</w:t>
            </w:r>
            <w:r w:rsidRPr="00DC4CD2">
              <w:t>blind</w:t>
            </w:r>
            <w:r w:rsidR="00AB5CE1">
              <w:t>-</w:t>
            </w:r>
            <w:r w:rsidRPr="00DC4CD2">
              <w:t>to</w:t>
            </w:r>
            <w:r w:rsidR="00AB5CE1">
              <w:t>-</w:t>
            </w:r>
            <w:r w:rsidRPr="00DC4CD2">
              <w:t>%CE%B2</w:t>
            </w:r>
            <w:r w:rsidR="00AB5CE1">
              <w:t>-</w:t>
            </w:r>
            <w:r w:rsidRPr="00DC4CD2">
              <w:t>aware</w:t>
            </w:r>
            <w:r w:rsidR="00AB5CE1">
              <w:t>-</w:t>
            </w:r>
            <w:r w:rsidRPr="00DC4CD2">
              <w:t>ai</w:t>
            </w:r>
            <w:r w:rsidR="00AB5CE1">
              <w:t>-</w:t>
            </w:r>
            <w:r w:rsidRPr="00DC4CD2">
              <w:t>for</w:t>
            </w:r>
            <w:r w:rsidR="00AB5CE1">
              <w:t>-</w:t>
            </w:r>
            <w:r w:rsidRPr="00DC4CD2">
              <w:t>preference</w:t>
            </w:r>
            <w:r w:rsidR="00AB5CE1">
              <w:t>-</w:t>
            </w:r>
            <w:r w:rsidRPr="00DC4CD2">
              <w:t>sensitive</w:t>
            </w:r>
            <w:r w:rsidR="00AB5CE1">
              <w:t>-</w:t>
            </w:r>
            <w:r w:rsidRPr="00DC4CD2">
              <w:t>clinical</w:t>
            </w:r>
            <w:r w:rsidR="00AB5CE1">
              <w:t>-</w:t>
            </w:r>
            <w:r w:rsidRPr="00DC4CD2">
              <w:t>decisions</w:t>
            </w:r>
            <w:r w:rsidR="00AB5CE1">
              <w:t>-</w:t>
            </w:r>
            <w:r w:rsidRPr="00DC4CD2">
              <w:t>achieving</w:t>
            </w:r>
            <w:r w:rsidR="00AB5CE1">
              <w:t>-</w:t>
            </w:r>
            <w:r w:rsidRPr="00DC4CD2">
              <w:t>non</w:t>
            </w:r>
            <w:r w:rsidR="00AB5CE1">
              <w:t>-</w:t>
            </w:r>
            <w:r w:rsidRPr="00DC4CD2">
              <w:t xml:space="preserve">maleficence </w:t>
            </w:r>
            <w:r>
              <w:t>doi:</w:t>
            </w:r>
            <w:r w:rsidRPr="00DC4CD2">
              <w:t>10.22541/au.177499023.34125090/v2</w:t>
            </w:r>
          </w:p>
        </w:tc>
      </w:tr>
      <w:tr w:rsidR="00BF5DC4" w:rsidRPr="00DC4CD2" w14:paraId="0972B551" w14:textId="77777777" w:rsidTr="00BF5DC4">
        <w:trPr>
          <w:gridAfter w:val="1"/>
          <w:wAfter w:w="10" w:type="dxa"/>
        </w:trPr>
        <w:tc>
          <w:tcPr>
            <w:tcW w:w="720" w:type="dxa"/>
          </w:tcPr>
          <w:p w14:paraId="35AEBF18" w14:textId="77777777" w:rsidR="00BF5DC4" w:rsidRPr="00DC4CD2" w:rsidRDefault="00BF5DC4" w:rsidP="00430B63">
            <w:pPr>
              <w:spacing w:before="120" w:after="120"/>
              <w:jc w:val="center"/>
              <w:rPr>
                <w:b/>
                <w:bCs/>
              </w:rPr>
            </w:pPr>
            <w:r w:rsidRPr="00DC4CD2">
              <w:rPr>
                <w:rFonts w:ascii="Aptos Narrow" w:hAnsi="Aptos Narrow"/>
                <w:b/>
                <w:bCs/>
                <w:color w:val="000000"/>
                <w:sz w:val="22"/>
                <w:szCs w:val="22"/>
              </w:rPr>
              <w:t>S</w:t>
            </w:r>
            <w:r>
              <w:rPr>
                <w:rFonts w:ascii="Aptos Narrow" w:hAnsi="Aptos Narrow"/>
                <w:b/>
                <w:bCs/>
                <w:color w:val="000000"/>
                <w:sz w:val="22"/>
                <w:szCs w:val="22"/>
              </w:rPr>
              <w:t>14</w:t>
            </w:r>
          </w:p>
        </w:tc>
        <w:tc>
          <w:tcPr>
            <w:tcW w:w="8630" w:type="dxa"/>
          </w:tcPr>
          <w:p w14:paraId="0BE5C993" w14:textId="14D5FCB4" w:rsidR="00BF5DC4" w:rsidRPr="00DC4CD2" w:rsidRDefault="00BF5DC4" w:rsidP="00430B63">
            <w:pPr>
              <w:spacing w:before="120" w:after="120"/>
              <w:jc w:val="left"/>
            </w:pPr>
            <w:r w:rsidRPr="00DC4CD2">
              <w:t>Gurel O, Weinstein JN. From β</w:t>
            </w:r>
            <w:r w:rsidR="00AB5CE1">
              <w:t>-</w:t>
            </w:r>
            <w:r w:rsidRPr="00DC4CD2">
              <w:t>Aware to β</w:t>
            </w:r>
            <w:r w:rsidR="00AB5CE1">
              <w:t>-</w:t>
            </w:r>
            <w:r w:rsidRPr="00DC4CD2">
              <w:t>Optimizing AI for Preference</w:t>
            </w:r>
            <w:r w:rsidR="00AB5CE1">
              <w:t>-</w:t>
            </w:r>
            <w:r w:rsidRPr="00DC4CD2">
              <w:t>sensitive Clinical Decisions: Achieving Beneficence. Authorea [Preprint] 2026. Available from: https://www.authorea.com/users/1037738/articles/1398258</w:t>
            </w:r>
            <w:r w:rsidR="00AB5CE1">
              <w:t>-</w:t>
            </w:r>
            <w:r w:rsidRPr="00DC4CD2">
              <w:t>from</w:t>
            </w:r>
            <w:r w:rsidR="00AB5CE1">
              <w:t>-</w:t>
            </w:r>
            <w:r w:rsidRPr="00DC4CD2">
              <w:t>%CE%B2</w:t>
            </w:r>
            <w:r w:rsidR="00AB5CE1">
              <w:t>-</w:t>
            </w:r>
            <w:r w:rsidRPr="00DC4CD2">
              <w:t>aware</w:t>
            </w:r>
            <w:r w:rsidR="00AB5CE1">
              <w:t>-</w:t>
            </w:r>
            <w:r w:rsidRPr="00DC4CD2">
              <w:t>to</w:t>
            </w:r>
            <w:r w:rsidR="00AB5CE1">
              <w:t>-</w:t>
            </w:r>
            <w:r w:rsidRPr="00DC4CD2">
              <w:t>%CE%B2</w:t>
            </w:r>
            <w:r w:rsidR="00AB5CE1">
              <w:t>-</w:t>
            </w:r>
            <w:r w:rsidRPr="00DC4CD2">
              <w:t>optimizing</w:t>
            </w:r>
            <w:r w:rsidR="00AB5CE1">
              <w:t>-</w:t>
            </w:r>
            <w:r w:rsidRPr="00DC4CD2">
              <w:t>ai</w:t>
            </w:r>
            <w:r w:rsidR="00AB5CE1">
              <w:t>-</w:t>
            </w:r>
            <w:r w:rsidRPr="00DC4CD2">
              <w:t>for</w:t>
            </w:r>
            <w:r w:rsidR="00AB5CE1">
              <w:t>-</w:t>
            </w:r>
            <w:r w:rsidRPr="00DC4CD2">
              <w:t>preference</w:t>
            </w:r>
            <w:r w:rsidR="00AB5CE1">
              <w:t>-</w:t>
            </w:r>
            <w:r w:rsidRPr="00DC4CD2">
              <w:t>sensitive</w:t>
            </w:r>
            <w:r w:rsidR="00AB5CE1">
              <w:t>-</w:t>
            </w:r>
            <w:r w:rsidRPr="00DC4CD2">
              <w:t>clinical</w:t>
            </w:r>
            <w:r w:rsidR="00AB5CE1">
              <w:t>-</w:t>
            </w:r>
            <w:r w:rsidRPr="00DC4CD2">
              <w:t>decisions</w:t>
            </w:r>
            <w:r w:rsidR="00AB5CE1">
              <w:t>-</w:t>
            </w:r>
            <w:r w:rsidRPr="00DC4CD2">
              <w:t>achieving</w:t>
            </w:r>
            <w:r w:rsidR="00AB5CE1">
              <w:t>-</w:t>
            </w:r>
            <w:r w:rsidRPr="00DC4CD2">
              <w:t xml:space="preserve">beneficence </w:t>
            </w:r>
            <w:r>
              <w:t>doi:</w:t>
            </w:r>
            <w:r w:rsidRPr="00DC4CD2">
              <w:t>10.22541/au.177499025.52578495/v2</w:t>
            </w:r>
          </w:p>
        </w:tc>
      </w:tr>
      <w:tr w:rsidR="00BF5DC4" w:rsidRPr="00DC4CD2" w14:paraId="0CBD9668" w14:textId="77777777" w:rsidTr="00BF5DC4">
        <w:trPr>
          <w:gridAfter w:val="1"/>
          <w:wAfter w:w="10" w:type="dxa"/>
        </w:trPr>
        <w:tc>
          <w:tcPr>
            <w:tcW w:w="720" w:type="dxa"/>
          </w:tcPr>
          <w:p w14:paraId="10A29EA6" w14:textId="77777777" w:rsidR="00BF5DC4" w:rsidRPr="00DC4CD2" w:rsidRDefault="00BF5DC4" w:rsidP="00430B63">
            <w:pPr>
              <w:spacing w:before="120" w:after="120"/>
              <w:jc w:val="center"/>
              <w:rPr>
                <w:b/>
                <w:bCs/>
              </w:rPr>
            </w:pPr>
            <w:r>
              <w:rPr>
                <w:b/>
                <w:bCs/>
              </w:rPr>
              <w:t>S15</w:t>
            </w:r>
          </w:p>
        </w:tc>
        <w:tc>
          <w:tcPr>
            <w:tcW w:w="8630" w:type="dxa"/>
          </w:tcPr>
          <w:p w14:paraId="49ACFEF3" w14:textId="77777777" w:rsidR="00BF5DC4" w:rsidRPr="00DC4CD2" w:rsidRDefault="00BF5DC4" w:rsidP="00430B63">
            <w:pPr>
              <w:spacing w:before="120" w:after="120"/>
              <w:jc w:val="left"/>
            </w:pPr>
            <w:r w:rsidRPr="00DC4CD2">
              <w:t>McCormick PC. The Spine Patient Outcomes Research Trial results for lumbar disc herniation: a critical review. J Neurosurg Spine. 2007;6:513–520. doi:10.3171/spi.2007.6.6.1</w:t>
            </w:r>
          </w:p>
        </w:tc>
      </w:tr>
      <w:tr w:rsidR="00BF5DC4" w:rsidRPr="00DC4CD2" w14:paraId="0565BF72" w14:textId="77777777" w:rsidTr="00BF5DC4">
        <w:trPr>
          <w:gridAfter w:val="1"/>
          <w:wAfter w:w="10" w:type="dxa"/>
        </w:trPr>
        <w:tc>
          <w:tcPr>
            <w:tcW w:w="720" w:type="dxa"/>
          </w:tcPr>
          <w:p w14:paraId="603FDD5C" w14:textId="77777777" w:rsidR="00BF5DC4" w:rsidRDefault="00BF5DC4" w:rsidP="00430B63">
            <w:pPr>
              <w:spacing w:before="120" w:after="120"/>
              <w:jc w:val="center"/>
              <w:rPr>
                <w:b/>
                <w:bCs/>
              </w:rPr>
            </w:pPr>
            <w:r>
              <w:rPr>
                <w:b/>
                <w:bCs/>
              </w:rPr>
              <w:t>S16</w:t>
            </w:r>
          </w:p>
        </w:tc>
        <w:tc>
          <w:tcPr>
            <w:tcW w:w="8630" w:type="dxa"/>
          </w:tcPr>
          <w:p w14:paraId="0D1BFA80" w14:textId="3756AC83" w:rsidR="00BF5DC4" w:rsidRPr="00DC4CD2" w:rsidRDefault="00BF5DC4" w:rsidP="00430B63">
            <w:pPr>
              <w:spacing w:before="120" w:after="120"/>
              <w:jc w:val="left"/>
            </w:pPr>
            <w:r w:rsidRPr="00CC05D6">
              <w:t>Chalmers TC, Smith H Jr, Blackburn B, Silverman B, Schroeder B, Reitman D, et al. A comparison of results of randomized and non</w:t>
            </w:r>
            <w:r w:rsidR="00AB5CE1">
              <w:t>-</w:t>
            </w:r>
            <w:r w:rsidRPr="00CC05D6">
              <w:t>randomized studies of surgical treatment for benign prostatic hyperplasia. N Engl J Med. 1981;305(23):1316–22. doi: 10.1056/NEJM198111193052303</w:t>
            </w:r>
          </w:p>
        </w:tc>
      </w:tr>
      <w:tr w:rsidR="00BF5DC4" w:rsidRPr="00DC4CD2" w14:paraId="6D6EFE81" w14:textId="77777777" w:rsidTr="00BF5DC4">
        <w:trPr>
          <w:gridAfter w:val="1"/>
          <w:wAfter w:w="10" w:type="dxa"/>
        </w:trPr>
        <w:tc>
          <w:tcPr>
            <w:tcW w:w="720" w:type="dxa"/>
          </w:tcPr>
          <w:p w14:paraId="2B6E1BB5" w14:textId="77777777" w:rsidR="00BF5DC4" w:rsidRDefault="00BF5DC4" w:rsidP="00430B63">
            <w:pPr>
              <w:spacing w:before="120" w:after="120"/>
              <w:jc w:val="center"/>
              <w:rPr>
                <w:b/>
                <w:bCs/>
              </w:rPr>
            </w:pPr>
            <w:r>
              <w:rPr>
                <w:b/>
                <w:bCs/>
              </w:rPr>
              <w:t>S17</w:t>
            </w:r>
          </w:p>
        </w:tc>
        <w:tc>
          <w:tcPr>
            <w:tcW w:w="8630" w:type="dxa"/>
          </w:tcPr>
          <w:p w14:paraId="3A29B76F" w14:textId="482B4B38" w:rsidR="00BF5DC4" w:rsidRPr="00CC05D6" w:rsidRDefault="00BF5DC4" w:rsidP="00430B63">
            <w:pPr>
              <w:spacing w:before="120" w:after="120"/>
              <w:jc w:val="left"/>
            </w:pPr>
            <w:r w:rsidRPr="00CC05D6">
              <w:t>Hamdy FC, Donovan JL, Lane JA, Metcalfe C, Davis M, Turner EL, et</w:t>
            </w:r>
            <w:r w:rsidRPr="00CC05D6">
              <w:rPr>
                <w:rFonts w:ascii="Arial" w:hAnsi="Arial" w:cs="Arial"/>
              </w:rPr>
              <w:t> </w:t>
            </w:r>
            <w:r w:rsidRPr="00CC05D6">
              <w:t>al. 10</w:t>
            </w:r>
            <w:r w:rsidR="00AB5CE1">
              <w:t>-</w:t>
            </w:r>
            <w:r w:rsidRPr="00CC05D6">
              <w:t>year outcomes after monitoring, surgery, or radiotherapy for localized prostate cancer. N Engl J Med. 2016;375(15):1415</w:t>
            </w:r>
            <w:r w:rsidR="00AB5CE1">
              <w:t>-</w:t>
            </w:r>
            <w:r w:rsidRPr="00CC05D6">
              <w:t>1424. doi:10.1056/NEJMoa1606220</w:t>
            </w:r>
          </w:p>
        </w:tc>
      </w:tr>
      <w:tr w:rsidR="00BF5DC4" w:rsidRPr="00DC4CD2" w14:paraId="1D45934B" w14:textId="77777777" w:rsidTr="00BF5DC4">
        <w:trPr>
          <w:gridAfter w:val="1"/>
          <w:wAfter w:w="10" w:type="dxa"/>
        </w:trPr>
        <w:tc>
          <w:tcPr>
            <w:tcW w:w="720" w:type="dxa"/>
          </w:tcPr>
          <w:p w14:paraId="56268B41" w14:textId="77777777" w:rsidR="00BF5DC4" w:rsidRDefault="00BF5DC4" w:rsidP="00430B63">
            <w:pPr>
              <w:spacing w:before="120" w:after="120"/>
              <w:jc w:val="center"/>
              <w:rPr>
                <w:b/>
                <w:bCs/>
              </w:rPr>
            </w:pPr>
            <w:r>
              <w:rPr>
                <w:b/>
                <w:bCs/>
              </w:rPr>
              <w:t>S18</w:t>
            </w:r>
          </w:p>
        </w:tc>
        <w:tc>
          <w:tcPr>
            <w:tcW w:w="8630" w:type="dxa"/>
          </w:tcPr>
          <w:p w14:paraId="1FB92823" w14:textId="412917BB" w:rsidR="00BF5DC4" w:rsidRPr="00CC05D6" w:rsidRDefault="00BF5DC4" w:rsidP="00430B63">
            <w:pPr>
              <w:spacing w:before="120" w:after="120"/>
              <w:jc w:val="left"/>
            </w:pPr>
            <w:r w:rsidRPr="00CC05D6">
              <w:t>Donovan JL, Hamdy FC, Lane JA, Mason M, Metcalfe C, Walsh E, et</w:t>
            </w:r>
            <w:r w:rsidRPr="00CC05D6">
              <w:rPr>
                <w:rFonts w:ascii="Arial" w:hAnsi="Arial" w:cs="Arial"/>
              </w:rPr>
              <w:t> </w:t>
            </w:r>
            <w:r w:rsidRPr="00CC05D6">
              <w:t>al. Patient</w:t>
            </w:r>
            <w:r w:rsidR="00AB5CE1">
              <w:t>-</w:t>
            </w:r>
            <w:r w:rsidRPr="00CC05D6">
              <w:t>reported outcomes after monitoring, surgery, or radiotherapy for prostate cancer. N Engl J Med. 2016;375(15):1425</w:t>
            </w:r>
            <w:r w:rsidR="00AB5CE1">
              <w:t>-</w:t>
            </w:r>
            <w:r w:rsidRPr="00CC05D6">
              <w:t>1437. doi:10.1056/NEJMoa1606221</w:t>
            </w:r>
          </w:p>
        </w:tc>
      </w:tr>
      <w:tr w:rsidR="00BF5DC4" w:rsidRPr="00DC4CD2" w14:paraId="033EDA7D" w14:textId="77777777" w:rsidTr="00BF5DC4">
        <w:trPr>
          <w:gridAfter w:val="1"/>
          <w:wAfter w:w="10" w:type="dxa"/>
        </w:trPr>
        <w:tc>
          <w:tcPr>
            <w:tcW w:w="720" w:type="dxa"/>
          </w:tcPr>
          <w:p w14:paraId="11307027" w14:textId="77777777" w:rsidR="00BF5DC4" w:rsidRDefault="00BF5DC4" w:rsidP="00430B63">
            <w:pPr>
              <w:spacing w:before="120" w:after="120"/>
              <w:jc w:val="center"/>
              <w:rPr>
                <w:b/>
                <w:bCs/>
              </w:rPr>
            </w:pPr>
            <w:r>
              <w:rPr>
                <w:b/>
                <w:bCs/>
              </w:rPr>
              <w:t>S19</w:t>
            </w:r>
          </w:p>
        </w:tc>
        <w:tc>
          <w:tcPr>
            <w:tcW w:w="8630" w:type="dxa"/>
          </w:tcPr>
          <w:p w14:paraId="0A4B3BB9" w14:textId="77777777" w:rsidR="00BF5DC4" w:rsidRPr="00CC05D6" w:rsidRDefault="00BF5DC4" w:rsidP="00430B63">
            <w:pPr>
              <w:spacing w:before="120" w:after="120"/>
              <w:jc w:val="left"/>
            </w:pPr>
            <w:r w:rsidRPr="00DD0DBA">
              <w:t>Wyse DG, Waldo AL, DiMarco JP, et al; AFFIRM Investigators. A comparison of rate control and rhythm control in patients with atrial fibrillation. N Engl J Med. 2002;347(23):1825–1833. doi:10.1056/NEJMoa021328</w:t>
            </w:r>
          </w:p>
        </w:tc>
      </w:tr>
      <w:tr w:rsidR="00BF5DC4" w:rsidRPr="00DC4CD2" w14:paraId="128051C8" w14:textId="77777777" w:rsidTr="00BF5DC4">
        <w:trPr>
          <w:gridAfter w:val="1"/>
          <w:wAfter w:w="10" w:type="dxa"/>
        </w:trPr>
        <w:tc>
          <w:tcPr>
            <w:tcW w:w="720" w:type="dxa"/>
          </w:tcPr>
          <w:p w14:paraId="1D509C51" w14:textId="77777777" w:rsidR="00BF5DC4" w:rsidRDefault="00BF5DC4" w:rsidP="00430B63">
            <w:pPr>
              <w:spacing w:before="120" w:after="120"/>
              <w:jc w:val="center"/>
              <w:rPr>
                <w:b/>
                <w:bCs/>
              </w:rPr>
            </w:pPr>
            <w:r>
              <w:rPr>
                <w:b/>
                <w:bCs/>
              </w:rPr>
              <w:t>S20</w:t>
            </w:r>
          </w:p>
        </w:tc>
        <w:tc>
          <w:tcPr>
            <w:tcW w:w="8630" w:type="dxa"/>
          </w:tcPr>
          <w:p w14:paraId="38899E07" w14:textId="77777777" w:rsidR="00BF5DC4" w:rsidRPr="00CC05D6" w:rsidRDefault="00BF5DC4" w:rsidP="00430B63">
            <w:pPr>
              <w:spacing w:before="120" w:after="120"/>
              <w:jc w:val="left"/>
            </w:pPr>
            <w:r w:rsidRPr="00DD0DBA">
              <w:t>Joglar JA, Chung MK, Armbruster AL, et al. 2023 ACC/AHA/ACCP/HRS guideline for the diagnosis and management of atrial fibrillation. Circulation. 2024;149(1):e1–e156. doi:10.1161/CIR.0000000000001193</w:t>
            </w:r>
          </w:p>
        </w:tc>
      </w:tr>
      <w:tr w:rsidR="00BF5DC4" w:rsidRPr="00DC4CD2" w14:paraId="6897D81C" w14:textId="77777777" w:rsidTr="00BF5DC4">
        <w:trPr>
          <w:gridAfter w:val="1"/>
          <w:wAfter w:w="10" w:type="dxa"/>
        </w:trPr>
        <w:tc>
          <w:tcPr>
            <w:tcW w:w="720" w:type="dxa"/>
          </w:tcPr>
          <w:p w14:paraId="5FCE13F6" w14:textId="77777777" w:rsidR="00BF5DC4" w:rsidRDefault="00BF5DC4" w:rsidP="00430B63">
            <w:pPr>
              <w:spacing w:before="120" w:after="120"/>
              <w:jc w:val="center"/>
              <w:rPr>
                <w:b/>
                <w:bCs/>
              </w:rPr>
            </w:pPr>
            <w:r>
              <w:rPr>
                <w:b/>
                <w:bCs/>
              </w:rPr>
              <w:lastRenderedPageBreak/>
              <w:t>S21</w:t>
            </w:r>
          </w:p>
        </w:tc>
        <w:tc>
          <w:tcPr>
            <w:tcW w:w="8630" w:type="dxa"/>
          </w:tcPr>
          <w:p w14:paraId="7FE0A7F1" w14:textId="31A397E1" w:rsidR="00BF5DC4" w:rsidRPr="00DD0DBA" w:rsidRDefault="00BF5DC4" w:rsidP="00430B63">
            <w:pPr>
              <w:spacing w:before="120" w:after="120"/>
              <w:jc w:val="left"/>
            </w:pPr>
            <w:r w:rsidRPr="00DD0DBA">
              <w:t>Spertus JA, Jones PG, Maron DJ, et al; ISCHEMIA Research Group. Health</w:t>
            </w:r>
            <w:r w:rsidR="00AB5CE1">
              <w:t>-</w:t>
            </w:r>
            <w:r w:rsidRPr="00DD0DBA">
              <w:t>Status Outcomes with Invasive or Conservative Care in Coronary Disease. N Engl J Med. 2020;382(15):1408–1419. doi:10.1056/NEJMoa1916370</w:t>
            </w:r>
          </w:p>
        </w:tc>
      </w:tr>
      <w:tr w:rsidR="00BF5DC4" w:rsidRPr="00DC4CD2" w14:paraId="1D2A28F0" w14:textId="77777777" w:rsidTr="00BF5DC4">
        <w:trPr>
          <w:gridAfter w:val="1"/>
          <w:wAfter w:w="10" w:type="dxa"/>
        </w:trPr>
        <w:tc>
          <w:tcPr>
            <w:tcW w:w="720" w:type="dxa"/>
          </w:tcPr>
          <w:p w14:paraId="244AAB46" w14:textId="77777777" w:rsidR="00BF5DC4" w:rsidRDefault="00BF5DC4" w:rsidP="00430B63">
            <w:pPr>
              <w:spacing w:before="120" w:after="120"/>
              <w:jc w:val="center"/>
              <w:rPr>
                <w:b/>
                <w:bCs/>
              </w:rPr>
            </w:pPr>
            <w:r>
              <w:rPr>
                <w:b/>
                <w:bCs/>
              </w:rPr>
              <w:t>S22</w:t>
            </w:r>
          </w:p>
        </w:tc>
        <w:tc>
          <w:tcPr>
            <w:tcW w:w="8630" w:type="dxa"/>
          </w:tcPr>
          <w:p w14:paraId="5F9974FE" w14:textId="77777777" w:rsidR="00BF5DC4" w:rsidRPr="00DD0DBA" w:rsidRDefault="00BF5DC4" w:rsidP="00430B63">
            <w:pPr>
              <w:spacing w:before="120" w:after="120"/>
              <w:jc w:val="left"/>
            </w:pPr>
            <w:r w:rsidRPr="00DD0DBA">
              <w:t>Maron DJ, Hochman JS, Reynolds HR, et al; ISCHEMIA Research Group. Initial Invasive or Conservative Strategy for Stable Coronary Disease. N Engl J Med. 2020;382(15):1395–1407. doi:10.1056/NEJMoa1915922</w:t>
            </w:r>
          </w:p>
        </w:tc>
      </w:tr>
      <w:tr w:rsidR="00BF5DC4" w:rsidRPr="00DC4CD2" w14:paraId="5DA552D5" w14:textId="77777777" w:rsidTr="00BF5DC4">
        <w:trPr>
          <w:gridAfter w:val="1"/>
          <w:wAfter w:w="10" w:type="dxa"/>
        </w:trPr>
        <w:tc>
          <w:tcPr>
            <w:tcW w:w="720" w:type="dxa"/>
          </w:tcPr>
          <w:p w14:paraId="757151E8" w14:textId="77777777" w:rsidR="00BF5DC4" w:rsidRDefault="00BF5DC4" w:rsidP="00430B63">
            <w:pPr>
              <w:spacing w:before="120" w:after="120"/>
              <w:jc w:val="center"/>
              <w:rPr>
                <w:b/>
                <w:bCs/>
              </w:rPr>
            </w:pPr>
            <w:r>
              <w:rPr>
                <w:b/>
                <w:bCs/>
              </w:rPr>
              <w:t>S23</w:t>
            </w:r>
          </w:p>
        </w:tc>
        <w:tc>
          <w:tcPr>
            <w:tcW w:w="8630" w:type="dxa"/>
          </w:tcPr>
          <w:p w14:paraId="17601F81" w14:textId="77777777" w:rsidR="00BF5DC4" w:rsidRPr="00DD0DBA" w:rsidRDefault="00BF5DC4" w:rsidP="00430B63">
            <w:pPr>
              <w:spacing w:before="120" w:after="120"/>
              <w:jc w:val="left"/>
            </w:pPr>
            <w:r w:rsidRPr="00DD0DBA">
              <w:t>CODA Collaborative. A randomized trial comparing antibiotics with appendectomy for appendicitis. N Engl J Med. 2020;383(20):1907–1919. doi:10.1056/NEJMoa2014320</w:t>
            </w:r>
          </w:p>
        </w:tc>
      </w:tr>
      <w:tr w:rsidR="00BF5DC4" w:rsidRPr="00DC4CD2" w14:paraId="43C80093" w14:textId="77777777" w:rsidTr="00BF5DC4">
        <w:trPr>
          <w:gridAfter w:val="1"/>
          <w:wAfter w:w="10" w:type="dxa"/>
        </w:trPr>
        <w:tc>
          <w:tcPr>
            <w:tcW w:w="720" w:type="dxa"/>
          </w:tcPr>
          <w:p w14:paraId="2A678D59" w14:textId="77777777" w:rsidR="00BF5DC4" w:rsidRDefault="00BF5DC4" w:rsidP="00430B63">
            <w:pPr>
              <w:spacing w:before="120" w:after="120"/>
              <w:jc w:val="center"/>
              <w:rPr>
                <w:b/>
                <w:bCs/>
              </w:rPr>
            </w:pPr>
            <w:r>
              <w:rPr>
                <w:b/>
                <w:bCs/>
              </w:rPr>
              <w:t>S24</w:t>
            </w:r>
          </w:p>
        </w:tc>
        <w:tc>
          <w:tcPr>
            <w:tcW w:w="8630" w:type="dxa"/>
          </w:tcPr>
          <w:p w14:paraId="61A64C3F" w14:textId="4CB7047D" w:rsidR="00BF5DC4" w:rsidRPr="00DD0DBA" w:rsidRDefault="00BF5DC4" w:rsidP="00430B63">
            <w:pPr>
              <w:spacing w:before="120" w:after="120"/>
              <w:jc w:val="left"/>
            </w:pPr>
            <w:r w:rsidRPr="00DD0DBA">
              <w:t>Davidson GH, Flum DR, Monsell SE, et al. Antibiotics versus appendectomy for acute appendicitis — longer</w:t>
            </w:r>
            <w:r w:rsidR="00AB5CE1">
              <w:t>-</w:t>
            </w:r>
            <w:r w:rsidRPr="00DD0DBA">
              <w:t>term outcomes. N Engl J Med. 2021;385(25):2395–2397. doi:10.1056/NEJMc2116018</w:t>
            </w:r>
          </w:p>
        </w:tc>
      </w:tr>
      <w:tr w:rsidR="00BF5DC4" w:rsidRPr="00DC4CD2" w14:paraId="2A7C2357" w14:textId="77777777" w:rsidTr="00BF5DC4">
        <w:trPr>
          <w:gridAfter w:val="1"/>
          <w:wAfter w:w="10" w:type="dxa"/>
        </w:trPr>
        <w:tc>
          <w:tcPr>
            <w:tcW w:w="720" w:type="dxa"/>
          </w:tcPr>
          <w:p w14:paraId="6ACAF29F" w14:textId="77777777" w:rsidR="00BF5DC4" w:rsidRDefault="00BF5DC4" w:rsidP="00430B63">
            <w:pPr>
              <w:spacing w:before="120" w:after="120"/>
              <w:jc w:val="center"/>
              <w:rPr>
                <w:b/>
                <w:bCs/>
              </w:rPr>
            </w:pPr>
            <w:r>
              <w:rPr>
                <w:b/>
                <w:bCs/>
              </w:rPr>
              <w:t>S25</w:t>
            </w:r>
          </w:p>
        </w:tc>
        <w:tc>
          <w:tcPr>
            <w:tcW w:w="8630" w:type="dxa"/>
          </w:tcPr>
          <w:p w14:paraId="06CABB32" w14:textId="77777777" w:rsidR="00BF5DC4" w:rsidRPr="00DD0DBA" w:rsidRDefault="00BF5DC4" w:rsidP="00430B63">
            <w:pPr>
              <w:spacing w:before="120" w:after="120"/>
              <w:jc w:val="left"/>
            </w:pPr>
            <w:r w:rsidRPr="00DD0DBA">
              <w:t>Wasson JH, Reda DJ, Bruskewitz RC, Elinson J, Keller AM, Henderson WG; Veterans Affairs Cooperative Study Group on Transurethral Resection of the Prostate. A comparison of transurethral surgery with watchful waiting for moderate symptoms of benign prostatic hyperplasia. N Engl J Med. 1995;332(2):75–79. doi:10.1056/NEJM199501123320202</w:t>
            </w:r>
          </w:p>
        </w:tc>
      </w:tr>
      <w:tr w:rsidR="00BF5DC4" w:rsidRPr="00DC4CD2" w14:paraId="3201462E" w14:textId="77777777" w:rsidTr="00BF5DC4">
        <w:trPr>
          <w:gridAfter w:val="1"/>
          <w:wAfter w:w="10" w:type="dxa"/>
        </w:trPr>
        <w:tc>
          <w:tcPr>
            <w:tcW w:w="720" w:type="dxa"/>
          </w:tcPr>
          <w:p w14:paraId="77648097" w14:textId="77777777" w:rsidR="00BF5DC4" w:rsidRDefault="00BF5DC4" w:rsidP="00430B63">
            <w:pPr>
              <w:spacing w:before="120" w:after="120"/>
              <w:jc w:val="center"/>
              <w:rPr>
                <w:b/>
                <w:bCs/>
              </w:rPr>
            </w:pPr>
            <w:r>
              <w:rPr>
                <w:b/>
                <w:bCs/>
              </w:rPr>
              <w:t>S26</w:t>
            </w:r>
          </w:p>
        </w:tc>
        <w:tc>
          <w:tcPr>
            <w:tcW w:w="8630" w:type="dxa"/>
          </w:tcPr>
          <w:p w14:paraId="65A625B4" w14:textId="7E3F0C4B" w:rsidR="00BF5DC4" w:rsidRPr="00DD0DBA" w:rsidRDefault="00BF5DC4" w:rsidP="00430B63">
            <w:pPr>
              <w:spacing w:before="120" w:after="120"/>
              <w:jc w:val="left"/>
            </w:pPr>
            <w:r w:rsidRPr="00DD0DBA">
              <w:t>McConnell JD, Roehrborn CG, Bautista OM, et al; MTOPS Research Group. The long</w:t>
            </w:r>
            <w:r w:rsidR="00AB5CE1">
              <w:t>-</w:t>
            </w:r>
            <w:r w:rsidRPr="00DD0DBA">
              <w:t>term effect of doxazosin, finasteride, and combination therapy on the clinical progression of benign prostatic hyperplasia. N Engl J Med. 2003;349(25):2387–2398. doi:10.1056/NEJMoa030656</w:t>
            </w:r>
          </w:p>
        </w:tc>
      </w:tr>
      <w:tr w:rsidR="00BF5DC4" w:rsidRPr="00DC4CD2" w14:paraId="23E2CE1A" w14:textId="77777777" w:rsidTr="00BF5DC4">
        <w:trPr>
          <w:gridAfter w:val="1"/>
          <w:wAfter w:w="10" w:type="dxa"/>
        </w:trPr>
        <w:tc>
          <w:tcPr>
            <w:tcW w:w="720" w:type="dxa"/>
          </w:tcPr>
          <w:p w14:paraId="75EE19BD" w14:textId="77777777" w:rsidR="00BF5DC4" w:rsidRDefault="00BF5DC4" w:rsidP="00430B63">
            <w:pPr>
              <w:spacing w:before="120" w:after="120"/>
              <w:jc w:val="center"/>
              <w:rPr>
                <w:b/>
                <w:bCs/>
              </w:rPr>
            </w:pPr>
            <w:r>
              <w:rPr>
                <w:b/>
                <w:bCs/>
              </w:rPr>
              <w:t>S27</w:t>
            </w:r>
          </w:p>
        </w:tc>
        <w:tc>
          <w:tcPr>
            <w:tcW w:w="8630" w:type="dxa"/>
          </w:tcPr>
          <w:p w14:paraId="4A5E6F5B" w14:textId="77777777" w:rsidR="00BF5DC4" w:rsidRPr="00DD0DBA" w:rsidRDefault="00BF5DC4" w:rsidP="00430B63">
            <w:pPr>
              <w:spacing w:before="120" w:after="120"/>
              <w:jc w:val="left"/>
            </w:pPr>
            <w:r w:rsidRPr="00DD0DBA">
              <w:t>Skou ST, Roos EM, Laursen MB, et al. A randomized, controlled trial of total knee replacement. N Engl J Med. 2015;373(17):1597–1606. doi:10.1056/NEJMoa1505467</w:t>
            </w:r>
          </w:p>
        </w:tc>
      </w:tr>
      <w:tr w:rsidR="00BF5DC4" w:rsidRPr="00DC4CD2" w14:paraId="0F71763B" w14:textId="77777777" w:rsidTr="00BF5DC4">
        <w:trPr>
          <w:gridAfter w:val="1"/>
          <w:wAfter w:w="10" w:type="dxa"/>
        </w:trPr>
        <w:tc>
          <w:tcPr>
            <w:tcW w:w="720" w:type="dxa"/>
          </w:tcPr>
          <w:p w14:paraId="4F097F54" w14:textId="77777777" w:rsidR="00BF5DC4" w:rsidRDefault="00BF5DC4" w:rsidP="00430B63">
            <w:pPr>
              <w:spacing w:before="120" w:after="120"/>
              <w:jc w:val="center"/>
              <w:rPr>
                <w:b/>
                <w:bCs/>
              </w:rPr>
            </w:pPr>
            <w:r>
              <w:rPr>
                <w:b/>
                <w:bCs/>
              </w:rPr>
              <w:t>S28</w:t>
            </w:r>
          </w:p>
        </w:tc>
        <w:tc>
          <w:tcPr>
            <w:tcW w:w="8630" w:type="dxa"/>
          </w:tcPr>
          <w:p w14:paraId="3A66A916" w14:textId="039C2709" w:rsidR="00BF5DC4" w:rsidRPr="00DD0DBA" w:rsidRDefault="00BF5DC4" w:rsidP="00430B63">
            <w:pPr>
              <w:spacing w:before="120" w:after="120"/>
              <w:jc w:val="left"/>
            </w:pPr>
            <w:r w:rsidRPr="00DD0DBA">
              <w:t>Skou ST, Roos EM, Laursen MB, Rathleff MS, Arendt</w:t>
            </w:r>
            <w:r w:rsidR="00AB5CE1">
              <w:t>-</w:t>
            </w:r>
            <w:r w:rsidRPr="00DD0DBA">
              <w:t>Nielsen L, Rasmussen S, Simonsen O. Total knee replacement and non</w:t>
            </w:r>
            <w:r w:rsidR="00AB5CE1">
              <w:t>-</w:t>
            </w:r>
            <w:r w:rsidRPr="00DD0DBA">
              <w:t>surgical treatment of knee osteoarthritis: 2</w:t>
            </w:r>
            <w:r w:rsidR="00AB5CE1">
              <w:t>-</w:t>
            </w:r>
            <w:r w:rsidRPr="00DD0DBA">
              <w:t>year outcome from two parallel randomized controlled trials. Osteoarthritis Cartilage. 2018;26(9):1170–1180. doi:10.1016/j.joca.2018.04.014</w:t>
            </w:r>
          </w:p>
        </w:tc>
      </w:tr>
      <w:tr w:rsidR="00BF5DC4" w:rsidRPr="00DC4CD2" w14:paraId="36703200" w14:textId="77777777" w:rsidTr="00BF5DC4">
        <w:trPr>
          <w:gridAfter w:val="1"/>
          <w:wAfter w:w="10" w:type="dxa"/>
        </w:trPr>
        <w:tc>
          <w:tcPr>
            <w:tcW w:w="720" w:type="dxa"/>
          </w:tcPr>
          <w:p w14:paraId="0ED1629E" w14:textId="77777777" w:rsidR="00BF5DC4" w:rsidRDefault="00BF5DC4" w:rsidP="00430B63">
            <w:pPr>
              <w:spacing w:before="120" w:after="120"/>
              <w:jc w:val="center"/>
              <w:rPr>
                <w:b/>
                <w:bCs/>
              </w:rPr>
            </w:pPr>
            <w:r>
              <w:rPr>
                <w:b/>
                <w:bCs/>
              </w:rPr>
              <w:t>S29</w:t>
            </w:r>
          </w:p>
        </w:tc>
        <w:tc>
          <w:tcPr>
            <w:tcW w:w="8630" w:type="dxa"/>
          </w:tcPr>
          <w:p w14:paraId="11C10F2F" w14:textId="77777777" w:rsidR="00BF5DC4" w:rsidRPr="00DD0DBA" w:rsidRDefault="00BF5DC4" w:rsidP="00430B63">
            <w:pPr>
              <w:spacing w:before="120" w:after="120"/>
              <w:jc w:val="left"/>
            </w:pPr>
            <w:r w:rsidRPr="00432C03">
              <w:t>Murphy TP, Cutlip DE, Regensteiner JG, et al. Supervised exercise, stent revascularization, or medical therapy for claudication due to aortoiliac peripheral artery disease: a randomized clinical trial. J Am Coll Cardiol. 2015;65(10):999–1009. doi:10.1016/j.jacc.2014.12.043</w:t>
            </w:r>
          </w:p>
        </w:tc>
      </w:tr>
      <w:tr w:rsidR="00BF5DC4" w:rsidRPr="00DC4CD2" w14:paraId="14153C93" w14:textId="77777777" w:rsidTr="00BF5DC4">
        <w:trPr>
          <w:gridAfter w:val="1"/>
          <w:wAfter w:w="10" w:type="dxa"/>
        </w:trPr>
        <w:tc>
          <w:tcPr>
            <w:tcW w:w="720" w:type="dxa"/>
          </w:tcPr>
          <w:p w14:paraId="093AFF1F" w14:textId="77777777" w:rsidR="00BF5DC4" w:rsidRDefault="00BF5DC4" w:rsidP="00430B63">
            <w:pPr>
              <w:spacing w:before="120" w:after="120"/>
              <w:jc w:val="center"/>
              <w:rPr>
                <w:b/>
                <w:bCs/>
              </w:rPr>
            </w:pPr>
            <w:r>
              <w:rPr>
                <w:b/>
                <w:bCs/>
              </w:rPr>
              <w:t>S30</w:t>
            </w:r>
          </w:p>
        </w:tc>
        <w:tc>
          <w:tcPr>
            <w:tcW w:w="8630" w:type="dxa"/>
          </w:tcPr>
          <w:p w14:paraId="375A08ED" w14:textId="77777777" w:rsidR="00BF5DC4" w:rsidRPr="00432C03" w:rsidRDefault="00BF5DC4" w:rsidP="00430B63">
            <w:pPr>
              <w:spacing w:before="120" w:after="120"/>
              <w:jc w:val="left"/>
            </w:pPr>
            <w:r w:rsidRPr="00432C03">
              <w:t>Fakhry F, Spronk S, van der Laan L, et al. Endovascular revascularization and supervised exercise for peripheral artery disease and intermittent claudication: a randomized clinical trial. JAMA. 2015;314(18):1936–1944. doi:10.1001/jama.2015.14851</w:t>
            </w:r>
          </w:p>
        </w:tc>
      </w:tr>
      <w:tr w:rsidR="00BF5DC4" w:rsidRPr="00DC4CD2" w14:paraId="21C7EFF2" w14:textId="77777777" w:rsidTr="00BF5DC4">
        <w:trPr>
          <w:gridAfter w:val="1"/>
          <w:wAfter w:w="10" w:type="dxa"/>
        </w:trPr>
        <w:tc>
          <w:tcPr>
            <w:tcW w:w="720" w:type="dxa"/>
          </w:tcPr>
          <w:p w14:paraId="0DC18A07" w14:textId="77777777" w:rsidR="00BF5DC4" w:rsidRDefault="00BF5DC4" w:rsidP="00430B63">
            <w:pPr>
              <w:spacing w:before="120" w:after="120"/>
              <w:jc w:val="center"/>
              <w:rPr>
                <w:b/>
                <w:bCs/>
              </w:rPr>
            </w:pPr>
            <w:r>
              <w:rPr>
                <w:b/>
                <w:bCs/>
              </w:rPr>
              <w:lastRenderedPageBreak/>
              <w:t>S31</w:t>
            </w:r>
          </w:p>
        </w:tc>
        <w:tc>
          <w:tcPr>
            <w:tcW w:w="8630" w:type="dxa"/>
          </w:tcPr>
          <w:p w14:paraId="54D8F1FA" w14:textId="7F439A5D" w:rsidR="00BF5DC4" w:rsidRPr="00432C03" w:rsidRDefault="00BF5DC4" w:rsidP="00430B63">
            <w:pPr>
              <w:spacing w:before="120" w:after="120"/>
              <w:jc w:val="left"/>
            </w:pPr>
            <w:r w:rsidRPr="00432C03">
              <w:t>Manyonda I, Belli A</w:t>
            </w:r>
            <w:r w:rsidR="00AB5CE1">
              <w:t>-</w:t>
            </w:r>
            <w:r w:rsidRPr="00432C03">
              <w:t>M, Lumsden M</w:t>
            </w:r>
            <w:r w:rsidR="00AB5CE1">
              <w:t>-</w:t>
            </w:r>
            <w:r w:rsidRPr="00432C03">
              <w:t>A, et al. Uterine</w:t>
            </w:r>
            <w:r w:rsidR="00AB5CE1">
              <w:t>-</w:t>
            </w:r>
            <w:r w:rsidRPr="00432C03">
              <w:t>artery embolization or myomectomy for uterine fibroids. N Engl J Med. 2020;383:440–451. doi:10.1056/NEJMoa1914735</w:t>
            </w:r>
          </w:p>
        </w:tc>
      </w:tr>
      <w:tr w:rsidR="00BF5DC4" w:rsidRPr="00DC4CD2" w14:paraId="67480960" w14:textId="77777777" w:rsidTr="00BF5DC4">
        <w:trPr>
          <w:gridAfter w:val="1"/>
          <w:wAfter w:w="10" w:type="dxa"/>
        </w:trPr>
        <w:tc>
          <w:tcPr>
            <w:tcW w:w="720" w:type="dxa"/>
          </w:tcPr>
          <w:p w14:paraId="0E4CCE84" w14:textId="77777777" w:rsidR="00BF5DC4" w:rsidRDefault="00BF5DC4" w:rsidP="00430B63">
            <w:pPr>
              <w:spacing w:before="120" w:after="120"/>
              <w:jc w:val="center"/>
              <w:rPr>
                <w:b/>
                <w:bCs/>
              </w:rPr>
            </w:pPr>
            <w:r>
              <w:rPr>
                <w:b/>
                <w:bCs/>
              </w:rPr>
              <w:t>S32</w:t>
            </w:r>
          </w:p>
        </w:tc>
        <w:tc>
          <w:tcPr>
            <w:tcW w:w="8630" w:type="dxa"/>
          </w:tcPr>
          <w:p w14:paraId="339B48E3" w14:textId="77777777" w:rsidR="00BF5DC4" w:rsidRPr="00432C03" w:rsidRDefault="00BF5DC4" w:rsidP="00430B63">
            <w:pPr>
              <w:spacing w:before="120" w:after="120"/>
              <w:jc w:val="left"/>
            </w:pPr>
            <w:r w:rsidRPr="00432C03">
              <w:t>Sirkeci F, Moss J, Belli AM, et al. Effects on heavy menstrual bleeding and pregnancy of uterine artery embolization or myomectomy for women with uterine fibroids wishing to avoid hysterectomy: the FEMME randomized controlled trial. Int J Gynaecol Obstet. 2023;160(2):492–501. doi:10.1002/ijgo.14626</w:t>
            </w:r>
          </w:p>
        </w:tc>
      </w:tr>
      <w:tr w:rsidR="00BF5DC4" w:rsidRPr="00DC4CD2" w14:paraId="01052371" w14:textId="77777777" w:rsidTr="00BF5DC4">
        <w:trPr>
          <w:gridAfter w:val="1"/>
          <w:wAfter w:w="10" w:type="dxa"/>
        </w:trPr>
        <w:tc>
          <w:tcPr>
            <w:tcW w:w="720" w:type="dxa"/>
          </w:tcPr>
          <w:p w14:paraId="519C8AB4" w14:textId="77777777" w:rsidR="00BF5DC4" w:rsidRDefault="00BF5DC4" w:rsidP="00430B63">
            <w:pPr>
              <w:spacing w:before="120" w:after="120"/>
              <w:jc w:val="center"/>
              <w:rPr>
                <w:b/>
                <w:bCs/>
              </w:rPr>
            </w:pPr>
            <w:r>
              <w:rPr>
                <w:b/>
                <w:bCs/>
              </w:rPr>
              <w:t>S33</w:t>
            </w:r>
          </w:p>
        </w:tc>
        <w:tc>
          <w:tcPr>
            <w:tcW w:w="8630" w:type="dxa"/>
          </w:tcPr>
          <w:p w14:paraId="7D820BA1" w14:textId="2D6C81F8" w:rsidR="00BF5DC4" w:rsidRPr="00432C03" w:rsidRDefault="00BF5DC4" w:rsidP="00430B63">
            <w:pPr>
              <w:spacing w:before="120" w:after="120"/>
              <w:jc w:val="left"/>
            </w:pPr>
            <w:r w:rsidRPr="00432C03">
              <w:t>Phillips CL, Grunstein RR, Darendeliler MA, et al. Health outcomes of continuous positive airway pressure versus oral appliance treatment for obstructive sleep apnea: a randomized controlled trial. Am J Respir Crit Care Med. 2013;187(8):879–887. doi:10.1164/rccm.201212</w:t>
            </w:r>
            <w:r w:rsidR="00AB5CE1">
              <w:t>-</w:t>
            </w:r>
            <w:r w:rsidRPr="00432C03">
              <w:t>2223OC</w:t>
            </w:r>
          </w:p>
        </w:tc>
      </w:tr>
      <w:tr w:rsidR="00BF5DC4" w:rsidRPr="00DC4CD2" w14:paraId="5A1A418D" w14:textId="77777777" w:rsidTr="00BF5DC4">
        <w:trPr>
          <w:gridAfter w:val="1"/>
          <w:wAfter w:w="10" w:type="dxa"/>
        </w:trPr>
        <w:tc>
          <w:tcPr>
            <w:tcW w:w="720" w:type="dxa"/>
          </w:tcPr>
          <w:p w14:paraId="3D2D5495" w14:textId="77777777" w:rsidR="00BF5DC4" w:rsidRDefault="00BF5DC4" w:rsidP="00430B63">
            <w:pPr>
              <w:spacing w:before="120" w:after="120"/>
              <w:jc w:val="center"/>
              <w:rPr>
                <w:b/>
                <w:bCs/>
              </w:rPr>
            </w:pPr>
            <w:r>
              <w:rPr>
                <w:b/>
                <w:bCs/>
              </w:rPr>
              <w:t>S34</w:t>
            </w:r>
          </w:p>
        </w:tc>
        <w:tc>
          <w:tcPr>
            <w:tcW w:w="8630" w:type="dxa"/>
          </w:tcPr>
          <w:p w14:paraId="0F12AA41" w14:textId="1F17FE56" w:rsidR="00BF5DC4" w:rsidRPr="00432C03" w:rsidRDefault="00BF5DC4" w:rsidP="00430B63">
            <w:pPr>
              <w:spacing w:before="120" w:after="120"/>
              <w:jc w:val="left"/>
            </w:pPr>
            <w:r w:rsidRPr="00432C03">
              <w:t>Ferguson KA, Ono T, Lowe AA, Keenan SP, Fleetham JA. A randomized crossover study of an oral appliance vs nasal</w:t>
            </w:r>
            <w:r w:rsidR="00AB5CE1">
              <w:t>-</w:t>
            </w:r>
            <w:r w:rsidRPr="00432C03">
              <w:t>continuous positive airway pressure in the treatment of mild</w:t>
            </w:r>
            <w:r w:rsidR="00AB5CE1">
              <w:t>-</w:t>
            </w:r>
            <w:r w:rsidRPr="00432C03">
              <w:t>moderate obstructive sleep apnea. Chest. 1996;109(5):1269–1275. doi:10.1378/chest.109.5.1269</w:t>
            </w:r>
          </w:p>
        </w:tc>
      </w:tr>
      <w:tr w:rsidR="00BF5DC4" w:rsidRPr="00DC4CD2" w14:paraId="3D17AA2F" w14:textId="77777777" w:rsidTr="00BF5DC4">
        <w:trPr>
          <w:gridAfter w:val="1"/>
          <w:wAfter w:w="10" w:type="dxa"/>
        </w:trPr>
        <w:tc>
          <w:tcPr>
            <w:tcW w:w="720" w:type="dxa"/>
          </w:tcPr>
          <w:p w14:paraId="3C519211" w14:textId="77777777" w:rsidR="00BF5DC4" w:rsidRDefault="00BF5DC4" w:rsidP="00430B63">
            <w:pPr>
              <w:spacing w:before="120" w:after="120"/>
              <w:jc w:val="center"/>
              <w:rPr>
                <w:b/>
                <w:bCs/>
              </w:rPr>
            </w:pPr>
            <w:r>
              <w:rPr>
                <w:b/>
                <w:bCs/>
              </w:rPr>
              <w:t>S35</w:t>
            </w:r>
          </w:p>
        </w:tc>
        <w:tc>
          <w:tcPr>
            <w:tcW w:w="8630" w:type="dxa"/>
          </w:tcPr>
          <w:p w14:paraId="205D79D5" w14:textId="62D4E7D9" w:rsidR="00BF5DC4" w:rsidRPr="00432C03" w:rsidRDefault="00BF5DC4" w:rsidP="00430B63">
            <w:pPr>
              <w:spacing w:before="120" w:after="120"/>
              <w:jc w:val="left"/>
            </w:pPr>
            <w:r w:rsidRPr="00432C03">
              <w:t>Ho AS, Kim S, Zalt C, et al. Expanded parameters in active surveillance for low</w:t>
            </w:r>
            <w:r w:rsidR="00AB5CE1">
              <w:t>-</w:t>
            </w:r>
            <w:r w:rsidRPr="00432C03">
              <w:t>risk papillary thyroid carcinoma: a nonrandomized controlled trial. JAMA Oncol. 2022;8(11):1588–1596. doi:10.1001/jamaoncol.2022.3875</w:t>
            </w:r>
          </w:p>
        </w:tc>
      </w:tr>
      <w:tr w:rsidR="00BF5DC4" w:rsidRPr="00DC4CD2" w14:paraId="6B7C934D" w14:textId="77777777" w:rsidTr="00BF5DC4">
        <w:trPr>
          <w:gridAfter w:val="1"/>
          <w:wAfter w:w="10" w:type="dxa"/>
        </w:trPr>
        <w:tc>
          <w:tcPr>
            <w:tcW w:w="720" w:type="dxa"/>
          </w:tcPr>
          <w:p w14:paraId="4FE8A3B1" w14:textId="77777777" w:rsidR="00BF5DC4" w:rsidRDefault="00BF5DC4" w:rsidP="00430B63">
            <w:pPr>
              <w:spacing w:before="120" w:after="120"/>
              <w:jc w:val="center"/>
              <w:rPr>
                <w:b/>
                <w:bCs/>
              </w:rPr>
            </w:pPr>
            <w:r>
              <w:rPr>
                <w:b/>
                <w:bCs/>
              </w:rPr>
              <w:t>S36</w:t>
            </w:r>
          </w:p>
        </w:tc>
        <w:tc>
          <w:tcPr>
            <w:tcW w:w="8630" w:type="dxa"/>
          </w:tcPr>
          <w:p w14:paraId="2ADC963E" w14:textId="54739541" w:rsidR="00BF5DC4" w:rsidRPr="00432C03" w:rsidRDefault="00BF5DC4" w:rsidP="00430B63">
            <w:pPr>
              <w:spacing w:before="120" w:after="120"/>
              <w:jc w:val="left"/>
            </w:pPr>
            <w:r w:rsidRPr="00432C03">
              <w:t>Miyauchi A, Ito Y, Fujishima M, et al. Long</w:t>
            </w:r>
            <w:r w:rsidR="00AB5CE1">
              <w:t>-</w:t>
            </w:r>
            <w:r w:rsidRPr="00432C03">
              <w:t>term outcomes of active surveillance and immediate surgery for adult patients with low</w:t>
            </w:r>
            <w:r w:rsidR="00AB5CE1">
              <w:t>-</w:t>
            </w:r>
            <w:r w:rsidRPr="00432C03">
              <w:t>risk papillary thyroid microcarcinoma: 30</w:t>
            </w:r>
            <w:r w:rsidR="00AB5CE1">
              <w:t>-</w:t>
            </w:r>
            <w:r w:rsidRPr="00432C03">
              <w:t>year experience. Thyroid. 2023;33(7):817–827. doi:10.1089/thy.2023.0076</w:t>
            </w:r>
          </w:p>
        </w:tc>
      </w:tr>
      <w:tr w:rsidR="00BF5DC4" w:rsidRPr="00DC4CD2" w14:paraId="6633F687" w14:textId="77777777" w:rsidTr="00BF5DC4">
        <w:trPr>
          <w:gridAfter w:val="1"/>
          <w:wAfter w:w="10" w:type="dxa"/>
        </w:trPr>
        <w:tc>
          <w:tcPr>
            <w:tcW w:w="720" w:type="dxa"/>
          </w:tcPr>
          <w:p w14:paraId="252BD574" w14:textId="77777777" w:rsidR="00BF5DC4" w:rsidRDefault="00BF5DC4" w:rsidP="00430B63">
            <w:pPr>
              <w:spacing w:before="120" w:after="120"/>
              <w:jc w:val="center"/>
              <w:rPr>
                <w:b/>
                <w:bCs/>
              </w:rPr>
            </w:pPr>
            <w:r>
              <w:rPr>
                <w:b/>
                <w:bCs/>
              </w:rPr>
              <w:t>S37</w:t>
            </w:r>
          </w:p>
        </w:tc>
        <w:tc>
          <w:tcPr>
            <w:tcW w:w="8630" w:type="dxa"/>
          </w:tcPr>
          <w:p w14:paraId="1DA88CF3" w14:textId="1B898B4C" w:rsidR="00BF5DC4" w:rsidRPr="00432C03" w:rsidRDefault="00BF5DC4" w:rsidP="00430B63">
            <w:pPr>
              <w:spacing w:before="120" w:after="120"/>
              <w:jc w:val="left"/>
            </w:pPr>
            <w:r w:rsidRPr="00432C03">
              <w:t>Vasilevskis EE, Shah AS, Hollingsworth EK, et al. Deprescribing medications among older adults from end of hospitalization through postacute care: a Shed</w:t>
            </w:r>
            <w:r w:rsidR="00AB5CE1">
              <w:t>-</w:t>
            </w:r>
            <w:r w:rsidRPr="00432C03">
              <w:t>MEDS randomized clinical trial. JAMA Intern Med. 2023;183(3):223–231. doi:10.1001/jamainternmed.2022.6545</w:t>
            </w:r>
          </w:p>
        </w:tc>
      </w:tr>
      <w:tr w:rsidR="00BF5DC4" w:rsidRPr="00DC4CD2" w14:paraId="48916BCD" w14:textId="77777777" w:rsidTr="00BF5DC4">
        <w:trPr>
          <w:gridAfter w:val="1"/>
          <w:wAfter w:w="10" w:type="dxa"/>
        </w:trPr>
        <w:tc>
          <w:tcPr>
            <w:tcW w:w="720" w:type="dxa"/>
          </w:tcPr>
          <w:p w14:paraId="72859858" w14:textId="77777777" w:rsidR="00BF5DC4" w:rsidRDefault="00BF5DC4" w:rsidP="00430B63">
            <w:pPr>
              <w:spacing w:before="120" w:after="120"/>
              <w:jc w:val="center"/>
              <w:rPr>
                <w:b/>
                <w:bCs/>
              </w:rPr>
            </w:pPr>
            <w:r>
              <w:rPr>
                <w:b/>
                <w:bCs/>
              </w:rPr>
              <w:t>S38</w:t>
            </w:r>
          </w:p>
        </w:tc>
        <w:tc>
          <w:tcPr>
            <w:tcW w:w="8630" w:type="dxa"/>
          </w:tcPr>
          <w:p w14:paraId="0A32591D" w14:textId="77777777" w:rsidR="00BF5DC4" w:rsidRPr="00432C03" w:rsidRDefault="00BF5DC4" w:rsidP="00430B63">
            <w:pPr>
              <w:spacing w:before="120" w:after="120"/>
              <w:jc w:val="left"/>
            </w:pPr>
            <w:r w:rsidRPr="00432C03">
              <w:t>Herrinton LJ, Lo K, Alavi M, et al. Effectiveness of bundled hyperpolypharmacy deprescribing compared with usual care among older adults: a randomized clinical trial. JAMA Netw Open. 2023;6(7):e2322505.</w:t>
            </w:r>
            <w:r>
              <w:t xml:space="preserve"> </w:t>
            </w:r>
            <w:r w:rsidRPr="00432C03">
              <w:t>doi:10.1001/jamanetworkopen.2023.22505</w:t>
            </w:r>
          </w:p>
        </w:tc>
      </w:tr>
    </w:tbl>
    <w:p w14:paraId="0DE16F24" w14:textId="77777777" w:rsidR="00BF5DC4" w:rsidRDefault="00BF5DC4" w:rsidP="00BF5DC4">
      <w:pPr>
        <w:pStyle w:val="FigureCaption"/>
      </w:pPr>
    </w:p>
    <w:p w14:paraId="57C37279" w14:textId="77777777" w:rsidR="00BF5DC4" w:rsidRPr="00247453" w:rsidRDefault="00BF5DC4" w:rsidP="00BF5DC4">
      <w:pPr>
        <w:keepLines/>
        <w:spacing w:after="120" w:line="240" w:lineRule="auto"/>
        <w:jc w:val="left"/>
      </w:pPr>
    </w:p>
    <w:sectPr w:rsidR="00BF5DC4" w:rsidRPr="00247453" w:rsidSect="00BF5DC4">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DF91C2" w14:textId="77777777" w:rsidR="00DB4320" w:rsidRDefault="00DB4320" w:rsidP="00557B9D">
      <w:pPr>
        <w:spacing w:after="0" w:line="240" w:lineRule="auto"/>
      </w:pPr>
      <w:r>
        <w:separator/>
      </w:r>
    </w:p>
  </w:endnote>
  <w:endnote w:type="continuationSeparator" w:id="0">
    <w:p w14:paraId="37AA045A" w14:textId="77777777" w:rsidR="00DB4320" w:rsidRDefault="00DB4320" w:rsidP="00557B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Aptos Narrow">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9FEDF9" w14:textId="77777777" w:rsidR="00BF5DC4" w:rsidRDefault="00BF5DC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18"/>
      </w:rPr>
      <w:id w:val="504476923"/>
      <w:docPartObj>
        <w:docPartGallery w:val="Page Numbers (Bottom of Page)"/>
        <w:docPartUnique/>
      </w:docPartObj>
    </w:sdtPr>
    <w:sdtEndPr>
      <w:rPr>
        <w:rFonts w:ascii="Aptos Narrow" w:hAnsi="Aptos Narrow"/>
      </w:rPr>
    </w:sdtEndPr>
    <w:sdtContent>
      <w:sdt>
        <w:sdtPr>
          <w:rPr>
            <w:sz w:val="18"/>
            <w:szCs w:val="18"/>
          </w:rPr>
          <w:id w:val="1404648712"/>
          <w:docPartObj>
            <w:docPartGallery w:val="Page Numbers (Top of Page)"/>
            <w:docPartUnique/>
          </w:docPartObj>
        </w:sdtPr>
        <w:sdtEndPr>
          <w:rPr>
            <w:rFonts w:ascii="Aptos Narrow" w:hAnsi="Aptos Narrow"/>
          </w:rPr>
        </w:sdtEndPr>
        <w:sdtContent>
          <w:p w14:paraId="525B8BDA" w14:textId="77777777" w:rsidR="00BF5DC4" w:rsidRPr="0065101D" w:rsidRDefault="00BF5DC4" w:rsidP="00C36A15">
            <w:pPr>
              <w:pStyle w:val="Footer"/>
              <w:rPr>
                <w:rFonts w:ascii="Aptos Narrow" w:hAnsi="Aptos Narrow"/>
                <w:sz w:val="18"/>
                <w:szCs w:val="18"/>
              </w:rPr>
            </w:pPr>
            <w:r w:rsidRPr="0065101D">
              <w:rPr>
                <w:i/>
                <w:iCs/>
                <w:sz w:val="18"/>
                <w:szCs w:val="18"/>
              </w:rPr>
              <w:t>Separating Biological and Choice Effects</w:t>
            </w:r>
            <w:r w:rsidRPr="0065101D">
              <w:rPr>
                <w:sz w:val="18"/>
                <w:szCs w:val="18"/>
              </w:rPr>
              <w:t xml:space="preserve">: </w:t>
            </w:r>
            <w:r w:rsidRPr="0065101D">
              <w:rPr>
                <w:rFonts w:ascii="Aptos Narrow" w:hAnsi="Aptos Narrow"/>
                <w:sz w:val="18"/>
                <w:szCs w:val="18"/>
              </w:rPr>
              <w:t>Supplement</w:t>
            </w:r>
            <w:r w:rsidRPr="0065101D">
              <w:rPr>
                <w:rFonts w:ascii="Aptos Narrow" w:hAnsi="Aptos Narrow"/>
                <w:sz w:val="18"/>
                <w:szCs w:val="18"/>
              </w:rPr>
              <w:tab/>
            </w:r>
            <w:r w:rsidRPr="0065101D">
              <w:rPr>
                <w:rFonts w:ascii="Aptos Narrow" w:hAnsi="Aptos Narrow"/>
                <w:sz w:val="18"/>
                <w:szCs w:val="18"/>
              </w:rPr>
              <w:tab/>
              <w:t xml:space="preserve">Page </w:t>
            </w:r>
            <w:r w:rsidRPr="0065101D">
              <w:rPr>
                <w:rFonts w:ascii="Aptos Narrow" w:hAnsi="Aptos Narrow"/>
                <w:b/>
                <w:bCs/>
                <w:sz w:val="18"/>
                <w:szCs w:val="18"/>
              </w:rPr>
              <w:fldChar w:fldCharType="begin"/>
            </w:r>
            <w:r w:rsidRPr="0065101D">
              <w:rPr>
                <w:rFonts w:ascii="Aptos Narrow" w:hAnsi="Aptos Narrow"/>
                <w:b/>
                <w:bCs/>
                <w:sz w:val="18"/>
                <w:szCs w:val="18"/>
              </w:rPr>
              <w:instrText xml:space="preserve"> PAGE </w:instrText>
            </w:r>
            <w:r w:rsidRPr="0065101D">
              <w:rPr>
                <w:rFonts w:ascii="Aptos Narrow" w:hAnsi="Aptos Narrow"/>
                <w:b/>
                <w:bCs/>
                <w:sz w:val="18"/>
                <w:szCs w:val="18"/>
              </w:rPr>
              <w:fldChar w:fldCharType="separate"/>
            </w:r>
            <w:r w:rsidRPr="0065101D">
              <w:rPr>
                <w:rFonts w:ascii="Aptos Narrow" w:hAnsi="Aptos Narrow"/>
                <w:b/>
                <w:bCs/>
                <w:sz w:val="18"/>
                <w:szCs w:val="18"/>
              </w:rPr>
              <w:t>28</w:t>
            </w:r>
            <w:r w:rsidRPr="0065101D">
              <w:rPr>
                <w:rFonts w:ascii="Aptos Narrow" w:hAnsi="Aptos Narrow"/>
                <w:b/>
                <w:bCs/>
                <w:sz w:val="18"/>
                <w:szCs w:val="18"/>
              </w:rPr>
              <w:fldChar w:fldCharType="end"/>
            </w:r>
            <w:r w:rsidRPr="0065101D">
              <w:rPr>
                <w:rFonts w:ascii="Aptos Narrow" w:hAnsi="Aptos Narrow"/>
                <w:sz w:val="18"/>
                <w:szCs w:val="18"/>
              </w:rPr>
              <w:t xml:space="preserve"> of </w:t>
            </w:r>
            <w:r w:rsidRPr="0065101D">
              <w:rPr>
                <w:rFonts w:ascii="Aptos Narrow" w:hAnsi="Aptos Narrow"/>
                <w:b/>
                <w:bCs/>
                <w:sz w:val="18"/>
                <w:szCs w:val="18"/>
              </w:rPr>
              <w:fldChar w:fldCharType="begin"/>
            </w:r>
            <w:r w:rsidRPr="0065101D">
              <w:rPr>
                <w:rFonts w:ascii="Aptos Narrow" w:hAnsi="Aptos Narrow"/>
                <w:b/>
                <w:bCs/>
                <w:sz w:val="18"/>
                <w:szCs w:val="18"/>
              </w:rPr>
              <w:instrText xml:space="preserve"> NUMPAGES  </w:instrText>
            </w:r>
            <w:r w:rsidRPr="0065101D">
              <w:rPr>
                <w:rFonts w:ascii="Aptos Narrow" w:hAnsi="Aptos Narrow"/>
                <w:b/>
                <w:bCs/>
                <w:sz w:val="18"/>
                <w:szCs w:val="18"/>
              </w:rPr>
              <w:fldChar w:fldCharType="separate"/>
            </w:r>
            <w:r w:rsidRPr="0065101D">
              <w:rPr>
                <w:rFonts w:ascii="Aptos Narrow" w:hAnsi="Aptos Narrow"/>
                <w:b/>
                <w:bCs/>
                <w:sz w:val="18"/>
                <w:szCs w:val="18"/>
              </w:rPr>
              <w:t>51</w:t>
            </w:r>
            <w:r w:rsidRPr="0065101D">
              <w:rPr>
                <w:rFonts w:ascii="Aptos Narrow" w:hAnsi="Aptos Narrow"/>
                <w:b/>
                <w:bCs/>
                <w:sz w:val="18"/>
                <w:szCs w:val="18"/>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809558" w14:textId="77777777" w:rsidR="00BF5DC4" w:rsidRDefault="00BF5DC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D98614" w14:textId="77777777" w:rsidR="00DB4320" w:rsidRDefault="00DB4320" w:rsidP="00557B9D">
      <w:pPr>
        <w:spacing w:after="0" w:line="240" w:lineRule="auto"/>
      </w:pPr>
      <w:r>
        <w:separator/>
      </w:r>
    </w:p>
  </w:footnote>
  <w:footnote w:type="continuationSeparator" w:id="0">
    <w:p w14:paraId="45FF20A6" w14:textId="77777777" w:rsidR="00DB4320" w:rsidRDefault="00DB4320" w:rsidP="00557B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1307C8" w14:textId="77777777" w:rsidR="00BF5DC4" w:rsidRDefault="00BF5DC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575E6A" w14:textId="42F0DD28" w:rsidR="00BF5DC4" w:rsidRDefault="00063ADF" w:rsidP="0039205C">
    <w:pPr>
      <w:pStyle w:val="Header"/>
      <w:jc w:val="left"/>
    </w:pPr>
    <w:r w:rsidRPr="00063ADF">
      <w:rPr>
        <w:rFonts w:ascii="Aptos Narrow" w:hAnsi="Aptos Narrow"/>
        <w:b/>
        <w:bCs/>
        <w:sz w:val="18"/>
        <w:szCs w:val="18"/>
      </w:rPr>
      <w:t>Completing Causal Inference with β-Identification</w:t>
    </w:r>
    <w:r w:rsidR="00BF5DC4">
      <w:rPr>
        <w:rFonts w:ascii="Aptos Narrow" w:hAnsi="Aptos Narrow"/>
        <w:b/>
        <w:bCs/>
        <w:sz w:val="18"/>
        <w:szCs w:val="18"/>
      </w:rPr>
      <w:tab/>
    </w:r>
    <w:r w:rsidR="00BF5DC4">
      <w:rPr>
        <w:rFonts w:ascii="Aptos Narrow" w:hAnsi="Aptos Narrow"/>
        <w:sz w:val="18"/>
        <w:szCs w:val="18"/>
      </w:rPr>
      <w:tab/>
      <w:t>Gurel &amp; Weinstein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B2207F" w14:textId="77777777" w:rsidR="00BF5DC4" w:rsidRDefault="00BF5DC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C6A01"/>
    <w:multiLevelType w:val="hybridMultilevel"/>
    <w:tmpl w:val="CC880D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450BEC"/>
    <w:multiLevelType w:val="hybridMultilevel"/>
    <w:tmpl w:val="1D6AEF6C"/>
    <w:lvl w:ilvl="0" w:tplc="A3022342">
      <w:start w:val="1"/>
      <w:numFmt w:val="bullet"/>
      <w:lvlText w:val=""/>
      <w:lvlJc w:val="left"/>
      <w:pPr>
        <w:ind w:left="1440" w:hanging="360"/>
      </w:pPr>
      <w:rPr>
        <w:rFonts w:ascii="Wingdings" w:hAnsi="Wingding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 w15:restartNumberingAfterBreak="0">
    <w:nsid w:val="0683005D"/>
    <w:multiLevelType w:val="hybridMultilevel"/>
    <w:tmpl w:val="319698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052CFC"/>
    <w:multiLevelType w:val="hybridMultilevel"/>
    <w:tmpl w:val="14A8EEB2"/>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4" w15:restartNumberingAfterBreak="0">
    <w:nsid w:val="13914CFD"/>
    <w:multiLevelType w:val="hybridMultilevel"/>
    <w:tmpl w:val="A9DAAC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EC1F0D"/>
    <w:multiLevelType w:val="hybridMultilevel"/>
    <w:tmpl w:val="BEB80A2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C230F96"/>
    <w:multiLevelType w:val="hybridMultilevel"/>
    <w:tmpl w:val="3F5C1458"/>
    <w:lvl w:ilvl="0" w:tplc="A3022342">
      <w:start w:val="1"/>
      <w:numFmt w:val="bullet"/>
      <w:lvlText w:val=""/>
      <w:lvlJc w:val="left"/>
      <w:pPr>
        <w:ind w:left="1440" w:hanging="360"/>
      </w:pPr>
      <w:rPr>
        <w:rFonts w:ascii="Wingdings" w:hAnsi="Wingding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7" w15:restartNumberingAfterBreak="0">
    <w:nsid w:val="23FB1BF6"/>
    <w:multiLevelType w:val="hybridMultilevel"/>
    <w:tmpl w:val="E9DC3648"/>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8" w15:restartNumberingAfterBreak="0">
    <w:nsid w:val="276F7551"/>
    <w:multiLevelType w:val="hybridMultilevel"/>
    <w:tmpl w:val="D0C222F2"/>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2BC27EC7"/>
    <w:multiLevelType w:val="hybridMultilevel"/>
    <w:tmpl w:val="E9C02D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42C42FE"/>
    <w:multiLevelType w:val="hybridMultilevel"/>
    <w:tmpl w:val="9B3237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A522336"/>
    <w:multiLevelType w:val="multilevel"/>
    <w:tmpl w:val="F8686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55C200E"/>
    <w:multiLevelType w:val="hybridMultilevel"/>
    <w:tmpl w:val="1638B038"/>
    <w:lvl w:ilvl="0" w:tplc="A3022342">
      <w:start w:val="1"/>
      <w:numFmt w:val="bullet"/>
      <w:lvlText w:val=""/>
      <w:lvlJc w:val="left"/>
      <w:pPr>
        <w:ind w:left="1440" w:hanging="360"/>
      </w:pPr>
      <w:rPr>
        <w:rFonts w:ascii="Wingdings" w:hAnsi="Wingding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3" w15:restartNumberingAfterBreak="0">
    <w:nsid w:val="463774F2"/>
    <w:multiLevelType w:val="hybridMultilevel"/>
    <w:tmpl w:val="6FD6CB48"/>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14" w15:restartNumberingAfterBreak="0">
    <w:nsid w:val="500350CE"/>
    <w:multiLevelType w:val="hybridMultilevel"/>
    <w:tmpl w:val="9962B518"/>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15:restartNumberingAfterBreak="0">
    <w:nsid w:val="55F96D42"/>
    <w:multiLevelType w:val="hybridMultilevel"/>
    <w:tmpl w:val="B184BA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6900FCD"/>
    <w:multiLevelType w:val="hybridMultilevel"/>
    <w:tmpl w:val="A2CC0B9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5B6573A6"/>
    <w:multiLevelType w:val="hybridMultilevel"/>
    <w:tmpl w:val="13CE3D9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8" w15:restartNumberingAfterBreak="0">
    <w:nsid w:val="5D9E3084"/>
    <w:multiLevelType w:val="hybridMultilevel"/>
    <w:tmpl w:val="DDCEC8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EDD027D"/>
    <w:multiLevelType w:val="hybridMultilevel"/>
    <w:tmpl w:val="4D1212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18D29AE"/>
    <w:multiLevelType w:val="hybridMultilevel"/>
    <w:tmpl w:val="5BF8A8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2F4795D"/>
    <w:multiLevelType w:val="hybridMultilevel"/>
    <w:tmpl w:val="83CE0F9E"/>
    <w:lvl w:ilvl="0" w:tplc="B59252E0">
      <w:start w:val="1"/>
      <w:numFmt w:val="bullet"/>
      <w:lvlText w:val=""/>
      <w:lvlJc w:val="left"/>
      <w:pPr>
        <w:ind w:left="720" w:hanging="360"/>
      </w:pPr>
      <w:rPr>
        <w:rFonts w:ascii="Symbol" w:hAnsi="Symbol" w:hint="default"/>
        <w:sz w:val="19"/>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5FC3551"/>
    <w:multiLevelType w:val="hybridMultilevel"/>
    <w:tmpl w:val="2CB69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8926EF9"/>
    <w:multiLevelType w:val="hybridMultilevel"/>
    <w:tmpl w:val="1B7E18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4AA76EC"/>
    <w:multiLevelType w:val="hybridMultilevel"/>
    <w:tmpl w:val="3AF88F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9866476"/>
    <w:multiLevelType w:val="hybridMultilevel"/>
    <w:tmpl w:val="97D08A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AD81627"/>
    <w:multiLevelType w:val="multilevel"/>
    <w:tmpl w:val="D98A31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26036875">
    <w:abstractNumId w:val="21"/>
  </w:num>
  <w:num w:numId="2" w16cid:durableId="125776569">
    <w:abstractNumId w:val="9"/>
  </w:num>
  <w:num w:numId="3" w16cid:durableId="2134397484">
    <w:abstractNumId w:val="5"/>
  </w:num>
  <w:num w:numId="4" w16cid:durableId="924798879">
    <w:abstractNumId w:val="19"/>
  </w:num>
  <w:num w:numId="5" w16cid:durableId="1762220471">
    <w:abstractNumId w:val="2"/>
  </w:num>
  <w:num w:numId="6" w16cid:durableId="2116554297">
    <w:abstractNumId w:val="16"/>
  </w:num>
  <w:num w:numId="7" w16cid:durableId="367947277">
    <w:abstractNumId w:val="8"/>
  </w:num>
  <w:num w:numId="8" w16cid:durableId="74017393">
    <w:abstractNumId w:val="14"/>
  </w:num>
  <w:num w:numId="9" w16cid:durableId="573785318">
    <w:abstractNumId w:val="17"/>
  </w:num>
  <w:num w:numId="10" w16cid:durableId="729578764">
    <w:abstractNumId w:val="26"/>
  </w:num>
  <w:num w:numId="11" w16cid:durableId="1462530761">
    <w:abstractNumId w:val="22"/>
  </w:num>
  <w:num w:numId="12" w16cid:durableId="886061950">
    <w:abstractNumId w:val="4"/>
  </w:num>
  <w:num w:numId="13" w16cid:durableId="272591687">
    <w:abstractNumId w:val="15"/>
  </w:num>
  <w:num w:numId="14" w16cid:durableId="2074504261">
    <w:abstractNumId w:val="24"/>
  </w:num>
  <w:num w:numId="15" w16cid:durableId="497813961">
    <w:abstractNumId w:val="3"/>
  </w:num>
  <w:num w:numId="16" w16cid:durableId="1149714948">
    <w:abstractNumId w:val="13"/>
  </w:num>
  <w:num w:numId="17" w16cid:durableId="1249970917">
    <w:abstractNumId w:val="7"/>
  </w:num>
  <w:num w:numId="18" w16cid:durableId="1483499145">
    <w:abstractNumId w:val="23"/>
  </w:num>
  <w:num w:numId="19" w16cid:durableId="1188758063">
    <w:abstractNumId w:val="25"/>
  </w:num>
  <w:num w:numId="20" w16cid:durableId="532888514">
    <w:abstractNumId w:val="11"/>
  </w:num>
  <w:num w:numId="21" w16cid:durableId="184096881">
    <w:abstractNumId w:val="20"/>
  </w:num>
  <w:num w:numId="22" w16cid:durableId="1652907596">
    <w:abstractNumId w:val="18"/>
  </w:num>
  <w:num w:numId="23" w16cid:durableId="1651320952">
    <w:abstractNumId w:val="10"/>
  </w:num>
  <w:num w:numId="24" w16cid:durableId="384258073">
    <w:abstractNumId w:val="1"/>
  </w:num>
  <w:num w:numId="25" w16cid:durableId="1606378596">
    <w:abstractNumId w:val="12"/>
  </w:num>
  <w:num w:numId="26" w16cid:durableId="616984747">
    <w:abstractNumId w:val="6"/>
  </w:num>
  <w:num w:numId="27" w16cid:durableId="1202670890">
    <w:abstractNumId w:val="0"/>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38"/>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9F0"/>
    <w:rsid w:val="0001013C"/>
    <w:rsid w:val="00014986"/>
    <w:rsid w:val="0001587B"/>
    <w:rsid w:val="00015963"/>
    <w:rsid w:val="0001637F"/>
    <w:rsid w:val="00020496"/>
    <w:rsid w:val="00021023"/>
    <w:rsid w:val="000221D6"/>
    <w:rsid w:val="00024BFA"/>
    <w:rsid w:val="00025A38"/>
    <w:rsid w:val="000273F1"/>
    <w:rsid w:val="00034970"/>
    <w:rsid w:val="0003748B"/>
    <w:rsid w:val="00037F95"/>
    <w:rsid w:val="0004365C"/>
    <w:rsid w:val="00044D08"/>
    <w:rsid w:val="00044FF5"/>
    <w:rsid w:val="0004688B"/>
    <w:rsid w:val="00054CED"/>
    <w:rsid w:val="000555AF"/>
    <w:rsid w:val="00055A66"/>
    <w:rsid w:val="000573E2"/>
    <w:rsid w:val="00057864"/>
    <w:rsid w:val="0005786C"/>
    <w:rsid w:val="00057D4C"/>
    <w:rsid w:val="00060386"/>
    <w:rsid w:val="00063ADF"/>
    <w:rsid w:val="000642BE"/>
    <w:rsid w:val="000717AB"/>
    <w:rsid w:val="00073B10"/>
    <w:rsid w:val="00073C62"/>
    <w:rsid w:val="00075A41"/>
    <w:rsid w:val="00077967"/>
    <w:rsid w:val="00096A39"/>
    <w:rsid w:val="00097E75"/>
    <w:rsid w:val="000A3594"/>
    <w:rsid w:val="000A37BE"/>
    <w:rsid w:val="000A72B3"/>
    <w:rsid w:val="000B58DF"/>
    <w:rsid w:val="000B6404"/>
    <w:rsid w:val="000C0B72"/>
    <w:rsid w:val="000C0C7D"/>
    <w:rsid w:val="000C307E"/>
    <w:rsid w:val="000C4DCA"/>
    <w:rsid w:val="000C4FB4"/>
    <w:rsid w:val="000C6305"/>
    <w:rsid w:val="000D002E"/>
    <w:rsid w:val="000D0BC4"/>
    <w:rsid w:val="000D28B2"/>
    <w:rsid w:val="000E0783"/>
    <w:rsid w:val="000E228E"/>
    <w:rsid w:val="000E3F61"/>
    <w:rsid w:val="000E427C"/>
    <w:rsid w:val="000E4C16"/>
    <w:rsid w:val="000E67F4"/>
    <w:rsid w:val="000E6E97"/>
    <w:rsid w:val="000F07A8"/>
    <w:rsid w:val="000F50BE"/>
    <w:rsid w:val="000F7359"/>
    <w:rsid w:val="00107BD6"/>
    <w:rsid w:val="00110E07"/>
    <w:rsid w:val="001220DB"/>
    <w:rsid w:val="00126253"/>
    <w:rsid w:val="001302A2"/>
    <w:rsid w:val="00132ED8"/>
    <w:rsid w:val="00141583"/>
    <w:rsid w:val="001427BC"/>
    <w:rsid w:val="001440B9"/>
    <w:rsid w:val="0014490C"/>
    <w:rsid w:val="00144CE1"/>
    <w:rsid w:val="0015314D"/>
    <w:rsid w:val="00156D5C"/>
    <w:rsid w:val="001606F5"/>
    <w:rsid w:val="00161E33"/>
    <w:rsid w:val="001639ED"/>
    <w:rsid w:val="0017218C"/>
    <w:rsid w:val="001753BB"/>
    <w:rsid w:val="00175D42"/>
    <w:rsid w:val="00182793"/>
    <w:rsid w:val="0018382B"/>
    <w:rsid w:val="00184FBE"/>
    <w:rsid w:val="001872AF"/>
    <w:rsid w:val="00193BED"/>
    <w:rsid w:val="00195E14"/>
    <w:rsid w:val="00196883"/>
    <w:rsid w:val="00197F7E"/>
    <w:rsid w:val="001A19C0"/>
    <w:rsid w:val="001A3360"/>
    <w:rsid w:val="001A3DEE"/>
    <w:rsid w:val="001A484D"/>
    <w:rsid w:val="001B19EA"/>
    <w:rsid w:val="001B49E4"/>
    <w:rsid w:val="001C210A"/>
    <w:rsid w:val="001C3620"/>
    <w:rsid w:val="001C43E8"/>
    <w:rsid w:val="001C5BEA"/>
    <w:rsid w:val="001C5D5B"/>
    <w:rsid w:val="001D0CFD"/>
    <w:rsid w:val="001D12D9"/>
    <w:rsid w:val="001D1BEB"/>
    <w:rsid w:val="001D1DE8"/>
    <w:rsid w:val="001D28DA"/>
    <w:rsid w:val="001D57E6"/>
    <w:rsid w:val="001D59C6"/>
    <w:rsid w:val="001D7C76"/>
    <w:rsid w:val="001E3139"/>
    <w:rsid w:val="001E41CC"/>
    <w:rsid w:val="001F179B"/>
    <w:rsid w:val="001F3281"/>
    <w:rsid w:val="001F5451"/>
    <w:rsid w:val="001F55FF"/>
    <w:rsid w:val="001F61AB"/>
    <w:rsid w:val="002025BB"/>
    <w:rsid w:val="00202D00"/>
    <w:rsid w:val="00204E30"/>
    <w:rsid w:val="00212082"/>
    <w:rsid w:val="00213AEF"/>
    <w:rsid w:val="00221B50"/>
    <w:rsid w:val="002220C6"/>
    <w:rsid w:val="0022430D"/>
    <w:rsid w:val="00230053"/>
    <w:rsid w:val="002336D7"/>
    <w:rsid w:val="0024207E"/>
    <w:rsid w:val="00242A7D"/>
    <w:rsid w:val="002461B5"/>
    <w:rsid w:val="00247453"/>
    <w:rsid w:val="00252860"/>
    <w:rsid w:val="002601CC"/>
    <w:rsid w:val="00260D64"/>
    <w:rsid w:val="00262219"/>
    <w:rsid w:val="00266D77"/>
    <w:rsid w:val="00267055"/>
    <w:rsid w:val="00267D50"/>
    <w:rsid w:val="0027199D"/>
    <w:rsid w:val="002731C1"/>
    <w:rsid w:val="0027684C"/>
    <w:rsid w:val="00284313"/>
    <w:rsid w:val="00284F70"/>
    <w:rsid w:val="0029024C"/>
    <w:rsid w:val="002A0A37"/>
    <w:rsid w:val="002A3802"/>
    <w:rsid w:val="002A4413"/>
    <w:rsid w:val="002C0203"/>
    <w:rsid w:val="002C3D06"/>
    <w:rsid w:val="002C730A"/>
    <w:rsid w:val="002D1714"/>
    <w:rsid w:val="002D327F"/>
    <w:rsid w:val="002D51A3"/>
    <w:rsid w:val="002D5D70"/>
    <w:rsid w:val="002D5FAE"/>
    <w:rsid w:val="002E0E0C"/>
    <w:rsid w:val="002E0ED6"/>
    <w:rsid w:val="002E52A6"/>
    <w:rsid w:val="002E5764"/>
    <w:rsid w:val="002F0ED9"/>
    <w:rsid w:val="002F34D9"/>
    <w:rsid w:val="002F453A"/>
    <w:rsid w:val="002F6F1E"/>
    <w:rsid w:val="002F756C"/>
    <w:rsid w:val="002F7FE7"/>
    <w:rsid w:val="003058D7"/>
    <w:rsid w:val="00312A51"/>
    <w:rsid w:val="00315DDF"/>
    <w:rsid w:val="00316CCB"/>
    <w:rsid w:val="00323D34"/>
    <w:rsid w:val="003249F4"/>
    <w:rsid w:val="00324AC4"/>
    <w:rsid w:val="00327513"/>
    <w:rsid w:val="00330B37"/>
    <w:rsid w:val="00342974"/>
    <w:rsid w:val="00342C1C"/>
    <w:rsid w:val="00343DCA"/>
    <w:rsid w:val="00344602"/>
    <w:rsid w:val="0034549A"/>
    <w:rsid w:val="00346A91"/>
    <w:rsid w:val="00350B2F"/>
    <w:rsid w:val="00351009"/>
    <w:rsid w:val="003528FA"/>
    <w:rsid w:val="0035627A"/>
    <w:rsid w:val="00356C37"/>
    <w:rsid w:val="00356EE8"/>
    <w:rsid w:val="00357B85"/>
    <w:rsid w:val="00357E2D"/>
    <w:rsid w:val="00361E59"/>
    <w:rsid w:val="00363D05"/>
    <w:rsid w:val="003649EC"/>
    <w:rsid w:val="00371A26"/>
    <w:rsid w:val="00373227"/>
    <w:rsid w:val="00373DDC"/>
    <w:rsid w:val="003740DD"/>
    <w:rsid w:val="00381CD1"/>
    <w:rsid w:val="00383B54"/>
    <w:rsid w:val="0039205C"/>
    <w:rsid w:val="00392DD5"/>
    <w:rsid w:val="003942E7"/>
    <w:rsid w:val="003A25D7"/>
    <w:rsid w:val="003A34F2"/>
    <w:rsid w:val="003A547B"/>
    <w:rsid w:val="003A72C1"/>
    <w:rsid w:val="003B1C3B"/>
    <w:rsid w:val="003B3A2B"/>
    <w:rsid w:val="003C76E6"/>
    <w:rsid w:val="003D4A41"/>
    <w:rsid w:val="003D59C7"/>
    <w:rsid w:val="003D772B"/>
    <w:rsid w:val="003E4684"/>
    <w:rsid w:val="003E4713"/>
    <w:rsid w:val="003E5B77"/>
    <w:rsid w:val="003F2823"/>
    <w:rsid w:val="003F29A3"/>
    <w:rsid w:val="003F5318"/>
    <w:rsid w:val="003F5D81"/>
    <w:rsid w:val="0041084E"/>
    <w:rsid w:val="004125EC"/>
    <w:rsid w:val="00413D90"/>
    <w:rsid w:val="00415EBC"/>
    <w:rsid w:val="00416D5E"/>
    <w:rsid w:val="004201FB"/>
    <w:rsid w:val="004250AB"/>
    <w:rsid w:val="0042717B"/>
    <w:rsid w:val="00427620"/>
    <w:rsid w:val="0043134A"/>
    <w:rsid w:val="004333D6"/>
    <w:rsid w:val="0043532D"/>
    <w:rsid w:val="00435C54"/>
    <w:rsid w:val="00437072"/>
    <w:rsid w:val="00437692"/>
    <w:rsid w:val="00441F2D"/>
    <w:rsid w:val="00447C8C"/>
    <w:rsid w:val="004541EA"/>
    <w:rsid w:val="00454AF0"/>
    <w:rsid w:val="00455E76"/>
    <w:rsid w:val="0045760D"/>
    <w:rsid w:val="004630A7"/>
    <w:rsid w:val="004631C1"/>
    <w:rsid w:val="00463885"/>
    <w:rsid w:val="00463E55"/>
    <w:rsid w:val="00463E87"/>
    <w:rsid w:val="004736EA"/>
    <w:rsid w:val="00475B00"/>
    <w:rsid w:val="00476EDB"/>
    <w:rsid w:val="004776CE"/>
    <w:rsid w:val="00480B0C"/>
    <w:rsid w:val="00481D08"/>
    <w:rsid w:val="0048274A"/>
    <w:rsid w:val="0048788B"/>
    <w:rsid w:val="0049046E"/>
    <w:rsid w:val="00495C3A"/>
    <w:rsid w:val="00497849"/>
    <w:rsid w:val="004A48AA"/>
    <w:rsid w:val="004A4CBA"/>
    <w:rsid w:val="004A4DB4"/>
    <w:rsid w:val="004B5C7F"/>
    <w:rsid w:val="004B60B0"/>
    <w:rsid w:val="004B7B62"/>
    <w:rsid w:val="004C0747"/>
    <w:rsid w:val="004C7DDA"/>
    <w:rsid w:val="004D2B86"/>
    <w:rsid w:val="004D37EC"/>
    <w:rsid w:val="004E1B18"/>
    <w:rsid w:val="004E21E5"/>
    <w:rsid w:val="004E53B3"/>
    <w:rsid w:val="004E5E5A"/>
    <w:rsid w:val="004E628A"/>
    <w:rsid w:val="004F355B"/>
    <w:rsid w:val="004F44AC"/>
    <w:rsid w:val="0050255F"/>
    <w:rsid w:val="00504C0D"/>
    <w:rsid w:val="00504FAC"/>
    <w:rsid w:val="0051645D"/>
    <w:rsid w:val="00516FF3"/>
    <w:rsid w:val="005217FD"/>
    <w:rsid w:val="00523EFD"/>
    <w:rsid w:val="005251C9"/>
    <w:rsid w:val="00525381"/>
    <w:rsid w:val="0052678D"/>
    <w:rsid w:val="00526EE0"/>
    <w:rsid w:val="00527025"/>
    <w:rsid w:val="00534BA7"/>
    <w:rsid w:val="0053587D"/>
    <w:rsid w:val="0054023A"/>
    <w:rsid w:val="00540DEF"/>
    <w:rsid w:val="00541864"/>
    <w:rsid w:val="00546449"/>
    <w:rsid w:val="00550E56"/>
    <w:rsid w:val="0055344F"/>
    <w:rsid w:val="00553A20"/>
    <w:rsid w:val="005546B3"/>
    <w:rsid w:val="00555027"/>
    <w:rsid w:val="00557B9D"/>
    <w:rsid w:val="005611E7"/>
    <w:rsid w:val="00562951"/>
    <w:rsid w:val="00565E7A"/>
    <w:rsid w:val="00577C04"/>
    <w:rsid w:val="00577DFB"/>
    <w:rsid w:val="00581758"/>
    <w:rsid w:val="005824A0"/>
    <w:rsid w:val="00584608"/>
    <w:rsid w:val="00585393"/>
    <w:rsid w:val="00590158"/>
    <w:rsid w:val="00590D66"/>
    <w:rsid w:val="00595468"/>
    <w:rsid w:val="005A0F65"/>
    <w:rsid w:val="005B3293"/>
    <w:rsid w:val="005B3832"/>
    <w:rsid w:val="005B5A5A"/>
    <w:rsid w:val="005B6B09"/>
    <w:rsid w:val="005C017F"/>
    <w:rsid w:val="005C0CC8"/>
    <w:rsid w:val="005C0F49"/>
    <w:rsid w:val="005C22E4"/>
    <w:rsid w:val="005C3458"/>
    <w:rsid w:val="005D1911"/>
    <w:rsid w:val="005D5723"/>
    <w:rsid w:val="005D642D"/>
    <w:rsid w:val="005D6ACE"/>
    <w:rsid w:val="005E51CD"/>
    <w:rsid w:val="005F2B52"/>
    <w:rsid w:val="005F469E"/>
    <w:rsid w:val="005F5837"/>
    <w:rsid w:val="005F597C"/>
    <w:rsid w:val="00602480"/>
    <w:rsid w:val="0060396E"/>
    <w:rsid w:val="0061148D"/>
    <w:rsid w:val="00612726"/>
    <w:rsid w:val="00614289"/>
    <w:rsid w:val="006147DF"/>
    <w:rsid w:val="006170FB"/>
    <w:rsid w:val="00624039"/>
    <w:rsid w:val="006248FC"/>
    <w:rsid w:val="0062719D"/>
    <w:rsid w:val="0063464B"/>
    <w:rsid w:val="00635139"/>
    <w:rsid w:val="0063702B"/>
    <w:rsid w:val="00640ADE"/>
    <w:rsid w:val="00644747"/>
    <w:rsid w:val="0065101D"/>
    <w:rsid w:val="00652B23"/>
    <w:rsid w:val="006541B7"/>
    <w:rsid w:val="006603F2"/>
    <w:rsid w:val="00660747"/>
    <w:rsid w:val="00660F80"/>
    <w:rsid w:val="006677A1"/>
    <w:rsid w:val="00680B9D"/>
    <w:rsid w:val="00680D9A"/>
    <w:rsid w:val="006810A5"/>
    <w:rsid w:val="00681DC3"/>
    <w:rsid w:val="0068404F"/>
    <w:rsid w:val="00684D96"/>
    <w:rsid w:val="00686239"/>
    <w:rsid w:val="00691FD1"/>
    <w:rsid w:val="00693553"/>
    <w:rsid w:val="006A0876"/>
    <w:rsid w:val="006A1DD4"/>
    <w:rsid w:val="006A67B2"/>
    <w:rsid w:val="006A6C78"/>
    <w:rsid w:val="006B2513"/>
    <w:rsid w:val="006B329C"/>
    <w:rsid w:val="006B33D2"/>
    <w:rsid w:val="006B3525"/>
    <w:rsid w:val="006C2394"/>
    <w:rsid w:val="006C4B4C"/>
    <w:rsid w:val="006D04BB"/>
    <w:rsid w:val="006D04C5"/>
    <w:rsid w:val="006D05AD"/>
    <w:rsid w:val="006E0D6F"/>
    <w:rsid w:val="006E3381"/>
    <w:rsid w:val="006F1808"/>
    <w:rsid w:val="006F6BE8"/>
    <w:rsid w:val="006F6C18"/>
    <w:rsid w:val="0071039F"/>
    <w:rsid w:val="00710C7F"/>
    <w:rsid w:val="00710CD5"/>
    <w:rsid w:val="00713DA2"/>
    <w:rsid w:val="00716009"/>
    <w:rsid w:val="00716903"/>
    <w:rsid w:val="007173AD"/>
    <w:rsid w:val="00720DF2"/>
    <w:rsid w:val="00721B4F"/>
    <w:rsid w:val="007269FC"/>
    <w:rsid w:val="007279BD"/>
    <w:rsid w:val="00730EFA"/>
    <w:rsid w:val="00731D88"/>
    <w:rsid w:val="007354DA"/>
    <w:rsid w:val="00736297"/>
    <w:rsid w:val="007440A5"/>
    <w:rsid w:val="00744292"/>
    <w:rsid w:val="00746FAF"/>
    <w:rsid w:val="0075149D"/>
    <w:rsid w:val="007552A5"/>
    <w:rsid w:val="00760EF5"/>
    <w:rsid w:val="00762EE1"/>
    <w:rsid w:val="00764E7A"/>
    <w:rsid w:val="0076634C"/>
    <w:rsid w:val="00774181"/>
    <w:rsid w:val="00776DC4"/>
    <w:rsid w:val="0078021F"/>
    <w:rsid w:val="00780575"/>
    <w:rsid w:val="0078090E"/>
    <w:rsid w:val="007840DF"/>
    <w:rsid w:val="007875E3"/>
    <w:rsid w:val="00791BA9"/>
    <w:rsid w:val="007925C7"/>
    <w:rsid w:val="00793D63"/>
    <w:rsid w:val="007A09FF"/>
    <w:rsid w:val="007A3007"/>
    <w:rsid w:val="007A4600"/>
    <w:rsid w:val="007A6104"/>
    <w:rsid w:val="007A722B"/>
    <w:rsid w:val="007B3411"/>
    <w:rsid w:val="007B59B6"/>
    <w:rsid w:val="007C28E3"/>
    <w:rsid w:val="007C46D6"/>
    <w:rsid w:val="007C487E"/>
    <w:rsid w:val="007C7562"/>
    <w:rsid w:val="007E1586"/>
    <w:rsid w:val="007E3677"/>
    <w:rsid w:val="007F7628"/>
    <w:rsid w:val="007F78D8"/>
    <w:rsid w:val="0080582D"/>
    <w:rsid w:val="008104A0"/>
    <w:rsid w:val="00810518"/>
    <w:rsid w:val="008118E5"/>
    <w:rsid w:val="00815390"/>
    <w:rsid w:val="00815700"/>
    <w:rsid w:val="00832AC1"/>
    <w:rsid w:val="008415E7"/>
    <w:rsid w:val="00843F5B"/>
    <w:rsid w:val="008469C4"/>
    <w:rsid w:val="00850A06"/>
    <w:rsid w:val="00852FCA"/>
    <w:rsid w:val="00855C50"/>
    <w:rsid w:val="008569B8"/>
    <w:rsid w:val="008575B5"/>
    <w:rsid w:val="00857FDC"/>
    <w:rsid w:val="00862430"/>
    <w:rsid w:val="00862ADF"/>
    <w:rsid w:val="008647A1"/>
    <w:rsid w:val="00864D83"/>
    <w:rsid w:val="00866351"/>
    <w:rsid w:val="00867D37"/>
    <w:rsid w:val="0087275A"/>
    <w:rsid w:val="00874A45"/>
    <w:rsid w:val="00874F64"/>
    <w:rsid w:val="008751CF"/>
    <w:rsid w:val="00876FCF"/>
    <w:rsid w:val="00880472"/>
    <w:rsid w:val="00883246"/>
    <w:rsid w:val="008876F3"/>
    <w:rsid w:val="00890559"/>
    <w:rsid w:val="00891F57"/>
    <w:rsid w:val="008922BF"/>
    <w:rsid w:val="008937F0"/>
    <w:rsid w:val="00894042"/>
    <w:rsid w:val="00894B73"/>
    <w:rsid w:val="0089595F"/>
    <w:rsid w:val="00896DBA"/>
    <w:rsid w:val="008A0CFB"/>
    <w:rsid w:val="008A0E2E"/>
    <w:rsid w:val="008A0F2E"/>
    <w:rsid w:val="008A26DA"/>
    <w:rsid w:val="008A2AD3"/>
    <w:rsid w:val="008A59A7"/>
    <w:rsid w:val="008B03FC"/>
    <w:rsid w:val="008B40F2"/>
    <w:rsid w:val="008B4A21"/>
    <w:rsid w:val="008C23AD"/>
    <w:rsid w:val="008C5079"/>
    <w:rsid w:val="008C56C5"/>
    <w:rsid w:val="008D28B9"/>
    <w:rsid w:val="008D3560"/>
    <w:rsid w:val="008D56EC"/>
    <w:rsid w:val="008D7DA3"/>
    <w:rsid w:val="008E0CDC"/>
    <w:rsid w:val="008E1571"/>
    <w:rsid w:val="008E4C0B"/>
    <w:rsid w:val="008F367F"/>
    <w:rsid w:val="008F39D7"/>
    <w:rsid w:val="008F4E3B"/>
    <w:rsid w:val="008F698F"/>
    <w:rsid w:val="008F6CF2"/>
    <w:rsid w:val="008F7E2E"/>
    <w:rsid w:val="00905835"/>
    <w:rsid w:val="009172FC"/>
    <w:rsid w:val="009202E1"/>
    <w:rsid w:val="00922CA9"/>
    <w:rsid w:val="009302C6"/>
    <w:rsid w:val="00932864"/>
    <w:rsid w:val="00937427"/>
    <w:rsid w:val="00943DB9"/>
    <w:rsid w:val="009505BE"/>
    <w:rsid w:val="00950A8C"/>
    <w:rsid w:val="009512FD"/>
    <w:rsid w:val="0095270E"/>
    <w:rsid w:val="00953412"/>
    <w:rsid w:val="0095492D"/>
    <w:rsid w:val="009556AB"/>
    <w:rsid w:val="00957E92"/>
    <w:rsid w:val="009701D8"/>
    <w:rsid w:val="00970BDB"/>
    <w:rsid w:val="00974485"/>
    <w:rsid w:val="00980729"/>
    <w:rsid w:val="00981A8F"/>
    <w:rsid w:val="00981C71"/>
    <w:rsid w:val="00981DF6"/>
    <w:rsid w:val="00984408"/>
    <w:rsid w:val="00984C6B"/>
    <w:rsid w:val="00987852"/>
    <w:rsid w:val="009930A6"/>
    <w:rsid w:val="0099560E"/>
    <w:rsid w:val="00995A0F"/>
    <w:rsid w:val="00995CEF"/>
    <w:rsid w:val="00997863"/>
    <w:rsid w:val="009A40E0"/>
    <w:rsid w:val="009A4BB3"/>
    <w:rsid w:val="009A6AC0"/>
    <w:rsid w:val="009A70EE"/>
    <w:rsid w:val="009B2E14"/>
    <w:rsid w:val="009B33DF"/>
    <w:rsid w:val="009B5347"/>
    <w:rsid w:val="009B5762"/>
    <w:rsid w:val="009B5F38"/>
    <w:rsid w:val="009B6925"/>
    <w:rsid w:val="009C0EC0"/>
    <w:rsid w:val="009C22DF"/>
    <w:rsid w:val="009C5F15"/>
    <w:rsid w:val="009C7A3A"/>
    <w:rsid w:val="009C7C89"/>
    <w:rsid w:val="009D0A3C"/>
    <w:rsid w:val="009D1BFB"/>
    <w:rsid w:val="009D3C7F"/>
    <w:rsid w:val="009D428D"/>
    <w:rsid w:val="009E2EC8"/>
    <w:rsid w:val="009E3172"/>
    <w:rsid w:val="009E32A7"/>
    <w:rsid w:val="009E38E7"/>
    <w:rsid w:val="009E55BF"/>
    <w:rsid w:val="009E7933"/>
    <w:rsid w:val="009F4749"/>
    <w:rsid w:val="009F5451"/>
    <w:rsid w:val="009F70C7"/>
    <w:rsid w:val="009F70F7"/>
    <w:rsid w:val="00A00784"/>
    <w:rsid w:val="00A03AA5"/>
    <w:rsid w:val="00A03AE4"/>
    <w:rsid w:val="00A04417"/>
    <w:rsid w:val="00A163E1"/>
    <w:rsid w:val="00A234C4"/>
    <w:rsid w:val="00A25045"/>
    <w:rsid w:val="00A30DAE"/>
    <w:rsid w:val="00A3263C"/>
    <w:rsid w:val="00A33619"/>
    <w:rsid w:val="00A34555"/>
    <w:rsid w:val="00A35E4C"/>
    <w:rsid w:val="00A36AA1"/>
    <w:rsid w:val="00A37F79"/>
    <w:rsid w:val="00A423BB"/>
    <w:rsid w:val="00A428FE"/>
    <w:rsid w:val="00A52A54"/>
    <w:rsid w:val="00A52EFA"/>
    <w:rsid w:val="00A54A1E"/>
    <w:rsid w:val="00A5535E"/>
    <w:rsid w:val="00A601DA"/>
    <w:rsid w:val="00A62DFB"/>
    <w:rsid w:val="00A644A0"/>
    <w:rsid w:val="00A64A11"/>
    <w:rsid w:val="00A64A48"/>
    <w:rsid w:val="00A64E74"/>
    <w:rsid w:val="00A72F2A"/>
    <w:rsid w:val="00A72F4E"/>
    <w:rsid w:val="00A72F90"/>
    <w:rsid w:val="00A91FB4"/>
    <w:rsid w:val="00A92ACE"/>
    <w:rsid w:val="00A94F53"/>
    <w:rsid w:val="00A9559B"/>
    <w:rsid w:val="00A96948"/>
    <w:rsid w:val="00AB1864"/>
    <w:rsid w:val="00AB4BE3"/>
    <w:rsid w:val="00AB5334"/>
    <w:rsid w:val="00AB5CE1"/>
    <w:rsid w:val="00AC39C1"/>
    <w:rsid w:val="00AC3AC6"/>
    <w:rsid w:val="00AC435C"/>
    <w:rsid w:val="00AC5278"/>
    <w:rsid w:val="00AD066D"/>
    <w:rsid w:val="00AD2162"/>
    <w:rsid w:val="00AE0067"/>
    <w:rsid w:val="00AE1C9D"/>
    <w:rsid w:val="00AE29F7"/>
    <w:rsid w:val="00AE4552"/>
    <w:rsid w:val="00AE6C40"/>
    <w:rsid w:val="00AF00E6"/>
    <w:rsid w:val="00AF6931"/>
    <w:rsid w:val="00AF760C"/>
    <w:rsid w:val="00AF7C78"/>
    <w:rsid w:val="00B022A7"/>
    <w:rsid w:val="00B03121"/>
    <w:rsid w:val="00B108C7"/>
    <w:rsid w:val="00B10E50"/>
    <w:rsid w:val="00B11263"/>
    <w:rsid w:val="00B11768"/>
    <w:rsid w:val="00B12654"/>
    <w:rsid w:val="00B14143"/>
    <w:rsid w:val="00B14E6F"/>
    <w:rsid w:val="00B1564D"/>
    <w:rsid w:val="00B159C2"/>
    <w:rsid w:val="00B162C5"/>
    <w:rsid w:val="00B167EF"/>
    <w:rsid w:val="00B22B02"/>
    <w:rsid w:val="00B25995"/>
    <w:rsid w:val="00B26230"/>
    <w:rsid w:val="00B264FB"/>
    <w:rsid w:val="00B26766"/>
    <w:rsid w:val="00B323CD"/>
    <w:rsid w:val="00B34E03"/>
    <w:rsid w:val="00B40875"/>
    <w:rsid w:val="00B43381"/>
    <w:rsid w:val="00B44A25"/>
    <w:rsid w:val="00B456C9"/>
    <w:rsid w:val="00B472F8"/>
    <w:rsid w:val="00B532FE"/>
    <w:rsid w:val="00B57D02"/>
    <w:rsid w:val="00B63C62"/>
    <w:rsid w:val="00B6765F"/>
    <w:rsid w:val="00B70238"/>
    <w:rsid w:val="00B7191F"/>
    <w:rsid w:val="00B72FCA"/>
    <w:rsid w:val="00B76182"/>
    <w:rsid w:val="00B81B96"/>
    <w:rsid w:val="00B82B90"/>
    <w:rsid w:val="00B82C29"/>
    <w:rsid w:val="00B83B0A"/>
    <w:rsid w:val="00B85EE8"/>
    <w:rsid w:val="00B90314"/>
    <w:rsid w:val="00B90913"/>
    <w:rsid w:val="00B90D69"/>
    <w:rsid w:val="00B935F6"/>
    <w:rsid w:val="00B95246"/>
    <w:rsid w:val="00B9545F"/>
    <w:rsid w:val="00B961C7"/>
    <w:rsid w:val="00BA6E82"/>
    <w:rsid w:val="00BB5A18"/>
    <w:rsid w:val="00BB64A6"/>
    <w:rsid w:val="00BB6F6E"/>
    <w:rsid w:val="00BC16C6"/>
    <w:rsid w:val="00BC1CC3"/>
    <w:rsid w:val="00BC20DD"/>
    <w:rsid w:val="00BD226C"/>
    <w:rsid w:val="00BD2322"/>
    <w:rsid w:val="00BD3678"/>
    <w:rsid w:val="00BD3DD9"/>
    <w:rsid w:val="00BE211A"/>
    <w:rsid w:val="00BE2478"/>
    <w:rsid w:val="00BE6916"/>
    <w:rsid w:val="00BF5DC4"/>
    <w:rsid w:val="00C03FE8"/>
    <w:rsid w:val="00C05BED"/>
    <w:rsid w:val="00C06D6C"/>
    <w:rsid w:val="00C07C63"/>
    <w:rsid w:val="00C17325"/>
    <w:rsid w:val="00C21B3C"/>
    <w:rsid w:val="00C23A00"/>
    <w:rsid w:val="00C2649C"/>
    <w:rsid w:val="00C27110"/>
    <w:rsid w:val="00C27117"/>
    <w:rsid w:val="00C30523"/>
    <w:rsid w:val="00C30B73"/>
    <w:rsid w:val="00C3147C"/>
    <w:rsid w:val="00C31949"/>
    <w:rsid w:val="00C3561F"/>
    <w:rsid w:val="00C36A15"/>
    <w:rsid w:val="00C417F6"/>
    <w:rsid w:val="00C44093"/>
    <w:rsid w:val="00C47DE4"/>
    <w:rsid w:val="00C5125E"/>
    <w:rsid w:val="00C5367F"/>
    <w:rsid w:val="00C53B69"/>
    <w:rsid w:val="00C546E0"/>
    <w:rsid w:val="00C54CE3"/>
    <w:rsid w:val="00C55A73"/>
    <w:rsid w:val="00C567D2"/>
    <w:rsid w:val="00C57ABD"/>
    <w:rsid w:val="00C62CEA"/>
    <w:rsid w:val="00C64D54"/>
    <w:rsid w:val="00C65101"/>
    <w:rsid w:val="00C65762"/>
    <w:rsid w:val="00C66D4D"/>
    <w:rsid w:val="00C703CF"/>
    <w:rsid w:val="00C707A1"/>
    <w:rsid w:val="00C71C7D"/>
    <w:rsid w:val="00C722BF"/>
    <w:rsid w:val="00C73931"/>
    <w:rsid w:val="00C74C73"/>
    <w:rsid w:val="00C7599D"/>
    <w:rsid w:val="00C810A2"/>
    <w:rsid w:val="00C90502"/>
    <w:rsid w:val="00C90F52"/>
    <w:rsid w:val="00C952CE"/>
    <w:rsid w:val="00C9611D"/>
    <w:rsid w:val="00C96B2C"/>
    <w:rsid w:val="00CA2F16"/>
    <w:rsid w:val="00CA3657"/>
    <w:rsid w:val="00CA3E0C"/>
    <w:rsid w:val="00CA4999"/>
    <w:rsid w:val="00CA5980"/>
    <w:rsid w:val="00CA7995"/>
    <w:rsid w:val="00CB51D0"/>
    <w:rsid w:val="00CB5B5C"/>
    <w:rsid w:val="00CB645F"/>
    <w:rsid w:val="00CC05D6"/>
    <w:rsid w:val="00CC2997"/>
    <w:rsid w:val="00CC46F1"/>
    <w:rsid w:val="00CD4FA6"/>
    <w:rsid w:val="00CD7F4A"/>
    <w:rsid w:val="00CE347D"/>
    <w:rsid w:val="00CE45BE"/>
    <w:rsid w:val="00CE462D"/>
    <w:rsid w:val="00CE4A6E"/>
    <w:rsid w:val="00CE69F0"/>
    <w:rsid w:val="00CF24C8"/>
    <w:rsid w:val="00CF4540"/>
    <w:rsid w:val="00CF4C9C"/>
    <w:rsid w:val="00CF5FDF"/>
    <w:rsid w:val="00D0181E"/>
    <w:rsid w:val="00D01A1D"/>
    <w:rsid w:val="00D03C2A"/>
    <w:rsid w:val="00D11816"/>
    <w:rsid w:val="00D13F47"/>
    <w:rsid w:val="00D20A84"/>
    <w:rsid w:val="00D223DE"/>
    <w:rsid w:val="00D26D08"/>
    <w:rsid w:val="00D27201"/>
    <w:rsid w:val="00D30943"/>
    <w:rsid w:val="00D31B81"/>
    <w:rsid w:val="00D325F2"/>
    <w:rsid w:val="00D32CBE"/>
    <w:rsid w:val="00D33A6B"/>
    <w:rsid w:val="00D35162"/>
    <w:rsid w:val="00D363CA"/>
    <w:rsid w:val="00D3798B"/>
    <w:rsid w:val="00D37C3A"/>
    <w:rsid w:val="00D41D1B"/>
    <w:rsid w:val="00D46C8C"/>
    <w:rsid w:val="00D54426"/>
    <w:rsid w:val="00D55DA9"/>
    <w:rsid w:val="00D55EDB"/>
    <w:rsid w:val="00D629B8"/>
    <w:rsid w:val="00D64ACA"/>
    <w:rsid w:val="00D65076"/>
    <w:rsid w:val="00D66981"/>
    <w:rsid w:val="00D67FDC"/>
    <w:rsid w:val="00D70D2E"/>
    <w:rsid w:val="00D71FFC"/>
    <w:rsid w:val="00D767E2"/>
    <w:rsid w:val="00D8555A"/>
    <w:rsid w:val="00D87DFF"/>
    <w:rsid w:val="00D91680"/>
    <w:rsid w:val="00D95FA3"/>
    <w:rsid w:val="00DA23D8"/>
    <w:rsid w:val="00DA497E"/>
    <w:rsid w:val="00DA4A67"/>
    <w:rsid w:val="00DB1828"/>
    <w:rsid w:val="00DB34A9"/>
    <w:rsid w:val="00DB4320"/>
    <w:rsid w:val="00DB6B2A"/>
    <w:rsid w:val="00DC1150"/>
    <w:rsid w:val="00DC2FCE"/>
    <w:rsid w:val="00DC374A"/>
    <w:rsid w:val="00DC4CD2"/>
    <w:rsid w:val="00DC4F8B"/>
    <w:rsid w:val="00DC63E5"/>
    <w:rsid w:val="00DC76E0"/>
    <w:rsid w:val="00DC7ED3"/>
    <w:rsid w:val="00DD2178"/>
    <w:rsid w:val="00DD5C87"/>
    <w:rsid w:val="00DE1DA1"/>
    <w:rsid w:val="00DF0861"/>
    <w:rsid w:val="00DF1751"/>
    <w:rsid w:val="00DF37D3"/>
    <w:rsid w:val="00E029BC"/>
    <w:rsid w:val="00E037DF"/>
    <w:rsid w:val="00E07569"/>
    <w:rsid w:val="00E07A5F"/>
    <w:rsid w:val="00E10CAB"/>
    <w:rsid w:val="00E10F0D"/>
    <w:rsid w:val="00E167B7"/>
    <w:rsid w:val="00E20F02"/>
    <w:rsid w:val="00E2196C"/>
    <w:rsid w:val="00E243CC"/>
    <w:rsid w:val="00E244F9"/>
    <w:rsid w:val="00E25C4C"/>
    <w:rsid w:val="00E25D9F"/>
    <w:rsid w:val="00E271F2"/>
    <w:rsid w:val="00E31003"/>
    <w:rsid w:val="00E317A4"/>
    <w:rsid w:val="00E34915"/>
    <w:rsid w:val="00E425D7"/>
    <w:rsid w:val="00E42745"/>
    <w:rsid w:val="00E44501"/>
    <w:rsid w:val="00E477F1"/>
    <w:rsid w:val="00E52290"/>
    <w:rsid w:val="00E56113"/>
    <w:rsid w:val="00E60F29"/>
    <w:rsid w:val="00E61601"/>
    <w:rsid w:val="00E6580F"/>
    <w:rsid w:val="00E73883"/>
    <w:rsid w:val="00E7494D"/>
    <w:rsid w:val="00E80DC6"/>
    <w:rsid w:val="00E84123"/>
    <w:rsid w:val="00E85C7C"/>
    <w:rsid w:val="00E93FDD"/>
    <w:rsid w:val="00E940D7"/>
    <w:rsid w:val="00EA2E87"/>
    <w:rsid w:val="00EA3FB0"/>
    <w:rsid w:val="00EA4E30"/>
    <w:rsid w:val="00EB220A"/>
    <w:rsid w:val="00EB58F4"/>
    <w:rsid w:val="00EC0BFB"/>
    <w:rsid w:val="00EC3CA6"/>
    <w:rsid w:val="00EC68DB"/>
    <w:rsid w:val="00ED05FE"/>
    <w:rsid w:val="00ED3A0E"/>
    <w:rsid w:val="00EE185E"/>
    <w:rsid w:val="00EE317B"/>
    <w:rsid w:val="00EE3D5E"/>
    <w:rsid w:val="00EE3E41"/>
    <w:rsid w:val="00EE734F"/>
    <w:rsid w:val="00EF0CDC"/>
    <w:rsid w:val="00EF2145"/>
    <w:rsid w:val="00EF370F"/>
    <w:rsid w:val="00EF45C6"/>
    <w:rsid w:val="00EF5EA7"/>
    <w:rsid w:val="00F01253"/>
    <w:rsid w:val="00F015AE"/>
    <w:rsid w:val="00F01A14"/>
    <w:rsid w:val="00F0245B"/>
    <w:rsid w:val="00F05919"/>
    <w:rsid w:val="00F1040E"/>
    <w:rsid w:val="00F10AAF"/>
    <w:rsid w:val="00F12D01"/>
    <w:rsid w:val="00F12D4C"/>
    <w:rsid w:val="00F16B09"/>
    <w:rsid w:val="00F2570E"/>
    <w:rsid w:val="00F25B02"/>
    <w:rsid w:val="00F27A2B"/>
    <w:rsid w:val="00F34876"/>
    <w:rsid w:val="00F3724F"/>
    <w:rsid w:val="00F37BBC"/>
    <w:rsid w:val="00F4056F"/>
    <w:rsid w:val="00F42458"/>
    <w:rsid w:val="00F46660"/>
    <w:rsid w:val="00F4674D"/>
    <w:rsid w:val="00F50B84"/>
    <w:rsid w:val="00F55D8D"/>
    <w:rsid w:val="00F622BE"/>
    <w:rsid w:val="00F714A4"/>
    <w:rsid w:val="00F74267"/>
    <w:rsid w:val="00F81617"/>
    <w:rsid w:val="00F826CA"/>
    <w:rsid w:val="00F8302E"/>
    <w:rsid w:val="00F8739E"/>
    <w:rsid w:val="00F906F3"/>
    <w:rsid w:val="00F92C2A"/>
    <w:rsid w:val="00F9346A"/>
    <w:rsid w:val="00F964F0"/>
    <w:rsid w:val="00F96516"/>
    <w:rsid w:val="00F96FF9"/>
    <w:rsid w:val="00F97193"/>
    <w:rsid w:val="00FA01A2"/>
    <w:rsid w:val="00FA1B0F"/>
    <w:rsid w:val="00FA38CC"/>
    <w:rsid w:val="00FA455F"/>
    <w:rsid w:val="00FA598C"/>
    <w:rsid w:val="00FB2BF0"/>
    <w:rsid w:val="00FC16C5"/>
    <w:rsid w:val="00FC243C"/>
    <w:rsid w:val="00FC6671"/>
    <w:rsid w:val="00FC7C0A"/>
    <w:rsid w:val="00FD27F5"/>
    <w:rsid w:val="00FD2B98"/>
    <w:rsid w:val="00FD6B83"/>
    <w:rsid w:val="00FD7942"/>
    <w:rsid w:val="00FE1E95"/>
    <w:rsid w:val="00FE6104"/>
    <w:rsid w:val="00FE68CE"/>
    <w:rsid w:val="00FE7BF0"/>
    <w:rsid w:val="00FF0444"/>
    <w:rsid w:val="00FF3601"/>
    <w:rsid w:val="00FF5913"/>
    <w:rsid w:val="00FF61D4"/>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4D3E6F"/>
  <w15:chartTrackingRefBased/>
  <w15:docId w15:val="{BB66A7CA-49BE-4062-BD82-FF858350FF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210A"/>
    <w:pPr>
      <w:jc w:val="both"/>
    </w:pPr>
  </w:style>
  <w:style w:type="paragraph" w:styleId="Heading1">
    <w:name w:val="heading 1"/>
    <w:basedOn w:val="Normal"/>
    <w:next w:val="Normal"/>
    <w:link w:val="Heading1Char"/>
    <w:uiPriority w:val="9"/>
    <w:qFormat/>
    <w:rsid w:val="003942E7"/>
    <w:pPr>
      <w:keepNext/>
      <w:keepLines/>
      <w:pageBreakBefore/>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3A34F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330B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CE69F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E69F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E69F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E69F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E69F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E69F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42E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3A34F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330B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CE69F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E69F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E69F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E69F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E69F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E69F0"/>
    <w:rPr>
      <w:rFonts w:eastAsiaTheme="majorEastAsia" w:cstheme="majorBidi"/>
      <w:color w:val="272727" w:themeColor="text1" w:themeTint="D8"/>
    </w:rPr>
  </w:style>
  <w:style w:type="paragraph" w:styleId="Title">
    <w:name w:val="Title"/>
    <w:basedOn w:val="Normal"/>
    <w:next w:val="Normal"/>
    <w:link w:val="TitleChar"/>
    <w:uiPriority w:val="10"/>
    <w:qFormat/>
    <w:rsid w:val="00CE69F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E69F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E69F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E69F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E69F0"/>
    <w:pPr>
      <w:spacing w:before="160"/>
      <w:jc w:val="center"/>
    </w:pPr>
    <w:rPr>
      <w:i/>
      <w:iCs/>
      <w:color w:val="404040" w:themeColor="text1" w:themeTint="BF"/>
    </w:rPr>
  </w:style>
  <w:style w:type="character" w:customStyle="1" w:styleId="QuoteChar">
    <w:name w:val="Quote Char"/>
    <w:basedOn w:val="DefaultParagraphFont"/>
    <w:link w:val="Quote"/>
    <w:uiPriority w:val="29"/>
    <w:rsid w:val="00CE69F0"/>
    <w:rPr>
      <w:i/>
      <w:iCs/>
      <w:color w:val="404040" w:themeColor="text1" w:themeTint="BF"/>
    </w:rPr>
  </w:style>
  <w:style w:type="paragraph" w:styleId="ListParagraph">
    <w:name w:val="List Paragraph"/>
    <w:basedOn w:val="Normal"/>
    <w:uiPriority w:val="34"/>
    <w:qFormat/>
    <w:rsid w:val="00CE69F0"/>
    <w:pPr>
      <w:ind w:left="720"/>
      <w:contextualSpacing/>
    </w:pPr>
  </w:style>
  <w:style w:type="character" w:styleId="IntenseEmphasis">
    <w:name w:val="Intense Emphasis"/>
    <w:basedOn w:val="DefaultParagraphFont"/>
    <w:uiPriority w:val="21"/>
    <w:qFormat/>
    <w:rsid w:val="00CE69F0"/>
    <w:rPr>
      <w:i/>
      <w:iCs/>
      <w:color w:val="0F4761" w:themeColor="accent1" w:themeShade="BF"/>
    </w:rPr>
  </w:style>
  <w:style w:type="paragraph" w:styleId="IntenseQuote">
    <w:name w:val="Intense Quote"/>
    <w:basedOn w:val="Normal"/>
    <w:next w:val="Normal"/>
    <w:link w:val="IntenseQuoteChar"/>
    <w:uiPriority w:val="30"/>
    <w:qFormat/>
    <w:rsid w:val="00CE69F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E69F0"/>
    <w:rPr>
      <w:i/>
      <w:iCs/>
      <w:color w:val="0F4761" w:themeColor="accent1" w:themeShade="BF"/>
    </w:rPr>
  </w:style>
  <w:style w:type="character" w:styleId="IntenseReference">
    <w:name w:val="Intense Reference"/>
    <w:basedOn w:val="DefaultParagraphFont"/>
    <w:uiPriority w:val="32"/>
    <w:qFormat/>
    <w:rsid w:val="00CE69F0"/>
    <w:rPr>
      <w:b/>
      <w:bCs/>
      <w:smallCaps/>
      <w:color w:val="0F4761" w:themeColor="accent1" w:themeShade="BF"/>
      <w:spacing w:val="5"/>
    </w:rPr>
  </w:style>
  <w:style w:type="character" w:styleId="Hyperlink">
    <w:name w:val="Hyperlink"/>
    <w:basedOn w:val="DefaultParagraphFont"/>
    <w:uiPriority w:val="99"/>
    <w:unhideWhenUsed/>
    <w:rsid w:val="00CE69F0"/>
    <w:rPr>
      <w:strike w:val="0"/>
      <w:dstrike w:val="0"/>
      <w:color w:val="464FEB"/>
      <w:u w:val="none"/>
      <w:effect w:val="none"/>
    </w:rPr>
  </w:style>
  <w:style w:type="paragraph" w:styleId="NormalWeb">
    <w:name w:val="Normal (Web)"/>
    <w:basedOn w:val="Normal"/>
    <w:uiPriority w:val="99"/>
    <w:unhideWhenUsed/>
    <w:rsid w:val="00CE69F0"/>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CE69F0"/>
    <w:rPr>
      <w:b/>
      <w:bCs/>
    </w:rPr>
  </w:style>
  <w:style w:type="character" w:styleId="Emphasis">
    <w:name w:val="Emphasis"/>
    <w:basedOn w:val="DefaultParagraphFont"/>
    <w:uiPriority w:val="20"/>
    <w:qFormat/>
    <w:rsid w:val="00CE69F0"/>
    <w:rPr>
      <w:i/>
      <w:iCs/>
    </w:rPr>
  </w:style>
  <w:style w:type="paragraph" w:customStyle="1" w:styleId="TableText">
    <w:name w:val="TableText"/>
    <w:link w:val="TableTextChar"/>
    <w:qFormat/>
    <w:rsid w:val="00AF00E6"/>
    <w:pPr>
      <w:keepNext/>
      <w:keepLines/>
      <w:spacing w:after="0" w:line="240" w:lineRule="auto"/>
      <w:jc w:val="center"/>
    </w:pPr>
    <w:rPr>
      <w:rFonts w:ascii="Aptos Narrow" w:hAnsi="Aptos Narrow"/>
      <w:sz w:val="20"/>
      <w:szCs w:val="20"/>
    </w:rPr>
  </w:style>
  <w:style w:type="character" w:customStyle="1" w:styleId="TableTextChar">
    <w:name w:val="TableText Char"/>
    <w:basedOn w:val="DefaultParagraphFont"/>
    <w:link w:val="TableText"/>
    <w:rsid w:val="00AF00E6"/>
    <w:rPr>
      <w:rFonts w:ascii="Aptos Narrow" w:hAnsi="Aptos Narrow"/>
      <w:sz w:val="20"/>
      <w:szCs w:val="20"/>
    </w:rPr>
  </w:style>
  <w:style w:type="paragraph" w:customStyle="1" w:styleId="TableHeader">
    <w:name w:val="TableHeader"/>
    <w:link w:val="TableHeaderChar"/>
    <w:qFormat/>
    <w:rsid w:val="00AF00E6"/>
    <w:pPr>
      <w:keepNext/>
      <w:keepLines/>
      <w:spacing w:after="0" w:line="240" w:lineRule="auto"/>
      <w:jc w:val="center"/>
    </w:pPr>
    <w:rPr>
      <w:rFonts w:ascii="Aptos Narrow" w:hAnsi="Aptos Narrow"/>
      <w:sz w:val="28"/>
      <w:szCs w:val="28"/>
    </w:rPr>
  </w:style>
  <w:style w:type="character" w:customStyle="1" w:styleId="TableHeaderChar">
    <w:name w:val="TableHeader Char"/>
    <w:basedOn w:val="DefaultParagraphFont"/>
    <w:link w:val="TableHeader"/>
    <w:rsid w:val="00AF00E6"/>
    <w:rPr>
      <w:rFonts w:ascii="Aptos Narrow" w:hAnsi="Aptos Narrow"/>
      <w:sz w:val="28"/>
      <w:szCs w:val="28"/>
    </w:rPr>
  </w:style>
  <w:style w:type="paragraph" w:customStyle="1" w:styleId="TableFooter">
    <w:name w:val="TableFooter"/>
    <w:link w:val="TableFooterChar"/>
    <w:qFormat/>
    <w:rsid w:val="008A0F2E"/>
    <w:pPr>
      <w:spacing w:before="240"/>
      <w:jc w:val="both"/>
    </w:pPr>
    <w:rPr>
      <w:rFonts w:eastAsiaTheme="majorEastAsia" w:cs="Segoe UI"/>
      <w:kern w:val="0"/>
      <w:sz w:val="18"/>
      <w:szCs w:val="18"/>
      <w14:ligatures w14:val="none"/>
    </w:rPr>
  </w:style>
  <w:style w:type="character" w:customStyle="1" w:styleId="TableFooterChar">
    <w:name w:val="TableFooter Char"/>
    <w:basedOn w:val="DefaultParagraphFont"/>
    <w:link w:val="TableFooter"/>
    <w:rsid w:val="008A0F2E"/>
    <w:rPr>
      <w:rFonts w:eastAsiaTheme="majorEastAsia" w:cs="Segoe UI"/>
      <w:kern w:val="0"/>
      <w:sz w:val="18"/>
      <w:szCs w:val="18"/>
      <w14:ligatures w14:val="none"/>
    </w:rPr>
  </w:style>
  <w:style w:type="paragraph" w:customStyle="1" w:styleId="FigureCaption">
    <w:name w:val="Figure Caption"/>
    <w:basedOn w:val="Normal"/>
    <w:link w:val="FigureCaptionChar"/>
    <w:qFormat/>
    <w:rsid w:val="003A34F2"/>
    <w:pPr>
      <w:spacing w:before="240" w:after="120" w:line="240" w:lineRule="auto"/>
    </w:pPr>
    <w:rPr>
      <w:sz w:val="18"/>
      <w:szCs w:val="20"/>
    </w:rPr>
  </w:style>
  <w:style w:type="character" w:customStyle="1" w:styleId="FigureCaptionChar">
    <w:name w:val="Figure Caption Char"/>
    <w:basedOn w:val="DefaultParagraphFont"/>
    <w:link w:val="FigureCaption"/>
    <w:rsid w:val="003A34F2"/>
    <w:rPr>
      <w:sz w:val="18"/>
      <w:szCs w:val="20"/>
    </w:rPr>
  </w:style>
  <w:style w:type="paragraph" w:styleId="Header">
    <w:name w:val="header"/>
    <w:basedOn w:val="Normal"/>
    <w:link w:val="HeaderChar"/>
    <w:uiPriority w:val="99"/>
    <w:unhideWhenUsed/>
    <w:rsid w:val="00557B9D"/>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7B9D"/>
  </w:style>
  <w:style w:type="paragraph" w:styleId="Footer">
    <w:name w:val="footer"/>
    <w:basedOn w:val="Normal"/>
    <w:link w:val="FooterChar"/>
    <w:uiPriority w:val="99"/>
    <w:unhideWhenUsed/>
    <w:rsid w:val="00557B9D"/>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7B9D"/>
  </w:style>
  <w:style w:type="character" w:styleId="UnresolvedMention">
    <w:name w:val="Unresolved Mention"/>
    <w:basedOn w:val="DefaultParagraphFont"/>
    <w:uiPriority w:val="99"/>
    <w:semiHidden/>
    <w:unhideWhenUsed/>
    <w:rsid w:val="00C5367F"/>
    <w:rPr>
      <w:color w:val="605E5C"/>
      <w:shd w:val="clear" w:color="auto" w:fill="E1DFDD"/>
    </w:rPr>
  </w:style>
  <w:style w:type="paragraph" w:customStyle="1" w:styleId="FigureTitle">
    <w:name w:val="Figure Title"/>
    <w:basedOn w:val="Heading5"/>
    <w:link w:val="FigureTitleChar"/>
    <w:qFormat/>
    <w:rsid w:val="00E244F9"/>
    <w:pPr>
      <w:spacing w:before="180" w:after="120"/>
      <w:jc w:val="center"/>
    </w:pPr>
    <w:rPr>
      <w:color w:val="auto"/>
      <w:sz w:val="26"/>
    </w:rPr>
  </w:style>
  <w:style w:type="character" w:customStyle="1" w:styleId="FigureTitleChar">
    <w:name w:val="Figure Title Char"/>
    <w:basedOn w:val="Heading5Char"/>
    <w:link w:val="FigureTitle"/>
    <w:rsid w:val="00E244F9"/>
    <w:rPr>
      <w:rFonts w:eastAsiaTheme="majorEastAsia" w:cstheme="majorBidi"/>
      <w:color w:val="0F4761" w:themeColor="accent1" w:themeShade="BF"/>
      <w:sz w:val="26"/>
    </w:rPr>
  </w:style>
  <w:style w:type="paragraph" w:customStyle="1" w:styleId="Table-Text">
    <w:name w:val="Table-Text"/>
    <w:link w:val="Table-TextChar"/>
    <w:qFormat/>
    <w:rsid w:val="00584608"/>
    <w:pPr>
      <w:keepNext/>
      <w:keepLines/>
      <w:spacing w:before="60" w:after="60" w:line="240" w:lineRule="auto"/>
      <w:jc w:val="center"/>
    </w:pPr>
    <w:rPr>
      <w:rFonts w:eastAsia="Times New Roman" w:cs="Times New Roman"/>
      <w:b/>
      <w:bCs/>
      <w:kern w:val="0"/>
      <w14:ligatures w14:val="none"/>
    </w:rPr>
  </w:style>
  <w:style w:type="character" w:customStyle="1" w:styleId="Table-TextChar">
    <w:name w:val="Table-Text Char"/>
    <w:basedOn w:val="DefaultParagraphFont"/>
    <w:link w:val="Table-Text"/>
    <w:rsid w:val="00584608"/>
    <w:rPr>
      <w:rFonts w:eastAsia="Times New Roman" w:cs="Times New Roman"/>
      <w:b/>
      <w:bCs/>
      <w:kern w:val="0"/>
      <w14:ligatures w14:val="none"/>
    </w:rPr>
  </w:style>
  <w:style w:type="paragraph" w:styleId="TOC1">
    <w:name w:val="toc 1"/>
    <w:basedOn w:val="Normal"/>
    <w:next w:val="Normal"/>
    <w:autoRedefine/>
    <w:uiPriority w:val="39"/>
    <w:unhideWhenUsed/>
    <w:rsid w:val="008B03FC"/>
    <w:pPr>
      <w:tabs>
        <w:tab w:val="right" w:leader="dot" w:pos="9350"/>
      </w:tabs>
      <w:spacing w:before="480" w:after="240"/>
      <w:jc w:val="center"/>
    </w:pPr>
    <w:rPr>
      <w:b/>
      <w:bCs/>
      <w:noProof/>
      <w:sz w:val="32"/>
      <w:szCs w:val="32"/>
    </w:rPr>
  </w:style>
  <w:style w:type="paragraph" w:styleId="TOC2">
    <w:name w:val="toc 2"/>
    <w:basedOn w:val="Normal"/>
    <w:next w:val="Normal"/>
    <w:autoRedefine/>
    <w:uiPriority w:val="39"/>
    <w:unhideWhenUsed/>
    <w:rsid w:val="003058D7"/>
    <w:pPr>
      <w:spacing w:after="100"/>
      <w:ind w:left="240"/>
    </w:pPr>
  </w:style>
  <w:style w:type="paragraph" w:styleId="TOC3">
    <w:name w:val="toc 3"/>
    <w:basedOn w:val="Normal"/>
    <w:next w:val="Normal"/>
    <w:autoRedefine/>
    <w:uiPriority w:val="39"/>
    <w:unhideWhenUsed/>
    <w:rsid w:val="003058D7"/>
    <w:pPr>
      <w:spacing w:after="100"/>
      <w:ind w:left="480"/>
    </w:pPr>
  </w:style>
  <w:style w:type="table" w:styleId="TableGrid">
    <w:name w:val="Table Grid"/>
    <w:basedOn w:val="TableNormal"/>
    <w:uiPriority w:val="39"/>
    <w:rsid w:val="00DC4C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CD4FA6"/>
    <w:rPr>
      <w:color w:val="666666"/>
    </w:rPr>
  </w:style>
  <w:style w:type="paragraph" w:styleId="FootnoteText">
    <w:name w:val="footnote text"/>
    <w:basedOn w:val="Normal"/>
    <w:link w:val="FootnoteTextChar"/>
    <w:uiPriority w:val="99"/>
    <w:unhideWhenUsed/>
    <w:rsid w:val="0065101D"/>
    <w:pPr>
      <w:spacing w:after="0" w:line="240" w:lineRule="auto"/>
    </w:pPr>
    <w:rPr>
      <w:sz w:val="20"/>
      <w:szCs w:val="20"/>
    </w:rPr>
  </w:style>
  <w:style w:type="character" w:customStyle="1" w:styleId="FootnoteTextChar">
    <w:name w:val="Footnote Text Char"/>
    <w:basedOn w:val="DefaultParagraphFont"/>
    <w:link w:val="FootnoteText"/>
    <w:uiPriority w:val="99"/>
    <w:rsid w:val="0065101D"/>
    <w:rPr>
      <w:sz w:val="20"/>
      <w:szCs w:val="20"/>
    </w:rPr>
  </w:style>
  <w:style w:type="character" w:styleId="FootnoteReference">
    <w:name w:val="footnote reference"/>
    <w:basedOn w:val="DefaultParagraphFont"/>
    <w:uiPriority w:val="99"/>
    <w:semiHidden/>
    <w:unhideWhenUsed/>
    <w:rsid w:val="0065101D"/>
    <w:rPr>
      <w:vertAlign w:val="superscript"/>
    </w:rPr>
  </w:style>
  <w:style w:type="character" w:styleId="LineNumber">
    <w:name w:val="line number"/>
    <w:basedOn w:val="DefaultParagraphFont"/>
    <w:uiPriority w:val="99"/>
    <w:semiHidden/>
    <w:unhideWhenUsed/>
    <w:rsid w:val="005C0F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FAE0CC-FD0E-4618-9B64-FD59B2113A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38</Pages>
  <Words>12025</Words>
  <Characters>68546</Characters>
  <Application>Microsoft Office Word</Application>
  <DocSecurity>0</DocSecurity>
  <Lines>571</Lines>
  <Paragraphs>160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Ogan Gurel</dc:creator>
  <cp:keywords/>
  <dc:description/>
  <cp:lastModifiedBy>Ogan Gurel</cp:lastModifiedBy>
  <cp:revision>4</cp:revision>
  <cp:lastPrinted>2026-03-28T20:30:00Z</cp:lastPrinted>
  <dcterms:created xsi:type="dcterms:W3CDTF">2026-06-12T01:51:00Z</dcterms:created>
  <dcterms:modified xsi:type="dcterms:W3CDTF">2026-06-12T01:53:00Z</dcterms:modified>
</cp:coreProperties>
</file>